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29CF11">
      <w:pPr>
        <w:spacing w:before="60" w:after="60"/>
        <w:ind w:firstLine="740"/>
        <w:rPr>
          <w:rFonts w:hint="default" w:ascii="Times New Roman" w:hAnsi="Times New Roman" w:eastAsia="宋体" w:cs="Times New Roman"/>
          <w:smallCaps w:val="0"/>
          <w:color w:val="auto"/>
          <w:spacing w:val="0"/>
          <w:kern w:val="0"/>
          <w:position w:val="0"/>
          <w:sz w:val="36"/>
          <w:szCs w:val="36"/>
          <w:lang w:eastAsia="zh-CN"/>
        </w:rPr>
      </w:pPr>
      <w:r>
        <w:rPr>
          <w:rFonts w:hint="default" w:ascii="Times New Roman" w:hAnsi="Times New Roman" w:eastAsia="宋体" w:cs="Times New Roman"/>
          <w:smallCaps w:val="0"/>
          <w:color w:val="auto"/>
          <w:spacing w:val="0"/>
          <w:kern w:val="0"/>
          <w:position w:val="0"/>
          <w:sz w:val="36"/>
          <w:szCs w:val="36"/>
          <w:lang w:eastAsia="zh-CN"/>
        </w:rPr>
        <w:drawing>
          <wp:inline distT="0" distB="0" distL="114300" distR="114300">
            <wp:extent cx="5615305" cy="7942580"/>
            <wp:effectExtent l="0" t="0" r="8255" b="12700"/>
            <wp:docPr id="8" name="图片 8" descr="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封面_00"/>
                    <pic:cNvPicPr>
                      <a:picLocks noChangeAspect="1"/>
                    </pic:cNvPicPr>
                  </pic:nvPicPr>
                  <pic:blipFill>
                    <a:blip r:embed="rId8"/>
                    <a:stretch>
                      <a:fillRect/>
                    </a:stretch>
                  </pic:blipFill>
                  <pic:spPr>
                    <a:xfrm>
                      <a:off x="0" y="0"/>
                      <a:ext cx="5615305" cy="7942580"/>
                    </a:xfrm>
                    <a:prstGeom prst="rect">
                      <a:avLst/>
                    </a:prstGeom>
                  </pic:spPr>
                </pic:pic>
              </a:graphicData>
            </a:graphic>
          </wp:inline>
        </w:drawing>
      </w:r>
      <w:r>
        <w:rPr>
          <w:rFonts w:hint="default" w:ascii="Times New Roman" w:hAnsi="Times New Roman" w:eastAsia="宋体" w:cs="Times New Roman"/>
          <w:smallCaps w:val="0"/>
          <w:color w:val="auto"/>
          <w:spacing w:val="0"/>
          <w:kern w:val="0"/>
          <w:position w:val="0"/>
          <w:sz w:val="36"/>
          <w:szCs w:val="36"/>
          <w:lang w:eastAsia="zh-CN"/>
        </w:rPr>
        <w:drawing>
          <wp:inline distT="0" distB="0" distL="114300" distR="114300">
            <wp:extent cx="5615305" cy="7942580"/>
            <wp:effectExtent l="0" t="0" r="8255" b="12700"/>
            <wp:docPr id="7" name="图片 7"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_01"/>
                    <pic:cNvPicPr>
                      <a:picLocks noChangeAspect="1"/>
                    </pic:cNvPicPr>
                  </pic:nvPicPr>
                  <pic:blipFill>
                    <a:blip r:embed="rId9"/>
                    <a:stretch>
                      <a:fillRect/>
                    </a:stretch>
                  </pic:blipFill>
                  <pic:spPr>
                    <a:xfrm>
                      <a:off x="0" y="0"/>
                      <a:ext cx="5615305" cy="7942580"/>
                    </a:xfrm>
                    <a:prstGeom prst="rect">
                      <a:avLst/>
                    </a:prstGeom>
                  </pic:spPr>
                </pic:pic>
              </a:graphicData>
            </a:graphic>
          </wp:inline>
        </w:drawing>
      </w:r>
      <w:r>
        <w:rPr>
          <w:rFonts w:hint="default" w:ascii="Times New Roman" w:hAnsi="Times New Roman" w:eastAsia="宋体" w:cs="Times New Roman"/>
          <w:smallCaps w:val="0"/>
          <w:color w:val="auto"/>
          <w:spacing w:val="0"/>
          <w:kern w:val="0"/>
          <w:position w:val="0"/>
          <w:sz w:val="36"/>
          <w:szCs w:val="36"/>
          <w:lang w:eastAsia="zh-CN"/>
        </w:rPr>
        <w:drawing>
          <wp:inline distT="0" distB="0" distL="114300" distR="114300">
            <wp:extent cx="5615305" cy="7942580"/>
            <wp:effectExtent l="0" t="0" r="8255" b="12700"/>
            <wp:docPr id="4" name="图片 4" descr="封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封面_02"/>
                    <pic:cNvPicPr>
                      <a:picLocks noChangeAspect="1"/>
                    </pic:cNvPicPr>
                  </pic:nvPicPr>
                  <pic:blipFill>
                    <a:blip r:embed="rId10"/>
                    <a:stretch>
                      <a:fillRect/>
                    </a:stretch>
                  </pic:blipFill>
                  <pic:spPr>
                    <a:xfrm>
                      <a:off x="0" y="0"/>
                      <a:ext cx="5615305" cy="7942580"/>
                    </a:xfrm>
                    <a:prstGeom prst="rect">
                      <a:avLst/>
                    </a:prstGeom>
                  </pic:spPr>
                </pic:pic>
              </a:graphicData>
            </a:graphic>
          </wp:inline>
        </w:drawing>
      </w:r>
      <w:r>
        <w:rPr>
          <w:rFonts w:hint="default" w:ascii="Times New Roman" w:hAnsi="Times New Roman" w:eastAsia="宋体" w:cs="Times New Roman"/>
          <w:smallCaps w:val="0"/>
          <w:color w:val="auto"/>
          <w:spacing w:val="0"/>
          <w:kern w:val="0"/>
          <w:position w:val="0"/>
          <w:sz w:val="36"/>
          <w:szCs w:val="36"/>
          <w:lang w:eastAsia="zh-CN"/>
        </w:rPr>
        <w:drawing>
          <wp:inline distT="0" distB="0" distL="114300" distR="114300">
            <wp:extent cx="5615305" cy="7942580"/>
            <wp:effectExtent l="0" t="0" r="8255" b="12700"/>
            <wp:docPr id="3" name="图片 3" descr="封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面_03"/>
                    <pic:cNvPicPr>
                      <a:picLocks noChangeAspect="1"/>
                    </pic:cNvPicPr>
                  </pic:nvPicPr>
                  <pic:blipFill>
                    <a:blip r:embed="rId11"/>
                    <a:stretch>
                      <a:fillRect/>
                    </a:stretch>
                  </pic:blipFill>
                  <pic:spPr>
                    <a:xfrm>
                      <a:off x="0" y="0"/>
                      <a:ext cx="5615305" cy="7942580"/>
                    </a:xfrm>
                    <a:prstGeom prst="rect">
                      <a:avLst/>
                    </a:prstGeom>
                  </pic:spPr>
                </pic:pic>
              </a:graphicData>
            </a:graphic>
          </wp:inline>
        </w:drawing>
      </w:r>
      <w:r>
        <w:rPr>
          <w:rFonts w:hint="default" w:ascii="Times New Roman" w:hAnsi="Times New Roman" w:eastAsia="宋体" w:cs="Times New Roman"/>
          <w:smallCaps w:val="0"/>
          <w:color w:val="auto"/>
          <w:spacing w:val="0"/>
          <w:kern w:val="0"/>
          <w:position w:val="0"/>
          <w:sz w:val="36"/>
          <w:szCs w:val="36"/>
          <w:lang w:eastAsia="zh-CN"/>
        </w:rPr>
        <w:drawing>
          <wp:inline distT="0" distB="0" distL="114300" distR="114300">
            <wp:extent cx="5615305" cy="7942580"/>
            <wp:effectExtent l="0" t="0" r="8255" b="12700"/>
            <wp:docPr id="2" name="图片 2" descr="封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封面_04"/>
                    <pic:cNvPicPr>
                      <a:picLocks noChangeAspect="1"/>
                    </pic:cNvPicPr>
                  </pic:nvPicPr>
                  <pic:blipFill>
                    <a:blip r:embed="rId12"/>
                    <a:stretch>
                      <a:fillRect/>
                    </a:stretch>
                  </pic:blipFill>
                  <pic:spPr>
                    <a:xfrm>
                      <a:off x="0" y="0"/>
                      <a:ext cx="5615305" cy="7942580"/>
                    </a:xfrm>
                    <a:prstGeom prst="rect">
                      <a:avLst/>
                    </a:prstGeom>
                  </pic:spPr>
                </pic:pic>
              </a:graphicData>
            </a:graphic>
          </wp:inline>
        </w:drawing>
      </w:r>
      <w:r>
        <w:rPr>
          <w:rFonts w:hint="default" w:ascii="Times New Roman" w:hAnsi="Times New Roman" w:eastAsia="宋体" w:cs="Times New Roman"/>
          <w:smallCaps w:val="0"/>
          <w:color w:val="auto"/>
          <w:spacing w:val="0"/>
          <w:kern w:val="0"/>
          <w:position w:val="0"/>
          <w:sz w:val="36"/>
          <w:szCs w:val="36"/>
          <w:lang w:eastAsia="zh-CN"/>
        </w:rPr>
        <w:drawing>
          <wp:inline distT="0" distB="0" distL="114300" distR="114300">
            <wp:extent cx="5615305" cy="7942580"/>
            <wp:effectExtent l="0" t="0" r="8255" b="12700"/>
            <wp:docPr id="1" name="图片 1" descr="封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_05"/>
                    <pic:cNvPicPr>
                      <a:picLocks noChangeAspect="1"/>
                    </pic:cNvPicPr>
                  </pic:nvPicPr>
                  <pic:blipFill>
                    <a:blip r:embed="rId13"/>
                    <a:stretch>
                      <a:fillRect/>
                    </a:stretch>
                  </pic:blipFill>
                  <pic:spPr>
                    <a:xfrm>
                      <a:off x="0" y="0"/>
                      <a:ext cx="5615305" cy="7942580"/>
                    </a:xfrm>
                    <a:prstGeom prst="rect">
                      <a:avLst/>
                    </a:prstGeom>
                  </pic:spPr>
                </pic:pic>
              </a:graphicData>
            </a:graphic>
          </wp:inline>
        </w:drawing>
      </w:r>
    </w:p>
    <w:p w14:paraId="4519DD9A">
      <w:pPr>
        <w:spacing w:before="60" w:after="60"/>
        <w:ind w:firstLine="740"/>
        <w:rPr>
          <w:rFonts w:hint="default" w:ascii="Times New Roman" w:hAnsi="Times New Roman" w:eastAsia="宋体" w:cs="Times New Roman"/>
          <w:smallCaps w:val="0"/>
          <w:color w:val="auto"/>
          <w:spacing w:val="0"/>
          <w:kern w:val="0"/>
          <w:position w:val="0"/>
          <w:sz w:val="36"/>
          <w:szCs w:val="36"/>
        </w:rPr>
      </w:pPr>
    </w:p>
    <w:p w14:paraId="3A521CD9">
      <w:pPr>
        <w:pStyle w:val="16"/>
        <w:spacing w:before="0" w:beforeAutospacing="0" w:after="0" w:afterAutospacing="0" w:line="60" w:lineRule="atLeast"/>
        <w:jc w:val="center"/>
        <w:outlineLvl w:val="0"/>
        <w:rPr>
          <w:rFonts w:hint="default" w:ascii="Times New Roman" w:hAnsi="Times New Roman" w:eastAsia="宋体" w:cs="Times New Roman"/>
          <w:smallCaps w:val="0"/>
          <w:snapToGrid w:val="0"/>
          <w:color w:val="auto"/>
          <w:spacing w:val="0"/>
          <w:kern w:val="0"/>
          <w:position w:val="0"/>
          <w:sz w:val="30"/>
          <w:szCs w:val="30"/>
        </w:rPr>
      </w:pPr>
    </w:p>
    <w:p w14:paraId="6DD8B217">
      <w:pPr>
        <w:pStyle w:val="16"/>
        <w:spacing w:before="0" w:beforeAutospacing="0" w:after="0" w:afterAutospacing="0" w:line="60" w:lineRule="atLeast"/>
        <w:jc w:val="center"/>
        <w:outlineLvl w:val="0"/>
        <w:rPr>
          <w:rFonts w:hint="default" w:ascii="Times New Roman" w:hAnsi="Times New Roman" w:eastAsia="宋体" w:cs="Times New Roman"/>
          <w:smallCaps w:val="0"/>
          <w:snapToGrid w:val="0"/>
          <w:color w:val="auto"/>
          <w:spacing w:val="0"/>
          <w:kern w:val="0"/>
          <w:position w:val="0"/>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D3E77DD">
      <w:pPr>
        <w:pStyle w:val="16"/>
        <w:spacing w:before="0" w:beforeAutospacing="0" w:after="0" w:afterAutospacing="0" w:line="60" w:lineRule="atLeast"/>
        <w:jc w:val="center"/>
        <w:outlineLvl w:val="0"/>
        <w:rPr>
          <w:rFonts w:hint="default" w:ascii="Times New Roman" w:hAnsi="Times New Roman" w:eastAsia="宋体" w:cs="Times New Roman"/>
          <w:smallCaps w:val="0"/>
          <w:snapToGrid w:val="0"/>
          <w:color w:val="auto"/>
          <w:spacing w:val="0"/>
          <w:kern w:val="0"/>
          <w:position w:val="0"/>
          <w:sz w:val="30"/>
          <w:szCs w:val="30"/>
        </w:rPr>
      </w:pPr>
      <w:r>
        <w:rPr>
          <w:rFonts w:hint="default" w:ascii="Times New Roman" w:hAnsi="Times New Roman" w:eastAsia="宋体" w:cs="Times New Roman"/>
          <w:smallCaps w:val="0"/>
          <w:snapToGrid w:val="0"/>
          <w:color w:val="auto"/>
          <w:spacing w:val="0"/>
          <w:kern w:val="0"/>
          <w:position w:val="0"/>
          <w:sz w:val="30"/>
          <w:szCs w:val="30"/>
        </w:rPr>
        <w:t>一、建设项目基本情况</w:t>
      </w:r>
    </w:p>
    <w:tbl>
      <w:tblPr>
        <w:tblStyle w:val="17"/>
        <w:tblW w:w="50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13"/>
        <w:gridCol w:w="2126"/>
        <w:gridCol w:w="1983"/>
        <w:gridCol w:w="3045"/>
      </w:tblGrid>
      <w:tr w14:paraId="0D839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540687ED">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建设项目名称</w:t>
            </w:r>
          </w:p>
        </w:tc>
        <w:tc>
          <w:tcPr>
            <w:tcW w:w="7155" w:type="dxa"/>
            <w:gridSpan w:val="3"/>
            <w:noWrap w:val="0"/>
            <w:vAlign w:val="center"/>
          </w:tcPr>
          <w:p w14:paraId="6AD6E80A">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eastAsia="zh-CN"/>
              </w:rPr>
              <w:t>新建年产2万套信报箱生产项目</w:t>
            </w:r>
          </w:p>
        </w:tc>
      </w:tr>
      <w:tr w14:paraId="0E185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43BF40E0">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项目代码</w:t>
            </w:r>
          </w:p>
        </w:tc>
        <w:tc>
          <w:tcPr>
            <w:tcW w:w="7155" w:type="dxa"/>
            <w:gridSpan w:val="3"/>
            <w:noWrap w:val="0"/>
            <w:vAlign w:val="center"/>
          </w:tcPr>
          <w:p w14:paraId="3BBB6800">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eastAsia="zh-CN"/>
              </w:rPr>
              <w:t>2501-320458--89-01-338691</w:t>
            </w:r>
          </w:p>
        </w:tc>
      </w:tr>
      <w:tr w14:paraId="52C2E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61F862FB">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建设单位联系人</w:t>
            </w:r>
          </w:p>
        </w:tc>
        <w:tc>
          <w:tcPr>
            <w:tcW w:w="2126" w:type="dxa"/>
            <w:noWrap w:val="0"/>
            <w:vAlign w:val="center"/>
          </w:tcPr>
          <w:p w14:paraId="32747D31">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w:t>
            </w:r>
          </w:p>
        </w:tc>
        <w:tc>
          <w:tcPr>
            <w:tcW w:w="1983" w:type="dxa"/>
            <w:noWrap w:val="0"/>
            <w:vAlign w:val="center"/>
          </w:tcPr>
          <w:p w14:paraId="7179CD2E">
            <w:pPr>
              <w:adjustRightInd w:val="0"/>
              <w:snapToGrid w:val="0"/>
              <w:spacing w:line="360" w:lineRule="exact"/>
              <w:ind w:firstLine="442"/>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联系方式</w:t>
            </w:r>
          </w:p>
        </w:tc>
        <w:tc>
          <w:tcPr>
            <w:tcW w:w="3046" w:type="dxa"/>
            <w:noWrap w:val="0"/>
            <w:vAlign w:val="center"/>
          </w:tcPr>
          <w:p w14:paraId="20F81306">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136</w:t>
            </w:r>
            <w:r>
              <w:rPr>
                <w:rFonts w:hint="eastAsia" w:cs="Times New Roman"/>
                <w:smallCaps w:val="0"/>
                <w:color w:val="auto"/>
                <w:spacing w:val="0"/>
                <w:kern w:val="0"/>
                <w:position w:val="0"/>
                <w:szCs w:val="21"/>
                <w:lang w:val="en-US" w:eastAsia="zh-CN"/>
              </w:rPr>
              <w:t>****</w:t>
            </w:r>
            <w:r>
              <w:rPr>
                <w:rFonts w:hint="default" w:ascii="Times New Roman" w:hAnsi="Times New Roman" w:eastAsia="宋体" w:cs="Times New Roman"/>
                <w:smallCaps w:val="0"/>
                <w:color w:val="auto"/>
                <w:spacing w:val="0"/>
                <w:kern w:val="0"/>
                <w:position w:val="0"/>
                <w:szCs w:val="21"/>
                <w:lang w:val="en-US" w:eastAsia="zh-CN"/>
              </w:rPr>
              <w:t>5664</w:t>
            </w:r>
          </w:p>
        </w:tc>
      </w:tr>
      <w:tr w14:paraId="47A64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79BA59A1">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建设地点</w:t>
            </w:r>
          </w:p>
        </w:tc>
        <w:tc>
          <w:tcPr>
            <w:tcW w:w="7155" w:type="dxa"/>
            <w:gridSpan w:val="3"/>
            <w:noWrap w:val="0"/>
            <w:vAlign w:val="center"/>
          </w:tcPr>
          <w:p w14:paraId="6342296B">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u w:val="single"/>
                <w:lang w:eastAsia="zh-CN"/>
              </w:rPr>
              <w:t>江苏省</w:t>
            </w:r>
            <w:r>
              <w:rPr>
                <w:rFonts w:hint="default" w:ascii="Times New Roman" w:hAnsi="Times New Roman" w:eastAsia="宋体" w:cs="Times New Roman"/>
                <w:smallCaps w:val="0"/>
                <w:color w:val="auto"/>
                <w:spacing w:val="0"/>
                <w:kern w:val="0"/>
                <w:position w:val="0"/>
                <w:szCs w:val="21"/>
                <w:u w:val="single"/>
                <w:lang w:val="en-US" w:eastAsia="zh-CN"/>
              </w:rPr>
              <w:t>常州市</w:t>
            </w:r>
            <w:r>
              <w:rPr>
                <w:rFonts w:hint="default" w:ascii="Times New Roman" w:hAnsi="Times New Roman" w:eastAsia="宋体" w:cs="Times New Roman"/>
                <w:smallCaps w:val="0"/>
                <w:color w:val="auto"/>
                <w:spacing w:val="0"/>
                <w:kern w:val="0"/>
                <w:position w:val="0"/>
                <w:szCs w:val="21"/>
                <w:u w:val="single"/>
                <w:lang w:eastAsia="zh-CN"/>
              </w:rPr>
              <w:t>金坛经济开发区汇福路8号</w:t>
            </w:r>
          </w:p>
        </w:tc>
      </w:tr>
      <w:tr w14:paraId="73A51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2A67C11E">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地理坐标</w:t>
            </w:r>
          </w:p>
        </w:tc>
        <w:tc>
          <w:tcPr>
            <w:tcW w:w="7155" w:type="dxa"/>
            <w:gridSpan w:val="3"/>
            <w:noWrap w:val="0"/>
            <w:vAlign w:val="center"/>
          </w:tcPr>
          <w:p w14:paraId="5705FF28">
            <w:pPr>
              <w:tabs>
                <w:tab w:val="left" w:pos="640"/>
                <w:tab w:val="center" w:pos="3627"/>
              </w:tabs>
              <w:adjustRightInd w:val="0"/>
              <w:snapToGrid w:val="0"/>
              <w:spacing w:line="360" w:lineRule="exact"/>
              <w:jc w:val="left"/>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lang w:eastAsia="zh-CN"/>
              </w:rPr>
              <w:tab/>
            </w:r>
            <w:r>
              <w:rPr>
                <w:rFonts w:hint="default" w:ascii="Times New Roman" w:hAnsi="Times New Roman" w:eastAsia="宋体" w:cs="Times New Roman"/>
                <w:smallCaps w:val="0"/>
                <w:color w:val="auto"/>
                <w:spacing w:val="0"/>
                <w:kern w:val="0"/>
                <w:position w:val="0"/>
                <w:szCs w:val="21"/>
                <w:lang w:eastAsia="zh-CN"/>
              </w:rPr>
              <w:tab/>
            </w:r>
            <w:r>
              <w:rPr>
                <w:rFonts w:hint="default" w:ascii="Times New Roman" w:hAnsi="Times New Roman" w:eastAsia="宋体" w:cs="Times New Roman"/>
                <w:smallCaps w:val="0"/>
                <w:color w:val="auto"/>
                <w:spacing w:val="0"/>
                <w:kern w:val="0"/>
                <w:position w:val="0"/>
                <w:szCs w:val="21"/>
              </w:rPr>
              <w:t>（</w:t>
            </w:r>
            <w:r>
              <w:rPr>
                <w:rFonts w:hint="default" w:ascii="Times New Roman" w:hAnsi="Times New Roman" w:eastAsia="宋体" w:cs="Times New Roman"/>
                <w:smallCaps w:val="0"/>
                <w:color w:val="auto"/>
                <w:spacing w:val="0"/>
                <w:kern w:val="0"/>
                <w:position w:val="0"/>
                <w:szCs w:val="21"/>
                <w:u w:val="single"/>
                <w:lang w:val="en-US" w:eastAsia="zh-CN"/>
              </w:rPr>
              <w:t>119</w:t>
            </w:r>
            <w:r>
              <w:rPr>
                <w:rFonts w:hint="default" w:ascii="Times New Roman" w:hAnsi="Times New Roman" w:eastAsia="宋体" w:cs="Times New Roman"/>
                <w:smallCaps w:val="0"/>
                <w:color w:val="auto"/>
                <w:spacing w:val="0"/>
                <w:kern w:val="0"/>
                <w:position w:val="0"/>
                <w:szCs w:val="21"/>
              </w:rPr>
              <w:t>度</w:t>
            </w:r>
            <w:r>
              <w:rPr>
                <w:rFonts w:hint="default" w:ascii="Times New Roman" w:hAnsi="Times New Roman" w:eastAsia="宋体" w:cs="Times New Roman"/>
                <w:smallCaps w:val="0"/>
                <w:color w:val="auto"/>
                <w:spacing w:val="0"/>
                <w:kern w:val="0"/>
                <w:position w:val="0"/>
                <w:szCs w:val="21"/>
                <w:u w:val="single"/>
                <w:lang w:val="en-US" w:eastAsia="zh-CN"/>
              </w:rPr>
              <w:t>38</w:t>
            </w:r>
            <w:r>
              <w:rPr>
                <w:rFonts w:hint="default" w:ascii="Times New Roman" w:hAnsi="Times New Roman" w:eastAsia="宋体" w:cs="Times New Roman"/>
                <w:smallCaps w:val="0"/>
                <w:color w:val="auto"/>
                <w:spacing w:val="0"/>
                <w:kern w:val="0"/>
                <w:position w:val="0"/>
                <w:szCs w:val="21"/>
              </w:rPr>
              <w:t>分</w:t>
            </w:r>
            <w:r>
              <w:rPr>
                <w:rFonts w:hint="default" w:ascii="Times New Roman" w:hAnsi="Times New Roman" w:eastAsia="宋体" w:cs="Times New Roman"/>
                <w:smallCaps w:val="0"/>
                <w:color w:val="auto"/>
                <w:spacing w:val="0"/>
                <w:kern w:val="0"/>
                <w:position w:val="0"/>
                <w:szCs w:val="21"/>
                <w:u w:val="single"/>
                <w:lang w:val="en-US" w:eastAsia="zh-CN"/>
              </w:rPr>
              <w:t>37.372</w:t>
            </w:r>
            <w:r>
              <w:rPr>
                <w:rFonts w:hint="default" w:ascii="Times New Roman" w:hAnsi="Times New Roman" w:eastAsia="宋体" w:cs="Times New Roman"/>
                <w:smallCaps w:val="0"/>
                <w:color w:val="auto"/>
                <w:spacing w:val="0"/>
                <w:kern w:val="0"/>
                <w:position w:val="0"/>
                <w:szCs w:val="21"/>
              </w:rPr>
              <w:t>秒，</w:t>
            </w:r>
            <w:r>
              <w:rPr>
                <w:rFonts w:hint="default" w:ascii="Times New Roman" w:hAnsi="Times New Roman" w:eastAsia="宋体" w:cs="Times New Roman"/>
                <w:smallCaps w:val="0"/>
                <w:color w:val="auto"/>
                <w:spacing w:val="0"/>
                <w:kern w:val="0"/>
                <w:position w:val="0"/>
                <w:szCs w:val="21"/>
                <w:u w:val="single"/>
              </w:rPr>
              <w:t>31</w:t>
            </w:r>
            <w:r>
              <w:rPr>
                <w:rFonts w:hint="default" w:ascii="Times New Roman" w:hAnsi="Times New Roman" w:eastAsia="宋体" w:cs="Times New Roman"/>
                <w:smallCaps w:val="0"/>
                <w:color w:val="auto"/>
                <w:spacing w:val="0"/>
                <w:kern w:val="0"/>
                <w:position w:val="0"/>
                <w:szCs w:val="21"/>
              </w:rPr>
              <w:t>度</w:t>
            </w:r>
            <w:r>
              <w:rPr>
                <w:rFonts w:hint="default" w:ascii="Times New Roman" w:hAnsi="Times New Roman" w:eastAsia="宋体" w:cs="Times New Roman"/>
                <w:smallCaps w:val="0"/>
                <w:color w:val="auto"/>
                <w:spacing w:val="0"/>
                <w:kern w:val="0"/>
                <w:position w:val="0"/>
                <w:szCs w:val="21"/>
                <w:u w:val="single"/>
                <w:lang w:val="en-US" w:eastAsia="zh-CN"/>
              </w:rPr>
              <w:t>45</w:t>
            </w:r>
            <w:r>
              <w:rPr>
                <w:rFonts w:hint="default" w:ascii="Times New Roman" w:hAnsi="Times New Roman" w:eastAsia="宋体" w:cs="Times New Roman"/>
                <w:smallCaps w:val="0"/>
                <w:color w:val="auto"/>
                <w:spacing w:val="0"/>
                <w:kern w:val="0"/>
                <w:position w:val="0"/>
                <w:szCs w:val="21"/>
              </w:rPr>
              <w:t>分</w:t>
            </w:r>
            <w:r>
              <w:rPr>
                <w:rFonts w:hint="default" w:ascii="Times New Roman" w:hAnsi="Times New Roman" w:eastAsia="宋体" w:cs="Times New Roman"/>
                <w:smallCaps w:val="0"/>
                <w:color w:val="auto"/>
                <w:spacing w:val="0"/>
                <w:kern w:val="0"/>
                <w:position w:val="0"/>
                <w:szCs w:val="21"/>
                <w:u w:val="single"/>
                <w:lang w:val="en-US" w:eastAsia="zh-CN"/>
              </w:rPr>
              <w:t>52.123</w:t>
            </w:r>
            <w:r>
              <w:rPr>
                <w:rFonts w:hint="default" w:ascii="Times New Roman" w:hAnsi="Times New Roman" w:eastAsia="宋体" w:cs="Times New Roman"/>
                <w:smallCaps w:val="0"/>
                <w:color w:val="auto"/>
                <w:spacing w:val="0"/>
                <w:kern w:val="0"/>
                <w:position w:val="0"/>
                <w:szCs w:val="21"/>
              </w:rPr>
              <w:t>秒）</w:t>
            </w:r>
          </w:p>
        </w:tc>
      </w:tr>
      <w:tr w14:paraId="03932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2C766763">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国民经济行业类别</w:t>
            </w:r>
          </w:p>
        </w:tc>
        <w:tc>
          <w:tcPr>
            <w:tcW w:w="2126" w:type="dxa"/>
            <w:noWrap w:val="0"/>
            <w:vAlign w:val="center"/>
          </w:tcPr>
          <w:p w14:paraId="04C4F979">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邮政专用机械及器材制造[C3593]</w:t>
            </w:r>
          </w:p>
        </w:tc>
        <w:tc>
          <w:tcPr>
            <w:tcW w:w="1983" w:type="dxa"/>
            <w:noWrap w:val="0"/>
            <w:vAlign w:val="center"/>
          </w:tcPr>
          <w:p w14:paraId="5FF6EC51">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bookmarkStart w:id="0" w:name="_Hlk49843745"/>
            <w:r>
              <w:rPr>
                <w:rFonts w:hint="default" w:ascii="Times New Roman" w:hAnsi="Times New Roman" w:eastAsia="宋体" w:cs="Times New Roman"/>
                <w:b/>
                <w:smallCaps w:val="0"/>
                <w:color w:val="auto"/>
                <w:spacing w:val="0"/>
                <w:kern w:val="0"/>
                <w:position w:val="0"/>
                <w:szCs w:val="21"/>
              </w:rPr>
              <w:t>建设项目行业类别</w:t>
            </w:r>
            <w:bookmarkEnd w:id="0"/>
          </w:p>
        </w:tc>
        <w:tc>
          <w:tcPr>
            <w:tcW w:w="3046" w:type="dxa"/>
            <w:noWrap w:val="0"/>
            <w:vAlign w:val="center"/>
          </w:tcPr>
          <w:p w14:paraId="572AD671">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三十二、专业设备制造业35-70环保、邮政、社会公共服务及其他专用设备制造359</w:t>
            </w:r>
          </w:p>
        </w:tc>
      </w:tr>
      <w:tr w14:paraId="67CDA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83" w:hRule="atLeast"/>
          <w:jc w:val="center"/>
        </w:trPr>
        <w:tc>
          <w:tcPr>
            <w:tcW w:w="1814" w:type="dxa"/>
            <w:noWrap w:val="0"/>
            <w:tcMar>
              <w:top w:w="16" w:type="dxa"/>
              <w:left w:w="16" w:type="dxa"/>
              <w:right w:w="16" w:type="dxa"/>
            </w:tcMar>
            <w:vAlign w:val="center"/>
          </w:tcPr>
          <w:p w14:paraId="1C55010B">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建设性质</w:t>
            </w:r>
          </w:p>
        </w:tc>
        <w:tc>
          <w:tcPr>
            <w:tcW w:w="2126" w:type="dxa"/>
            <w:noWrap w:val="0"/>
            <w:vAlign w:val="center"/>
          </w:tcPr>
          <w:p w14:paraId="5783C55D">
            <w:pPr>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sym w:font="Wingdings 2" w:char="0052"/>
            </w:r>
            <w:r>
              <w:rPr>
                <w:rFonts w:hint="default" w:ascii="Times New Roman" w:hAnsi="Times New Roman" w:eastAsia="宋体" w:cs="Times New Roman"/>
                <w:smallCaps w:val="0"/>
                <w:color w:val="auto"/>
                <w:spacing w:val="0"/>
                <w:kern w:val="0"/>
                <w:position w:val="0"/>
                <w:szCs w:val="21"/>
              </w:rPr>
              <w:t>新建（迁建）</w:t>
            </w:r>
          </w:p>
          <w:p w14:paraId="3011579C">
            <w:pPr>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sym w:font="Wingdings 2" w:char="00A3"/>
            </w:r>
            <w:r>
              <w:rPr>
                <w:rFonts w:hint="default" w:ascii="Times New Roman" w:hAnsi="Times New Roman" w:eastAsia="宋体" w:cs="Times New Roman"/>
                <w:smallCaps w:val="0"/>
                <w:color w:val="auto"/>
                <w:spacing w:val="0"/>
                <w:kern w:val="0"/>
                <w:position w:val="0"/>
                <w:szCs w:val="21"/>
              </w:rPr>
              <w:t>改建</w:t>
            </w:r>
          </w:p>
          <w:p w14:paraId="1ACDC8E8">
            <w:pPr>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sym w:font="Wingdings 2" w:char="00A3"/>
            </w:r>
            <w:r>
              <w:rPr>
                <w:rFonts w:hint="default" w:ascii="Times New Roman" w:hAnsi="Times New Roman" w:eastAsia="宋体" w:cs="Times New Roman"/>
                <w:smallCaps w:val="0"/>
                <w:color w:val="auto"/>
                <w:spacing w:val="0"/>
                <w:kern w:val="0"/>
                <w:position w:val="0"/>
                <w:szCs w:val="21"/>
              </w:rPr>
              <w:t>扩建</w:t>
            </w:r>
          </w:p>
          <w:p w14:paraId="4D012323">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sym w:font="Wingdings 2" w:char="00A3"/>
            </w:r>
            <w:r>
              <w:rPr>
                <w:rFonts w:hint="default" w:ascii="Times New Roman" w:hAnsi="Times New Roman" w:eastAsia="宋体" w:cs="Times New Roman"/>
                <w:smallCaps w:val="0"/>
                <w:color w:val="auto"/>
                <w:spacing w:val="0"/>
                <w:kern w:val="0"/>
                <w:position w:val="0"/>
                <w:szCs w:val="21"/>
              </w:rPr>
              <w:t>技术改造</w:t>
            </w:r>
          </w:p>
        </w:tc>
        <w:tc>
          <w:tcPr>
            <w:tcW w:w="1983" w:type="dxa"/>
            <w:noWrap w:val="0"/>
            <w:vAlign w:val="center"/>
          </w:tcPr>
          <w:p w14:paraId="6BD1B1A0">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建设项目申报情形</w:t>
            </w:r>
          </w:p>
        </w:tc>
        <w:tc>
          <w:tcPr>
            <w:tcW w:w="3046" w:type="dxa"/>
            <w:noWrap w:val="0"/>
            <w:vAlign w:val="center"/>
          </w:tcPr>
          <w:p w14:paraId="50404009">
            <w:pPr>
              <w:spacing w:line="36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rPr>
              <w:sym w:font="Wingdings 2" w:char="0052"/>
            </w:r>
            <w:r>
              <w:rPr>
                <w:rFonts w:hint="default" w:ascii="Times New Roman" w:hAnsi="Times New Roman" w:eastAsia="宋体" w:cs="Times New Roman"/>
                <w:smallCaps w:val="0"/>
                <w:color w:val="auto"/>
                <w:spacing w:val="0"/>
                <w:kern w:val="0"/>
                <w:position w:val="0"/>
                <w:szCs w:val="21"/>
              </w:rPr>
              <w:t>首次申报项目</w:t>
            </w:r>
          </w:p>
          <w:p w14:paraId="6C6DC77A">
            <w:pPr>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□不予批准后再次申报项目</w:t>
            </w:r>
          </w:p>
          <w:p w14:paraId="4AC89C3D">
            <w:pPr>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□超五年重新审核项目</w:t>
            </w:r>
          </w:p>
          <w:p w14:paraId="6DE6410B">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□重大变动重新报批项目</w:t>
            </w:r>
          </w:p>
        </w:tc>
      </w:tr>
      <w:tr w14:paraId="2CB6B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21160C78">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项目审批</w:t>
            </w:r>
          </w:p>
          <w:p w14:paraId="520A45BE">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（备案）部门</w:t>
            </w:r>
          </w:p>
        </w:tc>
        <w:tc>
          <w:tcPr>
            <w:tcW w:w="2126" w:type="dxa"/>
            <w:noWrap w:val="0"/>
            <w:vAlign w:val="center"/>
          </w:tcPr>
          <w:p w14:paraId="72007B83">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eastAsia="zh-CN"/>
              </w:rPr>
              <w:t>江苏金坛经济开发区经济发展局</w:t>
            </w:r>
          </w:p>
        </w:tc>
        <w:tc>
          <w:tcPr>
            <w:tcW w:w="1983" w:type="dxa"/>
            <w:noWrap w:val="0"/>
            <w:vAlign w:val="center"/>
          </w:tcPr>
          <w:p w14:paraId="428FD56C">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项目审批</w:t>
            </w:r>
          </w:p>
          <w:p w14:paraId="1B01016E">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（备案）文号</w:t>
            </w:r>
          </w:p>
        </w:tc>
        <w:tc>
          <w:tcPr>
            <w:tcW w:w="3046" w:type="dxa"/>
            <w:noWrap w:val="0"/>
            <w:vAlign w:val="center"/>
          </w:tcPr>
          <w:p w14:paraId="2DD8739D">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eastAsia="zh-CN"/>
              </w:rPr>
              <w:t>坛开经发备字[2025]11号</w:t>
            </w:r>
          </w:p>
        </w:tc>
      </w:tr>
      <w:tr w14:paraId="268DE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4FBC88B9">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总投资（万元）</w:t>
            </w:r>
          </w:p>
        </w:tc>
        <w:tc>
          <w:tcPr>
            <w:tcW w:w="2126" w:type="dxa"/>
            <w:noWrap w:val="0"/>
            <w:vAlign w:val="center"/>
          </w:tcPr>
          <w:p w14:paraId="50255640">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val="en-US"/>
              </w:rPr>
            </w:pPr>
            <w:r>
              <w:rPr>
                <w:rFonts w:hint="default" w:ascii="Times New Roman" w:hAnsi="Times New Roman" w:eastAsia="宋体" w:cs="Times New Roman"/>
                <w:smallCaps w:val="0"/>
                <w:color w:val="auto"/>
                <w:spacing w:val="0"/>
                <w:kern w:val="0"/>
                <w:position w:val="0"/>
                <w:szCs w:val="21"/>
                <w:lang w:val="en-US" w:eastAsia="zh-CN"/>
              </w:rPr>
              <w:t>300</w:t>
            </w:r>
          </w:p>
        </w:tc>
        <w:tc>
          <w:tcPr>
            <w:tcW w:w="1983" w:type="dxa"/>
            <w:noWrap w:val="0"/>
            <w:tcMar>
              <w:top w:w="16" w:type="dxa"/>
              <w:left w:w="16" w:type="dxa"/>
              <w:right w:w="16" w:type="dxa"/>
            </w:tcMar>
            <w:vAlign w:val="center"/>
          </w:tcPr>
          <w:p w14:paraId="4ADB6774">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环保投资（万元）</w:t>
            </w:r>
          </w:p>
        </w:tc>
        <w:tc>
          <w:tcPr>
            <w:tcW w:w="3046" w:type="dxa"/>
            <w:noWrap w:val="0"/>
            <w:vAlign w:val="center"/>
          </w:tcPr>
          <w:p w14:paraId="160B1B43">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10</w:t>
            </w:r>
          </w:p>
        </w:tc>
      </w:tr>
      <w:tr w14:paraId="0E68A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37709EAB">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环保投资占比（%）</w:t>
            </w:r>
          </w:p>
        </w:tc>
        <w:tc>
          <w:tcPr>
            <w:tcW w:w="2126" w:type="dxa"/>
            <w:noWrap w:val="0"/>
            <w:vAlign w:val="center"/>
          </w:tcPr>
          <w:p w14:paraId="6BDA92F2">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3.33</w:t>
            </w:r>
          </w:p>
        </w:tc>
        <w:tc>
          <w:tcPr>
            <w:tcW w:w="1983" w:type="dxa"/>
            <w:noWrap w:val="0"/>
            <w:tcMar>
              <w:top w:w="16" w:type="dxa"/>
              <w:left w:w="16" w:type="dxa"/>
              <w:right w:w="16" w:type="dxa"/>
            </w:tcMar>
            <w:vAlign w:val="center"/>
          </w:tcPr>
          <w:p w14:paraId="68D258E9">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施工工期</w:t>
            </w:r>
          </w:p>
        </w:tc>
        <w:tc>
          <w:tcPr>
            <w:tcW w:w="3046" w:type="dxa"/>
            <w:noWrap w:val="0"/>
            <w:vAlign w:val="center"/>
          </w:tcPr>
          <w:p w14:paraId="6A13AC6F">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1个月</w:t>
            </w:r>
          </w:p>
        </w:tc>
      </w:tr>
      <w:tr w14:paraId="0ACA9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814" w:type="dxa"/>
            <w:noWrap w:val="0"/>
            <w:tcMar>
              <w:top w:w="16" w:type="dxa"/>
              <w:left w:w="16" w:type="dxa"/>
              <w:right w:w="16" w:type="dxa"/>
            </w:tcMar>
            <w:vAlign w:val="center"/>
          </w:tcPr>
          <w:p w14:paraId="145C9635">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是否开工建设</w:t>
            </w:r>
          </w:p>
        </w:tc>
        <w:tc>
          <w:tcPr>
            <w:tcW w:w="2126" w:type="dxa"/>
            <w:noWrap w:val="0"/>
            <w:vAlign w:val="center"/>
          </w:tcPr>
          <w:p w14:paraId="7A76447E">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sym w:font="Wingdings" w:char="F0FE"/>
            </w:r>
            <w:r>
              <w:rPr>
                <w:rFonts w:hint="default" w:ascii="Times New Roman" w:hAnsi="Times New Roman" w:eastAsia="宋体" w:cs="Times New Roman"/>
                <w:smallCaps w:val="0"/>
                <w:color w:val="auto"/>
                <w:spacing w:val="0"/>
                <w:kern w:val="0"/>
                <w:position w:val="0"/>
                <w:szCs w:val="21"/>
              </w:rPr>
              <w:t>否</w:t>
            </w:r>
          </w:p>
          <w:p w14:paraId="671740C7">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rPr>
              <w:t>□是：</w:t>
            </w:r>
          </w:p>
        </w:tc>
        <w:tc>
          <w:tcPr>
            <w:tcW w:w="1983" w:type="dxa"/>
            <w:noWrap w:val="0"/>
            <w:tcMar>
              <w:top w:w="16" w:type="dxa"/>
              <w:left w:w="16" w:type="dxa"/>
              <w:right w:w="16" w:type="dxa"/>
            </w:tcMar>
            <w:vAlign w:val="center"/>
          </w:tcPr>
          <w:p w14:paraId="54739346">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用地（用海）</w:t>
            </w:r>
          </w:p>
          <w:p w14:paraId="5C57B087">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面积（m</w:t>
            </w:r>
            <w:r>
              <w:rPr>
                <w:rFonts w:hint="default" w:ascii="Times New Roman" w:hAnsi="Times New Roman" w:eastAsia="宋体" w:cs="Times New Roman"/>
                <w:b/>
                <w:smallCaps w:val="0"/>
                <w:color w:val="auto"/>
                <w:spacing w:val="0"/>
                <w:kern w:val="0"/>
                <w:position w:val="0"/>
                <w:szCs w:val="21"/>
                <w:vertAlign w:val="superscript"/>
              </w:rPr>
              <w:t>2</w:t>
            </w:r>
            <w:r>
              <w:rPr>
                <w:rFonts w:hint="default" w:ascii="Times New Roman" w:hAnsi="Times New Roman" w:eastAsia="宋体" w:cs="Times New Roman"/>
                <w:b/>
                <w:smallCaps w:val="0"/>
                <w:color w:val="auto"/>
                <w:spacing w:val="0"/>
                <w:kern w:val="0"/>
                <w:position w:val="0"/>
                <w:szCs w:val="21"/>
              </w:rPr>
              <w:t>）</w:t>
            </w:r>
          </w:p>
        </w:tc>
        <w:tc>
          <w:tcPr>
            <w:tcW w:w="3046" w:type="dxa"/>
            <w:noWrap w:val="0"/>
            <w:vAlign w:val="center"/>
          </w:tcPr>
          <w:p w14:paraId="1D14B79B">
            <w:pPr>
              <w:adjustRightInd w:val="0"/>
              <w:snapToGrid w:val="0"/>
              <w:spacing w:line="36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300</w:t>
            </w:r>
          </w:p>
        </w:tc>
      </w:tr>
      <w:tr w14:paraId="5F9C1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4" w:type="dxa"/>
            <w:noWrap w:val="0"/>
            <w:vAlign w:val="center"/>
          </w:tcPr>
          <w:p w14:paraId="46BA233F">
            <w:pPr>
              <w:autoSpaceDE w:val="0"/>
              <w:autoSpaceDN w:val="0"/>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专项评价设置情况</w:t>
            </w:r>
          </w:p>
        </w:tc>
        <w:tc>
          <w:tcPr>
            <w:tcW w:w="7155" w:type="dxa"/>
            <w:gridSpan w:val="3"/>
            <w:noWrap w:val="0"/>
            <w:vAlign w:val="center"/>
          </w:tcPr>
          <w:p w14:paraId="7F673EE1">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left"/>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根据《建设项目环境影响报告表编制技术指南（污染类）（试行）》，专项设置原则如下：</w:t>
            </w:r>
          </w:p>
          <w:p w14:paraId="343218CB">
            <w:pPr>
              <w:snapToGrid w:val="0"/>
              <w:spacing w:before="72" w:beforeLines="30"/>
              <w:jc w:val="center"/>
              <w:rPr>
                <w:rFonts w:hint="default" w:ascii="Times New Roman" w:hAnsi="Times New Roman" w:eastAsia="宋体" w:cs="Times New Roman"/>
                <w:b/>
                <w:bCs/>
                <w:smallCaps w:val="0"/>
                <w:color w:val="auto"/>
                <w:spacing w:val="0"/>
                <w:kern w:val="0"/>
                <w:position w:val="0"/>
                <w:szCs w:val="21"/>
                <w:lang w:val="en-US" w:eastAsia="zh-CN"/>
              </w:rPr>
            </w:pPr>
            <w:r>
              <w:rPr>
                <w:rFonts w:hint="default" w:ascii="Times New Roman" w:hAnsi="Times New Roman" w:eastAsia="宋体" w:cs="Times New Roman"/>
                <w:b/>
                <w:bCs/>
                <w:smallCaps w:val="0"/>
                <w:color w:val="auto"/>
                <w:spacing w:val="0"/>
                <w:kern w:val="0"/>
                <w:position w:val="0"/>
                <w:szCs w:val="21"/>
              </w:rPr>
              <w:t>表1-1</w:t>
            </w:r>
            <w:r>
              <w:rPr>
                <w:rFonts w:hint="default" w:ascii="Times New Roman" w:hAnsi="Times New Roman" w:eastAsia="宋体" w:cs="Times New Roman"/>
                <w:b/>
                <w:bCs/>
                <w:smallCaps w:val="0"/>
                <w:color w:val="auto"/>
                <w:spacing w:val="0"/>
                <w:kern w:val="0"/>
                <w:position w:val="0"/>
                <w:szCs w:val="21"/>
                <w:lang w:val="en-US" w:eastAsia="zh-CN"/>
              </w:rPr>
              <w:t>专项评价设置对照表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18"/>
              <w:gridCol w:w="3959"/>
              <w:gridCol w:w="2061"/>
            </w:tblGrid>
            <w:tr w14:paraId="0EC94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noWrap w:val="0"/>
                  <w:vAlign w:val="center"/>
                </w:tcPr>
                <w:p w14:paraId="62F189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smallCaps w:val="0"/>
                      <w:color w:val="auto"/>
                      <w:spacing w:val="0"/>
                      <w:kern w:val="0"/>
                      <w:position w:val="0"/>
                      <w:szCs w:val="21"/>
                      <w:lang w:val="en-US" w:eastAsia="zh-CN"/>
                    </w:rPr>
                  </w:pPr>
                  <w:r>
                    <w:rPr>
                      <w:rFonts w:hint="default" w:ascii="Times New Roman" w:hAnsi="Times New Roman" w:eastAsia="宋体" w:cs="Times New Roman"/>
                      <w:b/>
                      <w:smallCaps w:val="0"/>
                      <w:color w:val="auto"/>
                      <w:spacing w:val="0"/>
                      <w:kern w:val="0"/>
                      <w:position w:val="0"/>
                      <w:szCs w:val="21"/>
                      <w:lang w:val="en-US" w:eastAsia="zh-CN"/>
                    </w:rPr>
                    <w:t>专项评价的类别</w:t>
                  </w:r>
                </w:p>
              </w:tc>
              <w:tc>
                <w:tcPr>
                  <w:tcW w:w="2852" w:type="pct"/>
                  <w:noWrap w:val="0"/>
                  <w:vAlign w:val="center"/>
                </w:tcPr>
                <w:p w14:paraId="44AFF0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smallCaps w:val="0"/>
                      <w:color w:val="auto"/>
                      <w:spacing w:val="0"/>
                      <w:kern w:val="0"/>
                      <w:position w:val="0"/>
                      <w:szCs w:val="21"/>
                      <w:lang w:val="en-US" w:eastAsia="zh-CN"/>
                    </w:rPr>
                  </w:pPr>
                  <w:r>
                    <w:rPr>
                      <w:rFonts w:hint="default" w:ascii="Times New Roman" w:hAnsi="Times New Roman" w:eastAsia="宋体" w:cs="Times New Roman"/>
                      <w:b/>
                      <w:smallCaps w:val="0"/>
                      <w:color w:val="auto"/>
                      <w:spacing w:val="0"/>
                      <w:kern w:val="0"/>
                      <w:position w:val="0"/>
                      <w:szCs w:val="21"/>
                      <w:lang w:val="en-US" w:eastAsia="zh-CN"/>
                    </w:rPr>
                    <w:t>设置原则</w:t>
                  </w:r>
                </w:p>
              </w:tc>
              <w:tc>
                <w:tcPr>
                  <w:tcW w:w="1485" w:type="pct"/>
                  <w:noWrap w:val="0"/>
                  <w:vAlign w:val="center"/>
                </w:tcPr>
                <w:p w14:paraId="5E43A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smallCaps w:val="0"/>
                      <w:color w:val="auto"/>
                      <w:spacing w:val="0"/>
                      <w:kern w:val="0"/>
                      <w:position w:val="0"/>
                      <w:szCs w:val="21"/>
                      <w:lang w:val="en-US" w:eastAsia="zh-CN"/>
                    </w:rPr>
                  </w:pPr>
                  <w:r>
                    <w:rPr>
                      <w:rFonts w:hint="default" w:ascii="Times New Roman" w:hAnsi="Times New Roman" w:eastAsia="宋体" w:cs="Times New Roman"/>
                      <w:b/>
                      <w:smallCaps w:val="0"/>
                      <w:color w:val="auto"/>
                      <w:spacing w:val="0"/>
                      <w:kern w:val="0"/>
                      <w:position w:val="0"/>
                      <w:szCs w:val="21"/>
                      <w:lang w:val="en-US" w:eastAsia="zh-CN"/>
                    </w:rPr>
                    <w:t>对照</w:t>
                  </w:r>
                </w:p>
              </w:tc>
            </w:tr>
            <w:tr w14:paraId="459BB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noWrap w:val="0"/>
                  <w:vAlign w:val="center"/>
                </w:tcPr>
                <w:p w14:paraId="3E6828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大气</w:t>
                  </w:r>
                </w:p>
              </w:tc>
              <w:tc>
                <w:tcPr>
                  <w:tcW w:w="2852" w:type="pct"/>
                  <w:noWrap w:val="0"/>
                  <w:vAlign w:val="center"/>
                </w:tcPr>
                <w:p w14:paraId="732751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排放废气含有毒有害污染物</w:t>
                  </w:r>
                  <w:r>
                    <w:rPr>
                      <w:rFonts w:hint="default" w:ascii="Times New Roman" w:hAnsi="Times New Roman" w:eastAsia="宋体" w:cs="Times New Roman"/>
                      <w:smallCaps w:val="0"/>
                      <w:color w:val="auto"/>
                      <w:spacing w:val="0"/>
                      <w:kern w:val="0"/>
                      <w:position w:val="0"/>
                      <w:szCs w:val="21"/>
                      <w:vertAlign w:val="superscript"/>
                    </w:rPr>
                    <w:t>1</w:t>
                  </w:r>
                  <w:r>
                    <w:rPr>
                      <w:rFonts w:hint="default" w:ascii="Times New Roman" w:hAnsi="Times New Roman" w:eastAsia="宋体" w:cs="Times New Roman"/>
                      <w:smallCaps w:val="0"/>
                      <w:color w:val="auto"/>
                      <w:spacing w:val="0"/>
                      <w:kern w:val="0"/>
                      <w:position w:val="0"/>
                      <w:szCs w:val="21"/>
                    </w:rPr>
                    <w:t>、二噁英、苯并[ɑ]芘、氰化物、氯气且厂界外500米范围内有环境空气保护目标</w:t>
                  </w:r>
                  <w:r>
                    <w:rPr>
                      <w:rFonts w:hint="default" w:ascii="Times New Roman" w:hAnsi="Times New Roman" w:eastAsia="宋体" w:cs="Times New Roman"/>
                      <w:smallCaps w:val="0"/>
                      <w:color w:val="auto"/>
                      <w:spacing w:val="0"/>
                      <w:kern w:val="0"/>
                      <w:position w:val="0"/>
                      <w:szCs w:val="21"/>
                      <w:vertAlign w:val="superscript"/>
                    </w:rPr>
                    <w:t>2</w:t>
                  </w:r>
                  <w:r>
                    <w:rPr>
                      <w:rFonts w:hint="default" w:ascii="Times New Roman" w:hAnsi="Times New Roman" w:eastAsia="宋体" w:cs="Times New Roman"/>
                      <w:smallCaps w:val="0"/>
                      <w:color w:val="auto"/>
                      <w:spacing w:val="0"/>
                      <w:kern w:val="0"/>
                      <w:position w:val="0"/>
                      <w:szCs w:val="21"/>
                    </w:rPr>
                    <w:t>的建设项目</w:t>
                  </w:r>
                </w:p>
              </w:tc>
              <w:tc>
                <w:tcPr>
                  <w:tcW w:w="1485" w:type="pct"/>
                  <w:noWrap w:val="0"/>
                  <w:vAlign w:val="center"/>
                </w:tcPr>
                <w:p w14:paraId="25C5C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本项目不涉及有毒有害污染物、二噁英、苯并[ɑ]芘、氰化物、氯气</w:t>
                  </w:r>
                </w:p>
              </w:tc>
            </w:tr>
            <w:tr w14:paraId="115444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noWrap w:val="0"/>
                  <w:vAlign w:val="center"/>
                </w:tcPr>
                <w:p w14:paraId="427895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地表水</w:t>
                  </w:r>
                </w:p>
              </w:tc>
              <w:tc>
                <w:tcPr>
                  <w:tcW w:w="2852" w:type="pct"/>
                  <w:noWrap w:val="0"/>
                  <w:vAlign w:val="center"/>
                </w:tcPr>
                <w:p w14:paraId="518CD9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新增工业废水直排建设项目（槽罐车外送污水处理厂的除外）；新增废水直排的污水集中处理厂</w:t>
                  </w:r>
                </w:p>
              </w:tc>
              <w:tc>
                <w:tcPr>
                  <w:tcW w:w="1485" w:type="pct"/>
                  <w:noWrap w:val="0"/>
                  <w:vAlign w:val="center"/>
                </w:tcPr>
                <w:p w14:paraId="6F531B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本项目不涉及污水直排</w:t>
                  </w:r>
                </w:p>
              </w:tc>
            </w:tr>
            <w:tr w14:paraId="45451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noWrap w:val="0"/>
                  <w:vAlign w:val="center"/>
                </w:tcPr>
                <w:p w14:paraId="21CB77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环境风险</w:t>
                  </w:r>
                </w:p>
              </w:tc>
              <w:tc>
                <w:tcPr>
                  <w:tcW w:w="2852" w:type="pct"/>
                  <w:noWrap w:val="0"/>
                  <w:vAlign w:val="center"/>
                </w:tcPr>
                <w:p w14:paraId="7F2C9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有毒有害和易燃易爆危险物质存储量超过临界量</w:t>
                  </w:r>
                  <w:r>
                    <w:rPr>
                      <w:rFonts w:hint="default" w:ascii="Times New Roman" w:hAnsi="Times New Roman" w:eastAsia="宋体" w:cs="Times New Roman"/>
                      <w:smallCaps w:val="0"/>
                      <w:color w:val="auto"/>
                      <w:spacing w:val="0"/>
                      <w:kern w:val="0"/>
                      <w:position w:val="0"/>
                      <w:szCs w:val="21"/>
                      <w:vertAlign w:val="superscript"/>
                    </w:rPr>
                    <w:t>3</w:t>
                  </w:r>
                  <w:r>
                    <w:rPr>
                      <w:rFonts w:hint="default" w:ascii="Times New Roman" w:hAnsi="Times New Roman" w:eastAsia="宋体" w:cs="Times New Roman"/>
                      <w:smallCaps w:val="0"/>
                      <w:color w:val="auto"/>
                      <w:spacing w:val="0"/>
                      <w:kern w:val="0"/>
                      <w:position w:val="0"/>
                      <w:szCs w:val="21"/>
                    </w:rPr>
                    <w:t>的建设项目</w:t>
                  </w:r>
                </w:p>
              </w:tc>
              <w:tc>
                <w:tcPr>
                  <w:tcW w:w="1485" w:type="pct"/>
                  <w:noWrap w:val="0"/>
                  <w:vAlign w:val="center"/>
                </w:tcPr>
                <w:p w14:paraId="0A6EC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本项目有毒有害和易燃易爆危险物质存储量未超过临界量</w:t>
                  </w:r>
                </w:p>
              </w:tc>
            </w:tr>
            <w:tr w14:paraId="5F08D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noWrap w:val="0"/>
                  <w:vAlign w:val="center"/>
                </w:tcPr>
                <w:p w14:paraId="7E493F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生态</w:t>
                  </w:r>
                </w:p>
              </w:tc>
              <w:tc>
                <w:tcPr>
                  <w:tcW w:w="2852" w:type="pct"/>
                  <w:noWrap w:val="0"/>
                  <w:vAlign w:val="center"/>
                </w:tcPr>
                <w:p w14:paraId="11F0EC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取水口下游500米范围内有重要水生生物的自然产卵场、索饵场、越冬场和洄游通道的新增河道取水的污染类建设项目</w:t>
                  </w:r>
                </w:p>
              </w:tc>
              <w:tc>
                <w:tcPr>
                  <w:tcW w:w="1485" w:type="pct"/>
                  <w:noWrap w:val="0"/>
                  <w:vAlign w:val="center"/>
                </w:tcPr>
                <w:p w14:paraId="00DCD8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本项目不涉及河道取水</w:t>
                  </w:r>
                </w:p>
              </w:tc>
            </w:tr>
            <w:tr w14:paraId="6317E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noWrap w:val="0"/>
                  <w:vAlign w:val="center"/>
                </w:tcPr>
                <w:p w14:paraId="6A9E66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海洋</w:t>
                  </w:r>
                </w:p>
              </w:tc>
              <w:tc>
                <w:tcPr>
                  <w:tcW w:w="2852" w:type="pct"/>
                  <w:noWrap w:val="0"/>
                  <w:vAlign w:val="center"/>
                </w:tcPr>
                <w:p w14:paraId="00736B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直接向海排放污染物的海洋工程建设项目</w:t>
                  </w:r>
                </w:p>
              </w:tc>
              <w:tc>
                <w:tcPr>
                  <w:tcW w:w="1485" w:type="pct"/>
                  <w:noWrap w:val="0"/>
                  <w:vAlign w:val="center"/>
                </w:tcPr>
                <w:p w14:paraId="1932E9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本项目不涉及向海洋排放污染物</w:t>
                  </w:r>
                </w:p>
              </w:tc>
            </w:tr>
          </w:tbl>
          <w:p w14:paraId="6BE524F5">
            <w:pPr>
              <w:adjustRightInd w:val="0"/>
              <w:snapToGrid w:val="0"/>
              <w:spacing w:line="360" w:lineRule="exact"/>
              <w:jc w:val="left"/>
              <w:rPr>
                <w:rFonts w:hint="default" w:ascii="Times New Roman" w:hAnsi="Times New Roman" w:eastAsia="宋体" w:cs="Times New Roman"/>
                <w:b/>
                <w:bCs/>
                <w:smallCaps w:val="0"/>
                <w:snapToGrid w:val="0"/>
                <w:color w:val="auto"/>
                <w:spacing w:val="0"/>
                <w:kern w:val="0"/>
                <w:position w:val="0"/>
                <w:sz w:val="20"/>
                <w:szCs w:val="20"/>
                <w:lang w:val="en-US" w:eastAsia="zh-CN"/>
              </w:rPr>
            </w:pPr>
            <w:r>
              <w:rPr>
                <w:rFonts w:hint="default" w:ascii="Times New Roman" w:hAnsi="Times New Roman" w:eastAsia="宋体" w:cs="Times New Roman"/>
                <w:b/>
                <w:bCs/>
                <w:smallCaps w:val="0"/>
                <w:snapToGrid w:val="0"/>
                <w:color w:val="auto"/>
                <w:spacing w:val="0"/>
                <w:kern w:val="0"/>
                <w:position w:val="0"/>
                <w:sz w:val="20"/>
                <w:szCs w:val="20"/>
                <w:lang w:val="en-US" w:eastAsia="zh-CN"/>
              </w:rPr>
              <w:t>注：1.废气中有毒有害污染物指纳入《有毒有害大气污染物名录》的污染物（不包括无排放标准的污染物）。</w:t>
            </w:r>
          </w:p>
          <w:p w14:paraId="0ECA9662">
            <w:pPr>
              <w:numPr>
                <w:ilvl w:val="0"/>
                <w:numId w:val="0"/>
              </w:numPr>
              <w:adjustRightInd w:val="0"/>
              <w:snapToGrid w:val="0"/>
              <w:spacing w:line="360" w:lineRule="exact"/>
              <w:jc w:val="left"/>
              <w:rPr>
                <w:rFonts w:hint="default" w:ascii="Times New Roman" w:hAnsi="Times New Roman" w:eastAsia="宋体" w:cs="Times New Roman"/>
                <w:b/>
                <w:bCs/>
                <w:smallCaps w:val="0"/>
                <w:snapToGrid w:val="0"/>
                <w:color w:val="auto"/>
                <w:spacing w:val="0"/>
                <w:kern w:val="0"/>
                <w:position w:val="0"/>
                <w:sz w:val="20"/>
                <w:szCs w:val="20"/>
                <w:lang w:val="en-US" w:eastAsia="zh-CN"/>
              </w:rPr>
            </w:pPr>
            <w:r>
              <w:rPr>
                <w:rFonts w:hint="default" w:ascii="Times New Roman" w:hAnsi="Times New Roman" w:eastAsia="宋体" w:cs="Times New Roman"/>
                <w:b/>
                <w:bCs/>
                <w:smallCaps w:val="0"/>
                <w:snapToGrid w:val="0"/>
                <w:color w:val="auto"/>
                <w:spacing w:val="0"/>
                <w:kern w:val="0"/>
                <w:position w:val="0"/>
                <w:sz w:val="20"/>
                <w:szCs w:val="20"/>
                <w:lang w:val="en-US" w:eastAsia="zh-CN"/>
              </w:rPr>
              <w:t>2.环境空气保护目标指自然保护区、风景名胜区、居住区、文化区和农村地区中人群较集中的区域。</w:t>
            </w:r>
          </w:p>
          <w:p w14:paraId="5A9D4FAC">
            <w:pPr>
              <w:numPr>
                <w:ilvl w:val="0"/>
                <w:numId w:val="0"/>
              </w:numPr>
              <w:adjustRightInd w:val="0"/>
              <w:snapToGrid w:val="0"/>
              <w:spacing w:line="360" w:lineRule="exact"/>
              <w:jc w:val="left"/>
              <w:rPr>
                <w:rFonts w:hint="default" w:ascii="Times New Roman" w:hAnsi="Times New Roman" w:eastAsia="宋体" w:cs="Times New Roman"/>
                <w:b/>
                <w:bCs/>
                <w:smallCaps w:val="0"/>
                <w:snapToGrid w:val="0"/>
                <w:color w:val="auto"/>
                <w:spacing w:val="0"/>
                <w:kern w:val="0"/>
                <w:position w:val="0"/>
                <w:sz w:val="20"/>
                <w:szCs w:val="20"/>
                <w:lang w:val="en-US" w:eastAsia="zh-CN"/>
              </w:rPr>
            </w:pPr>
            <w:r>
              <w:rPr>
                <w:rFonts w:hint="default" w:ascii="Times New Roman" w:hAnsi="Times New Roman" w:eastAsia="宋体" w:cs="Times New Roman"/>
                <w:b/>
                <w:bCs/>
                <w:smallCaps w:val="0"/>
                <w:snapToGrid w:val="0"/>
                <w:color w:val="auto"/>
                <w:spacing w:val="0"/>
                <w:kern w:val="0"/>
                <w:position w:val="0"/>
                <w:sz w:val="20"/>
                <w:szCs w:val="20"/>
                <w:lang w:val="en-US" w:eastAsia="zh-CN"/>
              </w:rPr>
              <w:t>3.临界量及其计算方法可参考《建设项目环境风向评价技术导则》（HJ169</w:t>
            </w:r>
            <w:r>
              <w:rPr>
                <w:rFonts w:hint="eastAsia" w:cs="Times New Roman"/>
                <w:b/>
                <w:bCs/>
                <w:smallCaps w:val="0"/>
                <w:snapToGrid w:val="0"/>
                <w:color w:val="auto"/>
                <w:spacing w:val="0"/>
                <w:kern w:val="0"/>
                <w:position w:val="0"/>
                <w:sz w:val="20"/>
                <w:szCs w:val="20"/>
                <w:lang w:val="en-US" w:eastAsia="zh-CN"/>
              </w:rPr>
              <w:t>-2018</w:t>
            </w:r>
            <w:r>
              <w:rPr>
                <w:rFonts w:hint="default" w:ascii="Times New Roman" w:hAnsi="Times New Roman" w:eastAsia="宋体" w:cs="Times New Roman"/>
                <w:b/>
                <w:bCs/>
                <w:smallCaps w:val="0"/>
                <w:snapToGrid w:val="0"/>
                <w:color w:val="auto"/>
                <w:spacing w:val="0"/>
                <w:kern w:val="0"/>
                <w:position w:val="0"/>
                <w:sz w:val="20"/>
                <w:szCs w:val="20"/>
                <w:lang w:val="en-US" w:eastAsia="zh-CN"/>
              </w:rPr>
              <w:t>）附录B、附录C。</w:t>
            </w:r>
          </w:p>
          <w:p w14:paraId="1422BE6D">
            <w:pPr>
              <w:keepNext w:val="0"/>
              <w:keepLines w:val="0"/>
              <w:pageBreakBefore w:val="0"/>
              <w:widowControl w:val="0"/>
              <w:kinsoku/>
              <w:wordWrap/>
              <w:overflowPunct/>
              <w:topLinePunct w:val="0"/>
              <w:autoSpaceDE/>
              <w:autoSpaceDN/>
              <w:bidi w:val="0"/>
              <w:adjustRightInd w:val="0"/>
              <w:snapToGrid w:val="0"/>
              <w:spacing w:line="360" w:lineRule="exact"/>
              <w:ind w:firstLine="422" w:firstLineChars="200"/>
              <w:jc w:val="left"/>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b/>
                <w:bCs/>
                <w:smallCaps w:val="0"/>
                <w:snapToGrid w:val="0"/>
                <w:color w:val="auto"/>
                <w:spacing w:val="0"/>
                <w:kern w:val="0"/>
                <w:position w:val="0"/>
                <w:szCs w:val="21"/>
                <w:lang w:val="en-US" w:eastAsia="zh-CN"/>
              </w:rPr>
              <w:t>经对照，本项目无需开展专项评价</w:t>
            </w:r>
          </w:p>
        </w:tc>
      </w:tr>
      <w:tr w14:paraId="34EA5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4" w:type="dxa"/>
            <w:noWrap w:val="0"/>
            <w:vAlign w:val="center"/>
          </w:tcPr>
          <w:p w14:paraId="6AAD2CB1">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规划情况</w:t>
            </w:r>
          </w:p>
        </w:tc>
        <w:tc>
          <w:tcPr>
            <w:tcW w:w="7155" w:type="dxa"/>
            <w:gridSpan w:val="3"/>
            <w:noWrap w:val="0"/>
            <w:vAlign w:val="center"/>
          </w:tcPr>
          <w:p w14:paraId="7B5755F0">
            <w:pPr>
              <w:adjustRightInd w:val="0"/>
              <w:snapToGrid w:val="0"/>
              <w:spacing w:line="360" w:lineRule="exact"/>
              <w:jc w:val="left"/>
              <w:rPr>
                <w:rFonts w:hint="default" w:ascii="Times New Roman" w:hAnsi="Times New Roman" w:eastAsia="宋体" w:cs="Times New Roman"/>
                <w:b w:val="0"/>
                <w:bCs/>
                <w:smallCaps w:val="0"/>
                <w:color w:val="auto"/>
                <w:spacing w:val="0"/>
                <w:kern w:val="0"/>
                <w:position w:val="0"/>
                <w:szCs w:val="21"/>
                <w:lang w:eastAsia="zh-CN"/>
              </w:rPr>
            </w:pPr>
            <w:r>
              <w:rPr>
                <w:rFonts w:hint="default" w:ascii="Times New Roman" w:hAnsi="Times New Roman" w:eastAsia="宋体" w:cs="Times New Roman"/>
                <w:b/>
                <w:smallCaps w:val="0"/>
                <w:color w:val="auto"/>
                <w:spacing w:val="0"/>
                <w:kern w:val="0"/>
                <w:position w:val="0"/>
                <w:szCs w:val="21"/>
                <w:lang w:eastAsia="zh-CN"/>
              </w:rPr>
              <w:t>名称：</w:t>
            </w:r>
            <w:r>
              <w:rPr>
                <w:rFonts w:hint="default" w:ascii="Times New Roman" w:hAnsi="Times New Roman" w:eastAsia="宋体" w:cs="Times New Roman"/>
                <w:b w:val="0"/>
                <w:bCs/>
                <w:smallCaps w:val="0"/>
                <w:color w:val="auto"/>
                <w:spacing w:val="0"/>
                <w:kern w:val="0"/>
                <w:position w:val="0"/>
                <w:szCs w:val="21"/>
                <w:lang w:eastAsia="zh-CN"/>
              </w:rPr>
              <w:t>《江苏金坛经济开发区控制性详细规划》</w:t>
            </w:r>
          </w:p>
          <w:p w14:paraId="5303A560">
            <w:pPr>
              <w:adjustRightInd w:val="0"/>
              <w:snapToGrid w:val="0"/>
              <w:spacing w:line="360" w:lineRule="exact"/>
              <w:jc w:val="left"/>
              <w:rPr>
                <w:rFonts w:hint="default" w:ascii="Times New Roman" w:hAnsi="Times New Roman" w:eastAsia="宋体" w:cs="Times New Roman"/>
                <w:b w:val="0"/>
                <w:bCs/>
                <w:smallCaps w:val="0"/>
                <w:color w:val="auto"/>
                <w:spacing w:val="0"/>
                <w:kern w:val="0"/>
                <w:position w:val="0"/>
                <w:szCs w:val="21"/>
                <w:lang w:eastAsia="zh-CN"/>
              </w:rPr>
            </w:pPr>
            <w:r>
              <w:rPr>
                <w:rFonts w:hint="default" w:ascii="Times New Roman" w:hAnsi="Times New Roman" w:eastAsia="宋体" w:cs="Times New Roman"/>
                <w:b/>
                <w:smallCaps w:val="0"/>
                <w:color w:val="auto"/>
                <w:spacing w:val="0"/>
                <w:kern w:val="0"/>
                <w:position w:val="0"/>
                <w:szCs w:val="21"/>
                <w:lang w:eastAsia="zh-CN"/>
              </w:rPr>
              <w:t>审批机关：</w:t>
            </w:r>
            <w:r>
              <w:rPr>
                <w:rFonts w:hint="default" w:ascii="Times New Roman" w:hAnsi="Times New Roman" w:eastAsia="宋体" w:cs="Times New Roman"/>
                <w:b w:val="0"/>
                <w:bCs/>
                <w:smallCaps w:val="0"/>
                <w:color w:val="auto"/>
                <w:spacing w:val="0"/>
                <w:kern w:val="0"/>
                <w:position w:val="0"/>
                <w:szCs w:val="21"/>
                <w:lang w:eastAsia="zh-CN"/>
              </w:rPr>
              <w:t>常州市金坛区人民政府</w:t>
            </w:r>
          </w:p>
          <w:p w14:paraId="2DFBF9B6">
            <w:pPr>
              <w:adjustRightInd w:val="0"/>
              <w:snapToGrid w:val="0"/>
              <w:spacing w:line="360" w:lineRule="exact"/>
              <w:jc w:val="left"/>
              <w:rPr>
                <w:rFonts w:hint="default" w:ascii="Times New Roman" w:hAnsi="Times New Roman" w:eastAsia="宋体" w:cs="Times New Roman"/>
                <w:b/>
                <w:smallCaps w:val="0"/>
                <w:color w:val="auto"/>
                <w:spacing w:val="0"/>
                <w:kern w:val="0"/>
                <w:position w:val="0"/>
                <w:szCs w:val="21"/>
                <w:lang w:eastAsia="zh-CN"/>
              </w:rPr>
            </w:pPr>
            <w:r>
              <w:rPr>
                <w:rFonts w:hint="default" w:ascii="Times New Roman" w:hAnsi="Times New Roman" w:eastAsia="宋体" w:cs="Times New Roman"/>
                <w:b/>
                <w:smallCaps w:val="0"/>
                <w:color w:val="auto"/>
                <w:spacing w:val="0"/>
                <w:kern w:val="0"/>
                <w:position w:val="0"/>
                <w:szCs w:val="21"/>
                <w:lang w:eastAsia="zh-CN"/>
              </w:rPr>
              <w:t>审批文件名称及文号：</w:t>
            </w:r>
            <w:r>
              <w:rPr>
                <w:rFonts w:hint="default" w:ascii="Times New Roman" w:hAnsi="Times New Roman" w:eastAsia="宋体" w:cs="Times New Roman"/>
                <w:b w:val="0"/>
                <w:bCs/>
                <w:smallCaps w:val="0"/>
                <w:color w:val="auto"/>
                <w:spacing w:val="0"/>
                <w:kern w:val="0"/>
                <w:position w:val="0"/>
                <w:szCs w:val="21"/>
                <w:lang w:eastAsia="zh-CN"/>
              </w:rPr>
              <w:t>《常州市金坛区人民政府关于同意江苏金坛经济开发区控制性详细规划（修改）的批复》（坛政复[2023]56号）</w:t>
            </w:r>
          </w:p>
        </w:tc>
      </w:tr>
      <w:tr w14:paraId="5D8C6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814" w:type="dxa"/>
            <w:noWrap w:val="0"/>
            <w:vAlign w:val="center"/>
          </w:tcPr>
          <w:p w14:paraId="01F68044">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规划环境</w:t>
            </w:r>
          </w:p>
          <w:p w14:paraId="5CCC6732">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影响评价情况</w:t>
            </w:r>
          </w:p>
        </w:tc>
        <w:tc>
          <w:tcPr>
            <w:tcW w:w="7155" w:type="dxa"/>
            <w:gridSpan w:val="3"/>
            <w:noWrap w:val="0"/>
            <w:vAlign w:val="center"/>
          </w:tcPr>
          <w:p w14:paraId="4FF1E906">
            <w:pPr>
              <w:adjustRightInd w:val="0"/>
              <w:snapToGrid w:val="0"/>
              <w:spacing w:line="360" w:lineRule="exact"/>
              <w:jc w:val="left"/>
              <w:rPr>
                <w:rFonts w:hint="default" w:ascii="Times New Roman" w:hAnsi="Times New Roman" w:eastAsia="宋体" w:cs="Times New Roman"/>
                <w:b w:val="0"/>
                <w:bCs/>
                <w:smallCaps w:val="0"/>
                <w:color w:val="auto"/>
                <w:spacing w:val="0"/>
                <w:kern w:val="0"/>
                <w:position w:val="0"/>
                <w:szCs w:val="21"/>
                <w:lang w:val="en-US" w:eastAsia="zh-CN"/>
              </w:rPr>
            </w:pPr>
            <w:r>
              <w:rPr>
                <w:rFonts w:hint="default" w:ascii="Times New Roman" w:hAnsi="Times New Roman" w:eastAsia="宋体" w:cs="Times New Roman"/>
                <w:b/>
                <w:smallCaps w:val="0"/>
                <w:color w:val="auto"/>
                <w:spacing w:val="0"/>
                <w:kern w:val="0"/>
                <w:position w:val="0"/>
                <w:szCs w:val="21"/>
                <w:lang w:val="en-US" w:eastAsia="zh-CN"/>
              </w:rPr>
              <w:t>规划环境影响评价文件名称：</w:t>
            </w:r>
            <w:r>
              <w:rPr>
                <w:rFonts w:hint="default" w:ascii="Times New Roman" w:hAnsi="Times New Roman" w:eastAsia="宋体" w:cs="Times New Roman"/>
                <w:b w:val="0"/>
                <w:bCs/>
                <w:smallCaps w:val="0"/>
                <w:color w:val="auto"/>
                <w:spacing w:val="0"/>
                <w:kern w:val="0"/>
                <w:position w:val="0"/>
                <w:szCs w:val="21"/>
                <w:lang w:val="en-US" w:eastAsia="zh-CN"/>
              </w:rPr>
              <w:t>《金坛经济开发区发展规划环境影响报告书》</w:t>
            </w:r>
            <w:r>
              <w:rPr>
                <w:rFonts w:hint="default" w:ascii="Times New Roman" w:hAnsi="Times New Roman" w:eastAsia="宋体" w:cs="Times New Roman"/>
                <w:b/>
                <w:smallCaps w:val="0"/>
                <w:color w:val="auto"/>
                <w:spacing w:val="0"/>
                <w:kern w:val="0"/>
                <w:position w:val="0"/>
                <w:szCs w:val="21"/>
                <w:lang w:val="en-US" w:eastAsia="zh-CN"/>
              </w:rPr>
              <w:t>召集审查机关：</w:t>
            </w:r>
            <w:r>
              <w:rPr>
                <w:rFonts w:hint="default" w:ascii="Times New Roman" w:hAnsi="Times New Roman" w:eastAsia="宋体" w:cs="Times New Roman"/>
                <w:b w:val="0"/>
                <w:bCs/>
                <w:smallCaps w:val="0"/>
                <w:color w:val="auto"/>
                <w:spacing w:val="0"/>
                <w:kern w:val="0"/>
                <w:position w:val="0"/>
                <w:szCs w:val="21"/>
                <w:lang w:val="en-US" w:eastAsia="zh-CN"/>
              </w:rPr>
              <w:t>原江苏省环境保护厅</w:t>
            </w:r>
          </w:p>
          <w:p w14:paraId="738581B1">
            <w:pPr>
              <w:adjustRightInd w:val="0"/>
              <w:snapToGrid w:val="0"/>
              <w:spacing w:line="360" w:lineRule="exact"/>
              <w:jc w:val="left"/>
              <w:rPr>
                <w:rFonts w:hint="default" w:ascii="Times New Roman" w:hAnsi="Times New Roman" w:eastAsia="宋体" w:cs="Times New Roman"/>
                <w:b w:val="0"/>
                <w:bCs/>
                <w:smallCaps w:val="0"/>
                <w:color w:val="auto"/>
                <w:spacing w:val="0"/>
                <w:kern w:val="0"/>
                <w:position w:val="0"/>
                <w:szCs w:val="21"/>
                <w:lang w:val="en-US" w:eastAsia="zh-CN"/>
              </w:rPr>
            </w:pPr>
            <w:r>
              <w:rPr>
                <w:rFonts w:hint="default" w:ascii="Times New Roman" w:hAnsi="Times New Roman" w:eastAsia="宋体" w:cs="Times New Roman"/>
                <w:b/>
                <w:smallCaps w:val="0"/>
                <w:color w:val="auto"/>
                <w:spacing w:val="0"/>
                <w:kern w:val="0"/>
                <w:position w:val="0"/>
                <w:szCs w:val="21"/>
                <w:lang w:val="en-US" w:eastAsia="zh-CN"/>
              </w:rPr>
              <w:t>审查文件：</w:t>
            </w:r>
            <w:r>
              <w:rPr>
                <w:rFonts w:hint="default" w:ascii="Times New Roman" w:hAnsi="Times New Roman" w:eastAsia="宋体" w:cs="Times New Roman"/>
                <w:b w:val="0"/>
                <w:bCs/>
                <w:smallCaps w:val="0"/>
                <w:color w:val="auto"/>
                <w:spacing w:val="0"/>
                <w:kern w:val="0"/>
                <w:position w:val="0"/>
                <w:szCs w:val="21"/>
                <w:lang w:val="en-US" w:eastAsia="zh-CN"/>
              </w:rPr>
              <w:t>《关于金坛经济开发区发展规划环境影响评价审查意见》</w:t>
            </w:r>
          </w:p>
          <w:p w14:paraId="6A28EC9E">
            <w:pPr>
              <w:adjustRightInd w:val="0"/>
              <w:snapToGrid w:val="0"/>
              <w:spacing w:line="360" w:lineRule="exact"/>
              <w:jc w:val="left"/>
              <w:rPr>
                <w:rFonts w:hint="default" w:ascii="Times New Roman" w:hAnsi="Times New Roman" w:eastAsia="宋体" w:cs="Times New Roman"/>
                <w:b w:val="0"/>
                <w:bCs/>
                <w:smallCaps w:val="0"/>
                <w:color w:val="auto"/>
                <w:spacing w:val="0"/>
                <w:kern w:val="0"/>
                <w:position w:val="0"/>
                <w:szCs w:val="21"/>
                <w:lang w:val="en-US" w:eastAsia="zh-CN"/>
              </w:rPr>
            </w:pPr>
            <w:r>
              <w:rPr>
                <w:rFonts w:hint="default" w:ascii="Times New Roman" w:hAnsi="Times New Roman" w:eastAsia="宋体" w:cs="Times New Roman"/>
                <w:b/>
                <w:smallCaps w:val="0"/>
                <w:color w:val="auto"/>
                <w:spacing w:val="0"/>
                <w:kern w:val="0"/>
                <w:position w:val="0"/>
                <w:szCs w:val="21"/>
                <w:lang w:val="en-US" w:eastAsia="zh-CN"/>
              </w:rPr>
              <w:t>审查文号：</w:t>
            </w:r>
            <w:r>
              <w:rPr>
                <w:rFonts w:hint="default" w:ascii="Times New Roman" w:hAnsi="Times New Roman" w:eastAsia="宋体" w:cs="Times New Roman"/>
                <w:b w:val="0"/>
                <w:bCs/>
                <w:smallCaps w:val="0"/>
                <w:color w:val="auto"/>
                <w:spacing w:val="0"/>
                <w:kern w:val="0"/>
                <w:position w:val="0"/>
                <w:szCs w:val="21"/>
                <w:lang w:val="en-US" w:eastAsia="zh-CN"/>
              </w:rPr>
              <w:t>苏环审〔2015〕52号</w:t>
            </w:r>
          </w:p>
          <w:p w14:paraId="2CF4D09D">
            <w:pPr>
              <w:adjustRightInd w:val="0"/>
              <w:snapToGrid w:val="0"/>
              <w:spacing w:line="360" w:lineRule="exact"/>
              <w:jc w:val="left"/>
              <w:rPr>
                <w:rFonts w:hint="default" w:ascii="Times New Roman" w:hAnsi="Times New Roman" w:eastAsia="宋体" w:cs="Times New Roman"/>
                <w:b/>
                <w:smallCaps w:val="0"/>
                <w:color w:val="auto"/>
                <w:spacing w:val="0"/>
                <w:kern w:val="0"/>
                <w:position w:val="0"/>
                <w:szCs w:val="21"/>
                <w:lang w:val="en-US" w:eastAsia="zh-CN"/>
              </w:rPr>
            </w:pPr>
            <w:r>
              <w:rPr>
                <w:rFonts w:hint="default" w:ascii="Times New Roman" w:hAnsi="Times New Roman" w:eastAsia="宋体" w:cs="Times New Roman"/>
                <w:b w:val="0"/>
                <w:bCs/>
                <w:smallCaps w:val="0"/>
                <w:color w:val="auto"/>
                <w:spacing w:val="0"/>
                <w:kern w:val="0"/>
                <w:position w:val="0"/>
                <w:szCs w:val="21"/>
                <w:lang w:val="en-US" w:eastAsia="zh-CN"/>
              </w:rPr>
              <w:t>金坛经济开发区最新规划</w:t>
            </w:r>
            <w:r>
              <w:rPr>
                <w:rFonts w:hint="eastAsia" w:cs="Times New Roman"/>
                <w:b w:val="0"/>
                <w:bCs/>
                <w:smallCaps w:val="0"/>
                <w:color w:val="auto"/>
                <w:spacing w:val="0"/>
                <w:kern w:val="0"/>
                <w:position w:val="0"/>
                <w:szCs w:val="21"/>
                <w:lang w:val="en-US" w:eastAsia="zh-CN"/>
              </w:rPr>
              <w:t>环评</w:t>
            </w:r>
            <w:r>
              <w:rPr>
                <w:rFonts w:hint="default" w:ascii="Times New Roman" w:hAnsi="Times New Roman" w:eastAsia="宋体" w:cs="Times New Roman"/>
                <w:b w:val="0"/>
                <w:bCs/>
                <w:smallCaps w:val="0"/>
                <w:color w:val="auto"/>
                <w:spacing w:val="0"/>
                <w:kern w:val="0"/>
                <w:position w:val="0"/>
                <w:szCs w:val="21"/>
                <w:lang w:val="en-US" w:eastAsia="zh-CN"/>
              </w:rPr>
              <w:t>正在编制，暂未完成审批。</w:t>
            </w:r>
          </w:p>
        </w:tc>
      </w:tr>
      <w:tr w14:paraId="116A7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814" w:type="dxa"/>
            <w:noWrap w:val="0"/>
            <w:vAlign w:val="center"/>
          </w:tcPr>
          <w:p w14:paraId="60FA9713">
            <w:pPr>
              <w:adjustRightInd w:val="0"/>
              <w:snapToGrid w:val="0"/>
              <w:spacing w:line="36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规划及规划环境影响评价符合性分析</w:t>
            </w:r>
          </w:p>
        </w:tc>
        <w:tc>
          <w:tcPr>
            <w:tcW w:w="7155" w:type="dxa"/>
            <w:gridSpan w:val="3"/>
            <w:noWrap w:val="0"/>
            <w:vAlign w:val="top"/>
          </w:tcPr>
          <w:p w14:paraId="76FB5011">
            <w:pPr>
              <w:keepNext w:val="0"/>
              <w:keepLines w:val="0"/>
              <w:pageBreakBefore w:val="0"/>
              <w:widowControl/>
              <w:numPr>
                <w:ilvl w:val="0"/>
                <w:numId w:val="0"/>
              </w:numPr>
              <w:kinsoku/>
              <w:wordWrap/>
              <w:overflowPunct/>
              <w:topLinePunct w:val="0"/>
              <w:autoSpaceDE/>
              <w:autoSpaceDN/>
              <w:bidi w:val="0"/>
              <w:snapToGrid w:val="0"/>
              <w:spacing w:line="500" w:lineRule="exact"/>
              <w:ind w:firstLine="480" w:firstLineChars="200"/>
              <w:jc w:val="left"/>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（1）规划相符性分析</w:t>
            </w:r>
          </w:p>
          <w:p w14:paraId="1A8B2180">
            <w:pPr>
              <w:pStyle w:val="54"/>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1"/>
                <w:szCs w:val="21"/>
              </w:rPr>
              <w:t>表1-</w:t>
            </w:r>
            <w:r>
              <w:rPr>
                <w:rFonts w:hint="default" w:ascii="Times New Roman" w:hAnsi="Times New Roman" w:eastAsia="宋体" w:cs="Times New Roman"/>
                <w:color w:val="auto"/>
                <w:spacing w:val="0"/>
                <w:kern w:val="0"/>
                <w:sz w:val="21"/>
                <w:szCs w:val="21"/>
                <w:lang w:val="en-US" w:eastAsia="zh-CN"/>
              </w:rPr>
              <w:t>2</w:t>
            </w:r>
            <w:r>
              <w:rPr>
                <w:rFonts w:hint="default" w:ascii="Times New Roman" w:hAnsi="Times New Roman" w:eastAsia="宋体" w:cs="Times New Roman"/>
                <w:color w:val="auto"/>
                <w:spacing w:val="0"/>
                <w:kern w:val="0"/>
                <w:sz w:val="21"/>
                <w:szCs w:val="21"/>
              </w:rPr>
              <w:t>项目与金坛经济开发区规划环评审查意见相符性分析</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85"/>
              <w:gridCol w:w="2013"/>
              <w:gridCol w:w="437"/>
            </w:tblGrid>
            <w:tr w14:paraId="6944D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33" w:type="pct"/>
                  <w:tcBorders>
                    <w:bottom w:val="single" w:color="auto" w:sz="12" w:space="0"/>
                  </w:tcBorders>
                  <w:noWrap w:val="0"/>
                  <w:vAlign w:val="center"/>
                </w:tcPr>
                <w:p w14:paraId="4E50FFD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金坛经济开发区规划环评审查意见内容</w:t>
                  </w:r>
                </w:p>
              </w:tc>
              <w:tc>
                <w:tcPr>
                  <w:tcW w:w="1451" w:type="pct"/>
                  <w:tcBorders>
                    <w:bottom w:val="single" w:color="auto" w:sz="12" w:space="0"/>
                  </w:tcBorders>
                  <w:noWrap w:val="0"/>
                  <w:vAlign w:val="center"/>
                </w:tcPr>
                <w:p w14:paraId="28E643B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本项目建设区情况</w:t>
                  </w:r>
                </w:p>
              </w:tc>
              <w:tc>
                <w:tcPr>
                  <w:tcW w:w="315" w:type="pct"/>
                  <w:tcBorders>
                    <w:bottom w:val="single" w:color="auto" w:sz="12" w:space="0"/>
                  </w:tcBorders>
                  <w:noWrap w:val="0"/>
                  <w:vAlign w:val="center"/>
                </w:tcPr>
                <w:p w14:paraId="3F337AB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rPr>
                    <w:t>是否符合</w:t>
                  </w:r>
                </w:p>
              </w:tc>
            </w:tr>
            <w:tr w14:paraId="0E0C3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33" w:type="pct"/>
                  <w:tcBorders>
                    <w:top w:val="single" w:color="auto" w:sz="12" w:space="0"/>
                  </w:tcBorders>
                  <w:noWrap w:val="0"/>
                  <w:vAlign w:val="center"/>
                </w:tcPr>
                <w:p w14:paraId="7B54A49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规划范围：东至在建省道203（东环路），南至规划沿江城际铁路，西至金湖路（金宜路）-S340-丹金溧漕河，北近开发区行政界线，距金坛和丹阳市界500m处，总面积71.3km</w:t>
                  </w:r>
                  <w:r>
                    <w:rPr>
                      <w:rFonts w:hint="default" w:ascii="Times New Roman" w:hAnsi="Times New Roman" w:eastAsia="宋体" w:cs="Times New Roman"/>
                      <w:color w:val="auto"/>
                      <w:spacing w:val="0"/>
                      <w:kern w:val="0"/>
                      <w:sz w:val="21"/>
                      <w:szCs w:val="21"/>
                      <w:vertAlign w:val="superscript"/>
                    </w:rPr>
                    <w:t>2</w:t>
                  </w:r>
                  <w:r>
                    <w:rPr>
                      <w:rFonts w:hint="default" w:ascii="Times New Roman" w:hAnsi="Times New Roman" w:eastAsia="宋体" w:cs="Times New Roman"/>
                      <w:color w:val="auto"/>
                      <w:spacing w:val="0"/>
                      <w:kern w:val="0"/>
                      <w:sz w:val="21"/>
                      <w:szCs w:val="21"/>
                    </w:rPr>
                    <w:t>。</w:t>
                  </w:r>
                </w:p>
              </w:tc>
              <w:tc>
                <w:tcPr>
                  <w:tcW w:w="1451" w:type="pct"/>
                  <w:tcBorders>
                    <w:top w:val="single" w:color="auto" w:sz="12" w:space="0"/>
                  </w:tcBorders>
                  <w:noWrap w:val="0"/>
                  <w:vAlign w:val="center"/>
                </w:tcPr>
                <w:p w14:paraId="66E97D8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本项目位于</w:t>
                  </w:r>
                  <w:r>
                    <w:rPr>
                      <w:rFonts w:hint="default" w:ascii="Times New Roman" w:hAnsi="Times New Roman" w:eastAsia="宋体" w:cs="Times New Roman"/>
                      <w:color w:val="auto"/>
                      <w:spacing w:val="0"/>
                      <w:kern w:val="0"/>
                      <w:sz w:val="21"/>
                      <w:szCs w:val="21"/>
                      <w:lang w:eastAsia="zh-CN"/>
                    </w:rPr>
                    <w:t>常州市金坛经济开发区汇福路8号</w:t>
                  </w:r>
                  <w:r>
                    <w:rPr>
                      <w:rFonts w:hint="default" w:ascii="Times New Roman" w:hAnsi="Times New Roman" w:eastAsia="宋体" w:cs="Times New Roman"/>
                      <w:color w:val="auto"/>
                      <w:spacing w:val="0"/>
                      <w:kern w:val="0"/>
                      <w:sz w:val="21"/>
                      <w:szCs w:val="21"/>
                    </w:rPr>
                    <w:t>，在金坛经济开发区内规划范围内。</w:t>
                  </w:r>
                </w:p>
              </w:tc>
              <w:tc>
                <w:tcPr>
                  <w:tcW w:w="315" w:type="pct"/>
                  <w:tcBorders>
                    <w:top w:val="single" w:color="auto" w:sz="12" w:space="0"/>
                  </w:tcBorders>
                  <w:noWrap w:val="0"/>
                  <w:vAlign w:val="center"/>
                </w:tcPr>
                <w:p w14:paraId="0D84BAF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327BA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33" w:type="pct"/>
                  <w:noWrap w:val="0"/>
                  <w:vAlign w:val="center"/>
                </w:tcPr>
                <w:p w14:paraId="463350F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产业定位：纺织服装、机械电子、高端装备制造、盐化工、新能源、新材料、节能环保、新医药、研发服务。</w:t>
                  </w:r>
                </w:p>
              </w:tc>
              <w:tc>
                <w:tcPr>
                  <w:tcW w:w="1451" w:type="pct"/>
                  <w:noWrap w:val="0"/>
                  <w:vAlign w:val="center"/>
                </w:tcPr>
                <w:p w14:paraId="67B1778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本项目</w:t>
                  </w:r>
                  <w:r>
                    <w:rPr>
                      <w:rFonts w:hint="default" w:ascii="Times New Roman" w:hAnsi="Times New Roman" w:eastAsia="宋体" w:cs="Times New Roman"/>
                      <w:color w:val="auto"/>
                      <w:spacing w:val="0"/>
                      <w:kern w:val="0"/>
                      <w:sz w:val="21"/>
                      <w:szCs w:val="21"/>
                      <w:lang w:val="en-US" w:eastAsia="zh-CN"/>
                    </w:rPr>
                    <w:t>主要产品为</w:t>
                  </w:r>
                  <w:r>
                    <w:rPr>
                      <w:rFonts w:hint="default" w:ascii="Times New Roman" w:hAnsi="Times New Roman" w:eastAsia="宋体" w:cs="Times New Roman"/>
                      <w:smallCaps w:val="0"/>
                      <w:color w:val="auto"/>
                      <w:spacing w:val="0"/>
                      <w:kern w:val="0"/>
                      <w:position w:val="0"/>
                      <w:szCs w:val="21"/>
                      <w:lang w:eastAsia="zh-CN"/>
                    </w:rPr>
                    <w:t>信报箱</w:t>
                  </w:r>
                  <w:r>
                    <w:rPr>
                      <w:rFonts w:hint="default" w:ascii="Times New Roman" w:hAnsi="Times New Roman" w:eastAsia="宋体" w:cs="Times New Roman"/>
                      <w:color w:val="auto"/>
                      <w:spacing w:val="0"/>
                      <w:kern w:val="0"/>
                      <w:sz w:val="21"/>
                      <w:szCs w:val="21"/>
                    </w:rPr>
                    <w:t>，</w:t>
                  </w:r>
                  <w:r>
                    <w:rPr>
                      <w:rFonts w:hint="default" w:ascii="Times New Roman" w:hAnsi="Times New Roman" w:eastAsia="宋体" w:cs="Times New Roman"/>
                      <w:color w:val="auto"/>
                      <w:spacing w:val="0"/>
                      <w:kern w:val="0"/>
                      <w:sz w:val="21"/>
                      <w:szCs w:val="21"/>
                      <w:lang w:val="en-US" w:eastAsia="zh-CN"/>
                    </w:rPr>
                    <w:t>为机械电子行业，</w:t>
                  </w:r>
                  <w:r>
                    <w:rPr>
                      <w:rFonts w:hint="default" w:ascii="Times New Roman" w:hAnsi="Times New Roman" w:eastAsia="宋体" w:cs="Times New Roman"/>
                      <w:color w:val="auto"/>
                      <w:spacing w:val="0"/>
                      <w:kern w:val="0"/>
                      <w:sz w:val="21"/>
                      <w:szCs w:val="21"/>
                    </w:rPr>
                    <w:t>符合开发区产业定位。</w:t>
                  </w:r>
                </w:p>
              </w:tc>
              <w:tc>
                <w:tcPr>
                  <w:tcW w:w="315" w:type="pct"/>
                  <w:noWrap w:val="0"/>
                  <w:vAlign w:val="center"/>
                </w:tcPr>
                <w:p w14:paraId="3BB3E05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051AC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33" w:type="pct"/>
                  <w:noWrap w:val="0"/>
                  <w:vAlign w:val="center"/>
                </w:tcPr>
                <w:p w14:paraId="05E4790A">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环保基础设施规划：采用雨污分流排水体</w:t>
                  </w:r>
                  <w:r>
                    <w:rPr>
                      <w:rFonts w:hint="default" w:ascii="Times New Roman" w:hAnsi="Times New Roman" w:eastAsia="宋体" w:cs="Times New Roman"/>
                      <w:color w:val="auto"/>
                      <w:spacing w:val="0"/>
                      <w:kern w:val="0"/>
                      <w:sz w:val="21"/>
                      <w:szCs w:val="21"/>
                      <w:lang w:val="en-US" w:eastAsia="zh-CN"/>
                    </w:rPr>
                    <w:t>制</w:t>
                  </w:r>
                  <w:r>
                    <w:rPr>
                      <w:rFonts w:hint="default" w:ascii="Times New Roman" w:hAnsi="Times New Roman" w:eastAsia="宋体" w:cs="Times New Roman"/>
                      <w:color w:val="auto"/>
                      <w:spacing w:val="0"/>
                      <w:kern w:val="0"/>
                      <w:sz w:val="21"/>
                      <w:szCs w:val="21"/>
                    </w:rPr>
                    <w:t>，污水经收集后排入金坛第二污水厂集中处理，该污水处理厂现状规模4万方每天，规划规模16万方每天，尾水达到《城镇污水处理厂污染物排放标准》（GB18918-2002）中表1一级A标准及《太湖地区城镇污水处理厂及重点工业行业主要水污染物排放限值》（DB32/1072-2007）后排入尧塘河；开发区危险废物委托有资质单位安全处置。</w:t>
                  </w:r>
                </w:p>
              </w:tc>
              <w:tc>
                <w:tcPr>
                  <w:tcW w:w="1451" w:type="pct"/>
                  <w:noWrap w:val="0"/>
                  <w:vAlign w:val="center"/>
                </w:tcPr>
                <w:p w14:paraId="0D6863E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本项目厂区实施雨污分流制，雨水排入市政雨水管网，</w:t>
                  </w:r>
                  <w:r>
                    <w:rPr>
                      <w:rFonts w:hint="default" w:ascii="Times New Roman" w:hAnsi="Times New Roman" w:eastAsia="宋体" w:cs="Times New Roman"/>
                      <w:color w:val="auto"/>
                      <w:spacing w:val="0"/>
                      <w:kern w:val="0"/>
                      <w:sz w:val="21"/>
                      <w:szCs w:val="21"/>
                      <w:lang w:val="en-US" w:eastAsia="zh-CN"/>
                    </w:rPr>
                    <w:t>本项目废水主要为</w:t>
                  </w:r>
                  <w:r>
                    <w:rPr>
                      <w:rFonts w:hint="default" w:ascii="Times New Roman" w:hAnsi="Times New Roman" w:eastAsia="宋体" w:cs="Times New Roman"/>
                      <w:snapToGrid w:val="0"/>
                      <w:color w:val="auto"/>
                      <w:spacing w:val="0"/>
                      <w:kern w:val="0"/>
                      <w:lang w:val="en-US" w:eastAsia="zh-CN"/>
                    </w:rPr>
                    <w:t>生活污水，接入金坛第二污水处理厂集中处理；</w:t>
                  </w:r>
                  <w:r>
                    <w:rPr>
                      <w:rFonts w:hint="default" w:ascii="Times New Roman" w:hAnsi="Times New Roman" w:eastAsia="宋体" w:cs="Times New Roman"/>
                      <w:color w:val="auto"/>
                      <w:spacing w:val="0"/>
                      <w:kern w:val="0"/>
                      <w:sz w:val="21"/>
                      <w:szCs w:val="21"/>
                    </w:rPr>
                    <w:t>项目各项危险废物均委托有资质单位进行处置，不产生二次污染。</w:t>
                  </w:r>
                </w:p>
              </w:tc>
              <w:tc>
                <w:tcPr>
                  <w:tcW w:w="315" w:type="pct"/>
                  <w:noWrap w:val="0"/>
                  <w:vAlign w:val="center"/>
                </w:tcPr>
                <w:p w14:paraId="3C2D5E9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54BB1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33" w:type="pct"/>
                  <w:noWrap w:val="0"/>
                  <w:vAlign w:val="center"/>
                </w:tcPr>
                <w:p w14:paraId="316F4209">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开发区应引进科技含量高、产品附加值高、无污染或者污染程度低的项目，其生产工艺、装备水平、污染治理技术，以及单位产品能耗、物耗、污染物排放和资源利用率均需达到同行业国际先进水平，至少是国内先进水平。机械装备、电子行业禁止引进电镀、表面处理类项目，化工行业禁止引进与盐化工及下游产品生产不相关的化工项目、农药项目，新材料禁止引进太阳能电池切片、钢铁等传统型金属材料、水泥等传统型非金属材料的生产项目，纺织禁止引进排放量较大的纯印染和纯染整类企业和项目。在园区大气中HCl稳定达标前禁止引进排放大气污染物HCl的企业和项目。推进符合园区产业定位和布局的现有企业提升技术水平和升级改造，不符合产业定位和布局的企业禁止新建、改扩建，并逐步淘汰，其中，九华能源、振兴纺机等2家涉铅企业应于2015年底关停。</w:t>
                  </w:r>
                </w:p>
              </w:tc>
              <w:tc>
                <w:tcPr>
                  <w:tcW w:w="1451" w:type="pct"/>
                  <w:noWrap w:val="0"/>
                  <w:vAlign w:val="center"/>
                </w:tcPr>
                <w:p w14:paraId="036C9A1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本项目污染程度低，无电镀、表面处理工艺，非太阳能电池切片、钢铁等传统型金属材料、水泥等传统型非金属材料的生产项目，不属于纯印染和纯染整类企业和项目，本项目不排放HCl气体。</w:t>
                  </w:r>
                </w:p>
              </w:tc>
              <w:tc>
                <w:tcPr>
                  <w:tcW w:w="315" w:type="pct"/>
                  <w:noWrap w:val="0"/>
                  <w:vAlign w:val="center"/>
                </w:tcPr>
                <w:p w14:paraId="1315687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51263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33" w:type="pct"/>
                  <w:noWrap w:val="0"/>
                  <w:vAlign w:val="center"/>
                </w:tcPr>
                <w:p w14:paraId="5AF1C09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加快基础设施建设。完善区内供热管网，2018年底前实现区内集中供热或使用清洁能源；加快现有燃煤设施拆除工作，改用集中供热或使用清洁能源；新入区企业严禁自建燃煤设施。园区实施雨污分流、清污分流和污水集中处理，建设完善区内污水管网，封堵现有企业自有排口，2015年底前完成所有企业废水接管，2018年底前完成所有生活污水接管；加快实施中水回用工程，污水处理厂中水回用率达30%。加强固体废物的集中处理处置，危险废物交由有资质的单位处理。</w:t>
                  </w:r>
                </w:p>
              </w:tc>
              <w:tc>
                <w:tcPr>
                  <w:tcW w:w="1451" w:type="pct"/>
                  <w:noWrap w:val="0"/>
                  <w:vAlign w:val="center"/>
                </w:tcPr>
                <w:p w14:paraId="577C5E1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本项目厂区实施雨污分流制，雨水排入市政雨水管网，</w:t>
                  </w:r>
                  <w:r>
                    <w:rPr>
                      <w:rFonts w:hint="default" w:ascii="Times New Roman" w:hAnsi="Times New Roman" w:eastAsia="宋体" w:cs="Times New Roman"/>
                      <w:color w:val="auto"/>
                      <w:spacing w:val="0"/>
                      <w:kern w:val="0"/>
                      <w:sz w:val="21"/>
                      <w:szCs w:val="21"/>
                      <w:lang w:val="en-US" w:eastAsia="zh-CN"/>
                    </w:rPr>
                    <w:t>本项目废水主要为</w:t>
                  </w:r>
                  <w:r>
                    <w:rPr>
                      <w:rFonts w:hint="default" w:ascii="Times New Roman" w:hAnsi="Times New Roman" w:eastAsia="宋体" w:cs="Times New Roman"/>
                      <w:snapToGrid w:val="0"/>
                      <w:color w:val="auto"/>
                      <w:spacing w:val="0"/>
                      <w:kern w:val="0"/>
                      <w:lang w:val="en-US" w:eastAsia="zh-CN"/>
                    </w:rPr>
                    <w:t>生活污水，接入金坛第二污水处理厂集中处理</w:t>
                  </w:r>
                  <w:r>
                    <w:rPr>
                      <w:rFonts w:hint="default" w:ascii="Times New Roman" w:hAnsi="Times New Roman" w:eastAsia="宋体" w:cs="Times New Roman"/>
                      <w:color w:val="auto"/>
                      <w:spacing w:val="0"/>
                      <w:kern w:val="0"/>
                      <w:sz w:val="21"/>
                      <w:szCs w:val="21"/>
                    </w:rPr>
                    <w:t>。</w:t>
                  </w:r>
                </w:p>
              </w:tc>
              <w:tc>
                <w:tcPr>
                  <w:tcW w:w="315" w:type="pct"/>
                  <w:noWrap w:val="0"/>
                  <w:vAlign w:val="center"/>
                </w:tcPr>
                <w:p w14:paraId="7A55128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20DA9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33" w:type="pct"/>
                  <w:noWrap w:val="0"/>
                  <w:vAlign w:val="center"/>
                </w:tcPr>
                <w:p w14:paraId="709D57E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加强区域大气环境保护，严格落实HCl等大气特征污染物防治措施，强化恶臭、VOCs等特征污染物的控制与治理，严格控制SO</w:t>
                  </w:r>
                  <w:r>
                    <w:rPr>
                      <w:rFonts w:hint="default" w:ascii="Times New Roman" w:hAnsi="Times New Roman" w:eastAsia="宋体" w:cs="Times New Roman"/>
                      <w:color w:val="auto"/>
                      <w:spacing w:val="0"/>
                      <w:kern w:val="0"/>
                      <w:sz w:val="21"/>
                      <w:szCs w:val="21"/>
                      <w:vertAlign w:val="subscript"/>
                    </w:rPr>
                    <w:t>2</w:t>
                  </w:r>
                  <w:r>
                    <w:rPr>
                      <w:rFonts w:hint="default" w:ascii="Times New Roman" w:hAnsi="Times New Roman" w:eastAsia="宋体" w:cs="Times New Roman"/>
                      <w:color w:val="auto"/>
                      <w:spacing w:val="0"/>
                      <w:kern w:val="0"/>
                      <w:sz w:val="21"/>
                      <w:szCs w:val="21"/>
                    </w:rPr>
                    <w:t>、NOx、VOCs等大气污染物排放总量，确保重点区域大气环境质量如期改善与稳定达标。</w:t>
                  </w:r>
                </w:p>
              </w:tc>
              <w:tc>
                <w:tcPr>
                  <w:tcW w:w="1451" w:type="pct"/>
                  <w:noWrap w:val="0"/>
                  <w:vAlign w:val="center"/>
                </w:tcPr>
                <w:p w14:paraId="0BDC6B5E">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本项目废气主要为印刷废气，UV油墨使用量极小，在车间内无组织排放。</w:t>
                  </w:r>
                </w:p>
              </w:tc>
              <w:tc>
                <w:tcPr>
                  <w:tcW w:w="315" w:type="pct"/>
                  <w:noWrap w:val="0"/>
                  <w:vAlign w:val="center"/>
                </w:tcPr>
                <w:p w14:paraId="48069C8A">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21D9D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33" w:type="pct"/>
                  <w:noWrap w:val="0"/>
                  <w:vAlign w:val="center"/>
                </w:tcPr>
                <w:p w14:paraId="38D71050">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落实《江苏省生态红线区域保护规划》和《江苏省太湖水污染防治条例》要求，加强太湖流域水环境保护。以丹金溧漕河、尧塘河为重点，加大区域河流综合整治力度。严格控制园区人口规模和用水定额，减少工业企业用水量和污水排放量，严格控制COD、氨氮、总磷等污染物排放总量，加快实现水环境功能区达标。</w:t>
                  </w:r>
                </w:p>
              </w:tc>
              <w:tc>
                <w:tcPr>
                  <w:tcW w:w="1451" w:type="pct"/>
                  <w:noWrap w:val="0"/>
                  <w:vAlign w:val="center"/>
                </w:tcPr>
                <w:p w14:paraId="1CF2AB5A">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根据《江苏省生态空间管控区域规划》和《江苏省国家级生态保护红线规划》，本项目均不在上述红线中。</w:t>
                  </w:r>
                </w:p>
              </w:tc>
              <w:tc>
                <w:tcPr>
                  <w:tcW w:w="315" w:type="pct"/>
                  <w:noWrap w:val="0"/>
                  <w:vAlign w:val="center"/>
                </w:tcPr>
                <w:p w14:paraId="361A651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bl>
          <w:p w14:paraId="10FC5D77">
            <w:pPr>
              <w:keepNext w:val="0"/>
              <w:keepLines w:val="0"/>
              <w:pageBreakBefore w:val="0"/>
              <w:widowControl/>
              <w:numPr>
                <w:ilvl w:val="0"/>
                <w:numId w:val="0"/>
              </w:numPr>
              <w:kinsoku/>
              <w:wordWrap/>
              <w:overflowPunct/>
              <w:topLinePunct w:val="0"/>
              <w:autoSpaceDE/>
              <w:autoSpaceDN/>
              <w:bidi w:val="0"/>
              <w:snapToGrid w:val="0"/>
              <w:spacing w:line="500" w:lineRule="exact"/>
              <w:ind w:firstLine="480" w:firstLineChars="200"/>
              <w:jc w:val="left"/>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lang w:val="en-US" w:eastAsia="zh-CN" w:bidi="ar-SA"/>
              </w:rPr>
              <w:t>（2）</w:t>
            </w:r>
            <w:r>
              <w:rPr>
                <w:rFonts w:hint="default" w:ascii="Times New Roman" w:hAnsi="Times New Roman" w:eastAsia="宋体" w:cs="Times New Roman"/>
                <w:color w:val="auto"/>
                <w:spacing w:val="0"/>
                <w:kern w:val="0"/>
                <w:sz w:val="24"/>
                <w:szCs w:val="24"/>
              </w:rPr>
              <w:t>规划环境影响评价相符性分析</w:t>
            </w:r>
          </w:p>
          <w:p w14:paraId="4E33CD96">
            <w:pPr>
              <w:keepNext w:val="0"/>
              <w:keepLines w:val="0"/>
              <w:pageBreakBefore w:val="0"/>
              <w:kinsoku/>
              <w:wordWrap/>
              <w:overflowPunct/>
              <w:topLinePunct w:val="0"/>
              <w:autoSpaceDE/>
              <w:autoSpaceDN/>
              <w:bidi w:val="0"/>
              <w:snapToGrid w:val="0"/>
              <w:spacing w:line="500" w:lineRule="exact"/>
              <w:ind w:firstLine="480"/>
              <w:textAlignment w:val="auto"/>
              <w:rPr>
                <w:rFonts w:hint="default" w:ascii="Times New Roman" w:hAnsi="Times New Roman" w:eastAsia="宋体" w:cs="Times New Roman"/>
                <w:color w:val="auto"/>
                <w:spacing w:val="0"/>
                <w:kern w:val="0"/>
                <w:sz w:val="24"/>
                <w:szCs w:val="24"/>
              </w:rPr>
            </w:pPr>
            <w:r>
              <w:rPr>
                <w:rFonts w:hint="default" w:ascii="Times New Roman" w:hAnsi="Times New Roman" w:eastAsia="宋体" w:cs="Times New Roman"/>
                <w:color w:val="auto"/>
                <w:spacing w:val="0"/>
                <w:kern w:val="0"/>
                <w:sz w:val="24"/>
                <w:szCs w:val="24"/>
              </w:rPr>
              <w:t>项目与《金坛经济开发区发展规划环境影响报告书》及《关于金坛经济开发区发展规划环境影响评价审查意见》相符性分析见下表。</w:t>
            </w:r>
          </w:p>
          <w:p w14:paraId="728C1243">
            <w:pPr>
              <w:pStyle w:val="5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表1-</w:t>
            </w:r>
            <w:r>
              <w:rPr>
                <w:rFonts w:hint="default" w:ascii="Times New Roman" w:hAnsi="Times New Roman" w:eastAsia="宋体" w:cs="Times New Roman"/>
                <w:color w:val="auto"/>
                <w:spacing w:val="0"/>
                <w:kern w:val="0"/>
                <w:sz w:val="21"/>
                <w:szCs w:val="21"/>
                <w:lang w:val="en-US" w:eastAsia="zh-CN"/>
              </w:rPr>
              <w:t>3</w:t>
            </w:r>
            <w:r>
              <w:rPr>
                <w:rFonts w:hint="default" w:ascii="Times New Roman" w:hAnsi="Times New Roman" w:eastAsia="宋体" w:cs="Times New Roman"/>
                <w:color w:val="auto"/>
                <w:spacing w:val="0"/>
                <w:kern w:val="0"/>
                <w:sz w:val="21"/>
                <w:szCs w:val="21"/>
              </w:rPr>
              <w:t>项目与金坛经济开发区发展规划环境影响报告书及审查意见相符性分析</w:t>
            </w:r>
          </w:p>
          <w:tbl>
            <w:tblPr>
              <w:tblStyle w:val="17"/>
              <w:tblW w:w="50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511"/>
              <w:gridCol w:w="2972"/>
              <w:gridCol w:w="2792"/>
              <w:gridCol w:w="732"/>
            </w:tblGrid>
            <w:tr w14:paraId="0695A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tcBorders>
                    <w:bottom w:val="single" w:color="auto" w:sz="12" w:space="0"/>
                  </w:tcBorders>
                  <w:noWrap w:val="0"/>
                  <w:vAlign w:val="center"/>
                </w:tcPr>
                <w:p w14:paraId="7F026B1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序号</w:t>
                  </w:r>
                </w:p>
              </w:tc>
              <w:tc>
                <w:tcPr>
                  <w:tcW w:w="3391" w:type="dxa"/>
                  <w:tcBorders>
                    <w:bottom w:val="single" w:color="auto" w:sz="12" w:space="0"/>
                  </w:tcBorders>
                  <w:noWrap w:val="0"/>
                  <w:vAlign w:val="center"/>
                </w:tcPr>
                <w:p w14:paraId="3C3C522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相关要求</w:t>
                  </w:r>
                </w:p>
              </w:tc>
              <w:tc>
                <w:tcPr>
                  <w:tcW w:w="3129" w:type="dxa"/>
                  <w:tcBorders>
                    <w:bottom w:val="single" w:color="auto" w:sz="12" w:space="0"/>
                  </w:tcBorders>
                  <w:noWrap w:val="0"/>
                  <w:vAlign w:val="center"/>
                </w:tcPr>
                <w:p w14:paraId="7905F06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本项目情况</w:t>
                  </w:r>
                </w:p>
              </w:tc>
              <w:tc>
                <w:tcPr>
                  <w:tcW w:w="811" w:type="dxa"/>
                  <w:tcBorders>
                    <w:bottom w:val="single" w:color="auto" w:sz="12" w:space="0"/>
                  </w:tcBorders>
                  <w:noWrap w:val="0"/>
                  <w:vAlign w:val="center"/>
                </w:tcPr>
                <w:p w14:paraId="04365D4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相符性</w:t>
                  </w:r>
                </w:p>
              </w:tc>
            </w:tr>
            <w:tr w14:paraId="31C60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tcBorders>
                    <w:top w:val="single" w:color="auto" w:sz="12" w:space="0"/>
                  </w:tcBorders>
                  <w:noWrap w:val="0"/>
                  <w:vAlign w:val="center"/>
                </w:tcPr>
                <w:p w14:paraId="67FAC29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1</w:t>
                  </w:r>
                </w:p>
              </w:tc>
              <w:tc>
                <w:tcPr>
                  <w:tcW w:w="3391" w:type="dxa"/>
                  <w:tcBorders>
                    <w:top w:val="single" w:color="auto" w:sz="12" w:space="0"/>
                  </w:tcBorders>
                  <w:noWrap w:val="0"/>
                  <w:vAlign w:val="center"/>
                </w:tcPr>
                <w:p w14:paraId="2436A65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开发区应引进科技含量高、产品附加值高、无污染或污染程度低的项目。</w:t>
                  </w:r>
                </w:p>
              </w:tc>
              <w:tc>
                <w:tcPr>
                  <w:tcW w:w="3129" w:type="dxa"/>
                  <w:tcBorders>
                    <w:top w:val="single" w:color="auto" w:sz="12" w:space="0"/>
                  </w:tcBorders>
                  <w:noWrap w:val="0"/>
                  <w:vAlign w:val="center"/>
                </w:tcPr>
                <w:p w14:paraId="047FBA7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本项目属于邮政专用机械及器材制造[C3593]，工艺污染程度低。</w:t>
                  </w:r>
                </w:p>
              </w:tc>
              <w:tc>
                <w:tcPr>
                  <w:tcW w:w="811" w:type="dxa"/>
                  <w:tcBorders>
                    <w:top w:val="single" w:color="auto" w:sz="12" w:space="0"/>
                  </w:tcBorders>
                  <w:noWrap w:val="0"/>
                  <w:vAlign w:val="center"/>
                </w:tcPr>
                <w:p w14:paraId="57E2385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7CABC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68799BE8">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2</w:t>
                  </w:r>
                </w:p>
              </w:tc>
              <w:tc>
                <w:tcPr>
                  <w:tcW w:w="3391" w:type="dxa"/>
                  <w:noWrap w:val="0"/>
                  <w:vAlign w:val="center"/>
                </w:tcPr>
                <w:p w14:paraId="39F4B58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在园区大气中HCl稳定达标前禁止引进排放大气污染物HCl的企业和项目。</w:t>
                  </w:r>
                </w:p>
              </w:tc>
              <w:tc>
                <w:tcPr>
                  <w:tcW w:w="3129" w:type="dxa"/>
                  <w:noWrap w:val="0"/>
                  <w:vAlign w:val="center"/>
                </w:tcPr>
                <w:p w14:paraId="7677DE10">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项目不排放HCl废气。</w:t>
                  </w:r>
                </w:p>
              </w:tc>
              <w:tc>
                <w:tcPr>
                  <w:tcW w:w="811" w:type="dxa"/>
                  <w:noWrap w:val="0"/>
                  <w:vAlign w:val="center"/>
                </w:tcPr>
                <w:p w14:paraId="2D6DCFD6">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63213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40BC0CBA">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3</w:t>
                  </w:r>
                </w:p>
              </w:tc>
              <w:tc>
                <w:tcPr>
                  <w:tcW w:w="3391" w:type="dxa"/>
                  <w:noWrap w:val="0"/>
                  <w:vAlign w:val="center"/>
                </w:tcPr>
                <w:p w14:paraId="1E74313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与钱资荡生态红线区边界相邻2000米内用地布置为污染程度低的工业项目。</w:t>
                  </w:r>
                </w:p>
              </w:tc>
              <w:tc>
                <w:tcPr>
                  <w:tcW w:w="3129" w:type="dxa"/>
                  <w:noWrap w:val="0"/>
                  <w:vAlign w:val="center"/>
                </w:tcPr>
                <w:p w14:paraId="05FA043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项目距钱资荡生态红线区最近距离为</w:t>
                  </w:r>
                  <w:r>
                    <w:rPr>
                      <w:rFonts w:hint="default" w:ascii="Times New Roman" w:hAnsi="Times New Roman" w:eastAsia="宋体" w:cs="Times New Roman"/>
                      <w:color w:val="auto"/>
                      <w:spacing w:val="0"/>
                      <w:kern w:val="0"/>
                      <w:sz w:val="21"/>
                      <w:szCs w:val="21"/>
                      <w:lang w:val="en-US" w:eastAsia="zh-CN"/>
                    </w:rPr>
                    <w:t>5.4</w:t>
                  </w:r>
                  <w:r>
                    <w:rPr>
                      <w:rFonts w:hint="default" w:ascii="Times New Roman" w:hAnsi="Times New Roman" w:eastAsia="宋体" w:cs="Times New Roman"/>
                      <w:color w:val="auto"/>
                      <w:spacing w:val="0"/>
                      <w:kern w:val="0"/>
                      <w:sz w:val="21"/>
                      <w:szCs w:val="21"/>
                    </w:rPr>
                    <w:t>km；项目排放污染物均得到有效处置，污染物排放总量降为最低，满足环保主管部门指标的要求。项目不涉及重金属排放。污水达标排入市政污水处理厂。项目属于“污染程度低的工业项目”。</w:t>
                  </w:r>
                </w:p>
              </w:tc>
              <w:tc>
                <w:tcPr>
                  <w:tcW w:w="811" w:type="dxa"/>
                  <w:noWrap w:val="0"/>
                  <w:vAlign w:val="center"/>
                </w:tcPr>
                <w:p w14:paraId="7CF7B2DF">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4A775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3BF1D4A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4</w:t>
                  </w:r>
                </w:p>
              </w:tc>
              <w:tc>
                <w:tcPr>
                  <w:tcW w:w="3391" w:type="dxa"/>
                  <w:noWrap w:val="0"/>
                  <w:vAlign w:val="center"/>
                </w:tcPr>
                <w:p w14:paraId="2C51C80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加快环保基础设施建设。园区实施雨污分流、清污分流和污水集中处理，建设完善区内污水管网。</w:t>
                  </w:r>
                </w:p>
              </w:tc>
              <w:tc>
                <w:tcPr>
                  <w:tcW w:w="3129" w:type="dxa"/>
                  <w:noWrap w:val="0"/>
                  <w:vAlign w:val="center"/>
                </w:tcPr>
                <w:p w14:paraId="61CDDB4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项目所在地金坛经济开发区已实施雨污分流、清污分流，污水经污水管网接管至金坛区第二污水处理厂集中处理。</w:t>
                  </w:r>
                </w:p>
              </w:tc>
              <w:tc>
                <w:tcPr>
                  <w:tcW w:w="811" w:type="dxa"/>
                  <w:noWrap w:val="0"/>
                  <w:vAlign w:val="center"/>
                </w:tcPr>
                <w:p w14:paraId="2FC1D7C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3D167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1541993C">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5</w:t>
                  </w:r>
                </w:p>
              </w:tc>
              <w:tc>
                <w:tcPr>
                  <w:tcW w:w="3391" w:type="dxa"/>
                  <w:noWrap w:val="0"/>
                  <w:vAlign w:val="center"/>
                </w:tcPr>
                <w:p w14:paraId="4E8CA27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加强固体废物的集中处理处置，危险废物交由有资质的单位处置。</w:t>
                  </w:r>
                </w:p>
              </w:tc>
              <w:tc>
                <w:tcPr>
                  <w:tcW w:w="3129" w:type="dxa"/>
                  <w:noWrap w:val="0"/>
                  <w:vAlign w:val="center"/>
                </w:tcPr>
                <w:p w14:paraId="064247F4">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项目建设一般固废仓库及危险废物仓库收集、贮存固体废物，危险废物交由有资质单位处置。</w:t>
                  </w:r>
                </w:p>
              </w:tc>
              <w:tc>
                <w:tcPr>
                  <w:tcW w:w="811" w:type="dxa"/>
                  <w:noWrap w:val="0"/>
                  <w:vAlign w:val="center"/>
                </w:tcPr>
                <w:p w14:paraId="10E2F8E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15AD5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42BD1949">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6</w:t>
                  </w:r>
                </w:p>
              </w:tc>
              <w:tc>
                <w:tcPr>
                  <w:tcW w:w="3391" w:type="dxa"/>
                  <w:noWrap w:val="0"/>
                  <w:vAlign w:val="center"/>
                </w:tcPr>
                <w:p w14:paraId="78C29719">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加强区域大气环境保护，严格落实HCl等大气特征污染物防治措施，强化恶臭、VOCs等特征污染物的控制与治理，严格控制SO</w:t>
                  </w:r>
                  <w:r>
                    <w:rPr>
                      <w:rFonts w:hint="default" w:ascii="Times New Roman" w:hAnsi="Times New Roman" w:eastAsia="宋体" w:cs="Times New Roman"/>
                      <w:color w:val="auto"/>
                      <w:spacing w:val="0"/>
                      <w:kern w:val="0"/>
                      <w:sz w:val="21"/>
                      <w:szCs w:val="21"/>
                      <w:vertAlign w:val="subscript"/>
                    </w:rPr>
                    <w:t>2</w:t>
                  </w:r>
                  <w:r>
                    <w:rPr>
                      <w:rFonts w:hint="default" w:ascii="Times New Roman" w:hAnsi="Times New Roman" w:eastAsia="宋体" w:cs="Times New Roman"/>
                      <w:color w:val="auto"/>
                      <w:spacing w:val="0"/>
                      <w:kern w:val="0"/>
                      <w:sz w:val="21"/>
                      <w:szCs w:val="21"/>
                    </w:rPr>
                    <w:t>、NOx、VOCs等大气污染物排放总量。</w:t>
                  </w:r>
                </w:p>
              </w:tc>
              <w:tc>
                <w:tcPr>
                  <w:tcW w:w="3129" w:type="dxa"/>
                  <w:noWrap w:val="0"/>
                  <w:vAlign w:val="center"/>
                </w:tcPr>
                <w:p w14:paraId="68F00E31">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highlight w:val="yellow"/>
                      <w:lang w:val="en-US" w:eastAsia="zh-CN"/>
                    </w:rPr>
                  </w:pPr>
                  <w:r>
                    <w:rPr>
                      <w:rFonts w:hint="default" w:ascii="Times New Roman" w:hAnsi="Times New Roman" w:eastAsia="宋体" w:cs="Times New Roman"/>
                      <w:color w:val="auto"/>
                      <w:spacing w:val="0"/>
                      <w:kern w:val="0"/>
                      <w:sz w:val="21"/>
                      <w:szCs w:val="21"/>
                    </w:rPr>
                    <w:t>本项目不排放HCl、SO</w:t>
                  </w:r>
                  <w:r>
                    <w:rPr>
                      <w:rFonts w:hint="default" w:ascii="Times New Roman" w:hAnsi="Times New Roman" w:eastAsia="宋体" w:cs="Times New Roman"/>
                      <w:color w:val="auto"/>
                      <w:spacing w:val="0"/>
                      <w:kern w:val="0"/>
                      <w:sz w:val="21"/>
                      <w:szCs w:val="21"/>
                      <w:vertAlign w:val="subscript"/>
                    </w:rPr>
                    <w:t>2</w:t>
                  </w:r>
                  <w:r>
                    <w:rPr>
                      <w:rFonts w:hint="default" w:ascii="Times New Roman" w:hAnsi="Times New Roman" w:eastAsia="宋体" w:cs="Times New Roman"/>
                      <w:color w:val="auto"/>
                      <w:spacing w:val="0"/>
                      <w:kern w:val="0"/>
                      <w:sz w:val="21"/>
                      <w:szCs w:val="21"/>
                    </w:rPr>
                    <w:t>、NOx，</w:t>
                  </w:r>
                  <w:r>
                    <w:rPr>
                      <w:rFonts w:hint="default" w:ascii="Times New Roman" w:hAnsi="Times New Roman" w:eastAsia="宋体" w:cs="Times New Roman"/>
                      <w:color w:val="auto"/>
                      <w:spacing w:val="0"/>
                      <w:kern w:val="0"/>
                      <w:sz w:val="21"/>
                      <w:szCs w:val="21"/>
                      <w:lang w:val="en-US" w:eastAsia="zh-CN"/>
                    </w:rPr>
                    <w:t>本项目废气主要为印刷废气，UV油墨使用量极小，在车间内无组织排放。</w:t>
                  </w:r>
                </w:p>
              </w:tc>
              <w:tc>
                <w:tcPr>
                  <w:tcW w:w="811" w:type="dxa"/>
                  <w:noWrap w:val="0"/>
                  <w:vAlign w:val="center"/>
                </w:tcPr>
                <w:p w14:paraId="2E5491A5">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5921D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3F6C792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7</w:t>
                  </w:r>
                </w:p>
              </w:tc>
              <w:tc>
                <w:tcPr>
                  <w:tcW w:w="3391" w:type="dxa"/>
                  <w:noWrap w:val="0"/>
                  <w:vAlign w:val="center"/>
                </w:tcPr>
                <w:p w14:paraId="24C3058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落实《江苏省太湖污染防治条例》要求，加强太湖流域水环境保护。</w:t>
                  </w:r>
                </w:p>
              </w:tc>
              <w:tc>
                <w:tcPr>
                  <w:tcW w:w="3129" w:type="dxa"/>
                  <w:noWrap w:val="0"/>
                  <w:vAlign w:val="center"/>
                </w:tcPr>
                <w:p w14:paraId="5E9AEEA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lang w:val="en-US" w:eastAsia="zh-CN"/>
                    </w:rPr>
                    <w:t>本项目无生产废水排放，主要废水为生活污水</w:t>
                  </w:r>
                  <w:r>
                    <w:rPr>
                      <w:rFonts w:hint="default" w:ascii="Times New Roman" w:hAnsi="Times New Roman" w:eastAsia="宋体" w:cs="Times New Roman"/>
                      <w:snapToGrid w:val="0"/>
                      <w:color w:val="auto"/>
                      <w:spacing w:val="0"/>
                      <w:kern w:val="0"/>
                      <w:lang w:val="en-US" w:eastAsia="zh-CN"/>
                    </w:rPr>
                    <w:t>，接入金坛第二污水处理厂集中处理</w:t>
                  </w:r>
                  <w:r>
                    <w:rPr>
                      <w:rFonts w:hint="default" w:ascii="Times New Roman" w:hAnsi="Times New Roman" w:eastAsia="宋体" w:cs="Times New Roman"/>
                      <w:color w:val="auto"/>
                      <w:spacing w:val="0"/>
                      <w:kern w:val="0"/>
                      <w:sz w:val="21"/>
                      <w:szCs w:val="21"/>
                      <w:lang w:val="en-US" w:eastAsia="zh-CN"/>
                    </w:rPr>
                    <w:t>，</w:t>
                  </w:r>
                  <w:r>
                    <w:rPr>
                      <w:rFonts w:hint="default" w:ascii="Times New Roman" w:hAnsi="Times New Roman" w:eastAsia="宋体" w:cs="Times New Roman"/>
                      <w:color w:val="auto"/>
                      <w:spacing w:val="0"/>
                      <w:kern w:val="0"/>
                      <w:sz w:val="21"/>
                      <w:szCs w:val="21"/>
                    </w:rPr>
                    <w:t>满足《江苏省太湖污染防治条例》要求。</w:t>
                  </w:r>
                </w:p>
              </w:tc>
              <w:tc>
                <w:tcPr>
                  <w:tcW w:w="811" w:type="dxa"/>
                  <w:noWrap w:val="0"/>
                  <w:vAlign w:val="center"/>
                </w:tcPr>
                <w:p w14:paraId="7680687B">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30C3E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8" w:type="dxa"/>
                  <w:noWrap w:val="0"/>
                  <w:vAlign w:val="center"/>
                </w:tcPr>
                <w:p w14:paraId="5F3DA737">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8</w:t>
                  </w:r>
                </w:p>
              </w:tc>
              <w:tc>
                <w:tcPr>
                  <w:tcW w:w="3391" w:type="dxa"/>
                  <w:noWrap w:val="0"/>
                  <w:vAlign w:val="center"/>
                </w:tcPr>
                <w:p w14:paraId="16B9F002">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严格控制园区人口规模和用水定额，减少工业企业用水量和污水排放量，严格控制COD、氨氮、总磷等污染物排放总量。</w:t>
                  </w:r>
                </w:p>
              </w:tc>
              <w:tc>
                <w:tcPr>
                  <w:tcW w:w="3129" w:type="dxa"/>
                  <w:noWrap w:val="0"/>
                  <w:vAlign w:val="center"/>
                </w:tcPr>
                <w:p w14:paraId="78BE7D83">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本项目无生产废水排放，主要废水为生活污污水。</w:t>
                  </w:r>
                </w:p>
              </w:tc>
              <w:tc>
                <w:tcPr>
                  <w:tcW w:w="811" w:type="dxa"/>
                  <w:noWrap w:val="0"/>
                  <w:vAlign w:val="center"/>
                </w:tcPr>
                <w:p w14:paraId="4E0E849D">
                  <w:pPr>
                    <w:pStyle w:val="41"/>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bl>
          <w:p w14:paraId="69303C6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pacing w:val="0"/>
                <w:kern w:val="0"/>
                <w:sz w:val="24"/>
                <w:szCs w:val="32"/>
              </w:rPr>
            </w:pPr>
            <w:r>
              <w:rPr>
                <w:rFonts w:hint="default" w:ascii="Times New Roman" w:hAnsi="Times New Roman" w:eastAsia="宋体" w:cs="Times New Roman"/>
                <w:color w:val="auto"/>
                <w:spacing w:val="0"/>
                <w:kern w:val="0"/>
                <w:sz w:val="24"/>
                <w:szCs w:val="32"/>
              </w:rPr>
              <w:t>本项目属于C3593邮政专用机械及器材制造，采用先进的生产设备、工艺污染程度较低；</w:t>
            </w:r>
            <w:r>
              <w:rPr>
                <w:rFonts w:hint="default" w:ascii="Times New Roman" w:hAnsi="Times New Roman" w:eastAsia="宋体" w:cs="Times New Roman"/>
                <w:color w:val="auto"/>
                <w:spacing w:val="0"/>
                <w:kern w:val="0"/>
                <w:sz w:val="24"/>
                <w:szCs w:val="32"/>
                <w:lang w:val="en-US" w:eastAsia="zh-CN"/>
              </w:rPr>
              <w:t>厂区内</w:t>
            </w:r>
            <w:r>
              <w:rPr>
                <w:rFonts w:hint="default" w:ascii="Times New Roman" w:hAnsi="Times New Roman" w:eastAsia="宋体" w:cs="Times New Roman"/>
                <w:color w:val="auto"/>
                <w:spacing w:val="0"/>
                <w:kern w:val="0"/>
                <w:sz w:val="24"/>
                <w:szCs w:val="32"/>
              </w:rPr>
              <w:t>已实施雨污分流；项目无HCl排放，本项目废气主要为印刷废气，UV油墨使用量极小，</w:t>
            </w:r>
            <w:r>
              <w:rPr>
                <w:rFonts w:hint="default" w:ascii="Times New Roman" w:hAnsi="Times New Roman" w:eastAsia="宋体" w:cs="Times New Roman"/>
                <w:color w:val="auto"/>
                <w:spacing w:val="0"/>
                <w:kern w:val="0"/>
                <w:sz w:val="24"/>
                <w:szCs w:val="32"/>
                <w:lang w:val="en-US" w:eastAsia="zh-CN"/>
              </w:rPr>
              <w:t>产生的非甲烷总烃不定量分析，</w:t>
            </w:r>
            <w:r>
              <w:rPr>
                <w:rFonts w:hint="default" w:ascii="Times New Roman" w:hAnsi="Times New Roman" w:eastAsia="宋体" w:cs="Times New Roman"/>
                <w:color w:val="auto"/>
                <w:spacing w:val="0"/>
                <w:kern w:val="0"/>
                <w:sz w:val="24"/>
                <w:szCs w:val="32"/>
              </w:rPr>
              <w:t>在车间内无组织排放，对周围环境影响较小；本项目无生产废水排放，主要废水为生活污水，接入金坛第二污水处理厂集中处理；建立一般固废仓库、危险废物仓库，满足固体废物分类收集、贮存的要求，危险废物委托有资质单位安全处置，项目污染程度较低，满足《江苏省太湖污染防治条例》要求；距钱资荡生态红线区最近距离为</w:t>
            </w:r>
            <w:r>
              <w:rPr>
                <w:rFonts w:hint="default" w:ascii="Times New Roman" w:hAnsi="Times New Roman" w:eastAsia="宋体" w:cs="Times New Roman"/>
                <w:color w:val="auto"/>
                <w:spacing w:val="0"/>
                <w:kern w:val="0"/>
                <w:sz w:val="24"/>
                <w:szCs w:val="32"/>
                <w:lang w:val="en-US" w:eastAsia="zh-CN"/>
              </w:rPr>
              <w:t>5.4</w:t>
            </w:r>
            <w:r>
              <w:rPr>
                <w:rFonts w:hint="default" w:ascii="Times New Roman" w:hAnsi="Times New Roman" w:eastAsia="宋体" w:cs="Times New Roman"/>
                <w:color w:val="auto"/>
                <w:spacing w:val="0"/>
                <w:kern w:val="0"/>
                <w:sz w:val="24"/>
                <w:szCs w:val="32"/>
              </w:rPr>
              <w:t>km，不会导致其生态红线区域服务功能下降。</w:t>
            </w:r>
          </w:p>
          <w:p w14:paraId="14887BDA">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b w:val="0"/>
                <w:bCs w:val="0"/>
                <w:smallCaps w:val="0"/>
                <w:color w:val="auto"/>
                <w:spacing w:val="0"/>
                <w:kern w:val="0"/>
                <w:position w:val="0"/>
                <w:szCs w:val="21"/>
                <w:lang w:val="en-US" w:eastAsia="zh-CN"/>
              </w:rPr>
            </w:pPr>
            <w:r>
              <w:rPr>
                <w:rFonts w:hint="default" w:ascii="Times New Roman" w:hAnsi="Times New Roman" w:eastAsia="宋体" w:cs="Times New Roman"/>
                <w:color w:val="auto"/>
                <w:spacing w:val="0"/>
                <w:kern w:val="0"/>
                <w:sz w:val="24"/>
                <w:szCs w:val="32"/>
              </w:rPr>
              <w:t>因此，项目建设符合《金坛经济开发区发展规划环境影响报告书》及《关于金坛经济开发区发展规划环境影响评价审查意见》中相关要求。</w:t>
            </w:r>
          </w:p>
        </w:tc>
      </w:tr>
    </w:tbl>
    <w:p w14:paraId="67A1DFBB">
      <w:pPr>
        <w:rPr>
          <w:rFonts w:hint="default" w:ascii="Times New Roman" w:hAnsi="Times New Roman" w:eastAsia="宋体" w:cs="Times New Roman"/>
          <w:b/>
          <w:bCs/>
          <w:smallCaps w:val="0"/>
          <w:color w:val="auto"/>
          <w:spacing w:val="0"/>
          <w:kern w:val="0"/>
          <w:position w:val="0"/>
          <w:lang w:eastAsia="zh-CN"/>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b/>
          <w:bCs/>
          <w:smallCaps w:val="0"/>
          <w:color w:val="auto"/>
          <w:spacing w:val="0"/>
          <w:kern w:val="0"/>
          <w:position w:val="0"/>
          <w:lang w:val="en-US" w:eastAsia="zh-CN"/>
        </w:rPr>
        <w:t>注：</w:t>
      </w:r>
      <w:r>
        <w:rPr>
          <w:rFonts w:hint="default" w:ascii="Times New Roman" w:hAnsi="Times New Roman" w:eastAsia="宋体" w:cs="Times New Roman"/>
          <w:b/>
          <w:bCs/>
          <w:smallCaps w:val="0"/>
          <w:color w:val="auto"/>
          <w:spacing w:val="0"/>
          <w:kern w:val="0"/>
          <w:position w:val="0"/>
        </w:rPr>
        <w:t>本项目距最近的大气质量国控站点金坛监测站</w:t>
      </w:r>
      <w:r>
        <w:rPr>
          <w:rFonts w:hint="default" w:ascii="Times New Roman" w:hAnsi="Times New Roman" w:eastAsia="宋体" w:cs="Times New Roman"/>
          <w:b/>
          <w:bCs/>
          <w:smallCaps w:val="0"/>
          <w:color w:val="auto"/>
          <w:spacing w:val="0"/>
          <w:kern w:val="0"/>
          <w:position w:val="0"/>
          <w:lang w:val="en-US" w:eastAsia="zh-CN"/>
        </w:rPr>
        <w:t>省</w:t>
      </w:r>
      <w:r>
        <w:rPr>
          <w:rFonts w:hint="default" w:ascii="Times New Roman" w:hAnsi="Times New Roman" w:eastAsia="宋体" w:cs="Times New Roman"/>
          <w:b/>
          <w:bCs/>
          <w:smallCaps w:val="0"/>
          <w:color w:val="auto"/>
          <w:spacing w:val="0"/>
          <w:kern w:val="0"/>
          <w:position w:val="0"/>
        </w:rPr>
        <w:t>控站点的距离为</w:t>
      </w:r>
      <w:r>
        <w:rPr>
          <w:rFonts w:hint="default" w:ascii="Times New Roman" w:hAnsi="Times New Roman" w:eastAsia="宋体" w:cs="Times New Roman"/>
          <w:b/>
          <w:bCs/>
          <w:smallCaps w:val="0"/>
          <w:color w:val="auto"/>
          <w:spacing w:val="0"/>
          <w:kern w:val="0"/>
          <w:position w:val="0"/>
          <w:lang w:val="en-US" w:eastAsia="zh-CN"/>
        </w:rPr>
        <w:t>6.3</w:t>
      </w:r>
      <w:r>
        <w:rPr>
          <w:rFonts w:hint="default" w:ascii="Times New Roman" w:hAnsi="Times New Roman" w:eastAsia="宋体" w:cs="Times New Roman"/>
          <w:b/>
          <w:bCs/>
          <w:smallCaps w:val="0"/>
          <w:color w:val="auto"/>
          <w:spacing w:val="0"/>
          <w:kern w:val="0"/>
          <w:position w:val="0"/>
        </w:rPr>
        <w:t>km</w:t>
      </w:r>
      <w:r>
        <w:rPr>
          <w:rFonts w:hint="default" w:ascii="Times New Roman" w:hAnsi="Times New Roman" w:eastAsia="宋体" w:cs="Times New Roman"/>
          <w:b/>
          <w:bCs/>
          <w:smallCaps w:val="0"/>
          <w:color w:val="auto"/>
          <w:spacing w:val="0"/>
          <w:kern w:val="0"/>
          <w:position w:val="0"/>
          <w:lang w:eastAsia="zh-CN"/>
        </w:rPr>
        <w:t>。</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9"/>
        <w:gridCol w:w="8631"/>
      </w:tblGrid>
      <w:tr w14:paraId="3C818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9" w:type="dxa"/>
            <w:tcBorders>
              <w:tl2br w:val="nil"/>
              <w:tr2bl w:val="nil"/>
            </w:tcBorders>
            <w:noWrap w:val="0"/>
            <w:vAlign w:val="center"/>
          </w:tcPr>
          <w:p w14:paraId="36AFB7F7">
            <w:pPr>
              <w:pStyle w:val="16"/>
              <w:spacing w:before="60" w:after="60"/>
              <w:jc w:val="center"/>
              <w:outlineLvl w:val="0"/>
              <w:rPr>
                <w:rFonts w:hint="default" w:ascii="Times New Roman" w:hAnsi="Times New Roman" w:eastAsia="宋体" w:cs="Times New Roman"/>
                <w:smallCaps w:val="0"/>
                <w:snapToGrid w:val="0"/>
                <w:color w:val="auto"/>
                <w:spacing w:val="0"/>
                <w:kern w:val="0"/>
                <w:position w:val="0"/>
                <w:sz w:val="30"/>
                <w:szCs w:val="30"/>
                <w:vertAlign w:val="baseline"/>
              </w:rPr>
            </w:pPr>
            <w:r>
              <w:rPr>
                <w:rFonts w:hint="default" w:ascii="Times New Roman" w:hAnsi="Times New Roman" w:eastAsia="宋体" w:cs="Times New Roman"/>
                <w:b/>
                <w:smallCaps w:val="0"/>
                <w:color w:val="auto"/>
                <w:spacing w:val="0"/>
                <w:kern w:val="0"/>
                <w:position w:val="0"/>
                <w:sz w:val="24"/>
              </w:rPr>
              <w:t>其他符合性分析</w:t>
            </w:r>
          </w:p>
        </w:tc>
        <w:tc>
          <w:tcPr>
            <w:tcW w:w="8631" w:type="dxa"/>
            <w:tcBorders>
              <w:tl2br w:val="nil"/>
              <w:tr2bl w:val="nil"/>
            </w:tcBorders>
            <w:noWrap w:val="0"/>
            <w:vAlign w:val="top"/>
          </w:tcPr>
          <w:p w14:paraId="2785930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Style w:val="20"/>
                <w:rFonts w:hint="default" w:ascii="Times New Roman" w:hAnsi="Times New Roman" w:eastAsia="宋体" w:cs="Times New Roman"/>
                <w:smallCaps w:val="0"/>
                <w:color w:val="auto"/>
                <w:spacing w:val="0"/>
                <w:kern w:val="0"/>
                <w:position w:val="0"/>
                <w:sz w:val="24"/>
              </w:rPr>
            </w:pPr>
            <w:r>
              <w:rPr>
                <w:rStyle w:val="20"/>
                <w:rFonts w:hint="default" w:ascii="Times New Roman" w:hAnsi="Times New Roman" w:eastAsia="宋体" w:cs="Times New Roman"/>
                <w:smallCaps w:val="0"/>
                <w:color w:val="auto"/>
                <w:spacing w:val="0"/>
                <w:kern w:val="0"/>
                <w:position w:val="0"/>
                <w:sz w:val="24"/>
              </w:rPr>
              <w:t>1、产业政策相符性分析</w:t>
            </w:r>
          </w:p>
          <w:p w14:paraId="747C6F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rPr>
            </w:pPr>
            <w:r>
              <w:rPr>
                <w:rFonts w:hint="default" w:ascii="Times New Roman" w:hAnsi="Times New Roman" w:eastAsia="宋体" w:cs="Times New Roman"/>
                <w:bCs/>
                <w:smallCaps w:val="0"/>
                <w:color w:val="auto"/>
                <w:spacing w:val="0"/>
                <w:kern w:val="0"/>
                <w:position w:val="0"/>
                <w:sz w:val="24"/>
              </w:rPr>
              <w:t>本项目产业政策相符性分析具体见表1-</w:t>
            </w:r>
            <w:r>
              <w:rPr>
                <w:rFonts w:hint="default" w:ascii="Times New Roman" w:hAnsi="Times New Roman" w:eastAsia="宋体" w:cs="Times New Roman"/>
                <w:bCs/>
                <w:smallCaps w:val="0"/>
                <w:color w:val="auto"/>
                <w:spacing w:val="0"/>
                <w:kern w:val="0"/>
                <w:position w:val="0"/>
                <w:sz w:val="24"/>
                <w:lang w:val="en-US" w:eastAsia="zh-CN"/>
              </w:rPr>
              <w:t>4</w:t>
            </w:r>
            <w:r>
              <w:rPr>
                <w:rFonts w:hint="default" w:ascii="Times New Roman" w:hAnsi="Times New Roman" w:eastAsia="宋体" w:cs="Times New Roman"/>
                <w:bCs/>
                <w:smallCaps w:val="0"/>
                <w:color w:val="auto"/>
                <w:spacing w:val="0"/>
                <w:kern w:val="0"/>
                <w:position w:val="0"/>
                <w:sz w:val="24"/>
              </w:rPr>
              <w:t>。</w:t>
            </w:r>
          </w:p>
          <w:p w14:paraId="026AED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表1-</w:t>
            </w:r>
            <w:r>
              <w:rPr>
                <w:rFonts w:hint="default" w:ascii="Times New Roman" w:hAnsi="Times New Roman" w:eastAsia="宋体" w:cs="Times New Roman"/>
                <w:b/>
                <w:bCs/>
                <w:smallCaps w:val="0"/>
                <w:color w:val="auto"/>
                <w:spacing w:val="0"/>
                <w:kern w:val="0"/>
                <w:position w:val="0"/>
                <w:szCs w:val="21"/>
                <w:lang w:val="en-US" w:eastAsia="zh-CN"/>
              </w:rPr>
              <w:t>4</w:t>
            </w:r>
            <w:r>
              <w:rPr>
                <w:rFonts w:hint="default" w:ascii="Times New Roman" w:hAnsi="Times New Roman" w:eastAsia="宋体" w:cs="Times New Roman"/>
                <w:b/>
                <w:bCs/>
                <w:smallCaps w:val="0"/>
                <w:color w:val="auto"/>
                <w:spacing w:val="0"/>
                <w:kern w:val="0"/>
                <w:position w:val="0"/>
                <w:szCs w:val="21"/>
              </w:rPr>
              <w:t>本项目产业政策相符性分析</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0"/>
              <w:gridCol w:w="2907"/>
              <w:gridCol w:w="4449"/>
              <w:gridCol w:w="599"/>
            </w:tblGrid>
            <w:tr w14:paraId="43F15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tcBorders>
                    <w:top w:val="single" w:color="auto" w:sz="12" w:space="0"/>
                    <w:left w:val="nil"/>
                    <w:bottom w:val="single" w:color="auto" w:sz="4" w:space="0"/>
                    <w:right w:val="single" w:color="auto" w:sz="4" w:space="0"/>
                  </w:tcBorders>
                  <w:noWrap w:val="0"/>
                  <w:vAlign w:val="center"/>
                </w:tcPr>
                <w:p w14:paraId="1936E16E">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snapToGrid w:val="0"/>
                      <w:color w:val="auto"/>
                      <w:spacing w:val="0"/>
                      <w:kern w:val="0"/>
                      <w:position w:val="0"/>
                      <w:sz w:val="21"/>
                      <w:szCs w:val="21"/>
                    </w:rPr>
                  </w:pPr>
                  <w:r>
                    <w:rPr>
                      <w:rFonts w:hint="default" w:ascii="Times New Roman" w:hAnsi="Times New Roman" w:eastAsia="宋体" w:cs="Times New Roman"/>
                      <w:b/>
                      <w:bCs/>
                      <w:smallCaps w:val="0"/>
                      <w:snapToGrid w:val="0"/>
                      <w:color w:val="auto"/>
                      <w:spacing w:val="0"/>
                      <w:kern w:val="0"/>
                      <w:position w:val="0"/>
                      <w:sz w:val="21"/>
                      <w:szCs w:val="21"/>
                    </w:rPr>
                    <w:t>判断</w:t>
                  </w:r>
                </w:p>
                <w:p w14:paraId="2CBF2CCC">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snapToGrid w:val="0"/>
                      <w:color w:val="auto"/>
                      <w:spacing w:val="0"/>
                      <w:kern w:val="0"/>
                      <w:position w:val="0"/>
                      <w:sz w:val="21"/>
                      <w:szCs w:val="21"/>
                    </w:rPr>
                  </w:pPr>
                  <w:r>
                    <w:rPr>
                      <w:rFonts w:hint="default" w:ascii="Times New Roman" w:hAnsi="Times New Roman" w:eastAsia="宋体" w:cs="Times New Roman"/>
                      <w:b/>
                      <w:bCs/>
                      <w:smallCaps w:val="0"/>
                      <w:snapToGrid w:val="0"/>
                      <w:color w:val="auto"/>
                      <w:spacing w:val="0"/>
                      <w:kern w:val="0"/>
                      <w:position w:val="0"/>
                      <w:sz w:val="21"/>
                      <w:szCs w:val="21"/>
                    </w:rPr>
                    <w:t>类型</w:t>
                  </w:r>
                </w:p>
              </w:tc>
              <w:tc>
                <w:tcPr>
                  <w:tcW w:w="1727" w:type="pct"/>
                  <w:tcBorders>
                    <w:top w:val="single" w:color="auto" w:sz="12" w:space="0"/>
                    <w:left w:val="single" w:color="auto" w:sz="4" w:space="0"/>
                    <w:bottom w:val="single" w:color="auto" w:sz="4" w:space="0"/>
                    <w:right w:val="single" w:color="auto" w:sz="4" w:space="0"/>
                  </w:tcBorders>
                  <w:noWrap w:val="0"/>
                  <w:vAlign w:val="center"/>
                </w:tcPr>
                <w:p w14:paraId="6B5F240A">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snapToGrid w:val="0"/>
                      <w:color w:val="auto"/>
                      <w:spacing w:val="0"/>
                      <w:kern w:val="0"/>
                      <w:position w:val="0"/>
                      <w:sz w:val="21"/>
                      <w:szCs w:val="21"/>
                    </w:rPr>
                  </w:pPr>
                  <w:r>
                    <w:rPr>
                      <w:rFonts w:hint="default" w:ascii="Times New Roman" w:hAnsi="Times New Roman" w:eastAsia="宋体" w:cs="Times New Roman"/>
                      <w:b/>
                      <w:bCs/>
                      <w:smallCaps w:val="0"/>
                      <w:snapToGrid w:val="0"/>
                      <w:color w:val="auto"/>
                      <w:spacing w:val="0"/>
                      <w:kern w:val="0"/>
                      <w:position w:val="0"/>
                      <w:sz w:val="21"/>
                      <w:szCs w:val="21"/>
                    </w:rPr>
                    <w:t>相关政策文件</w:t>
                  </w:r>
                </w:p>
              </w:tc>
              <w:tc>
                <w:tcPr>
                  <w:tcW w:w="2643" w:type="pct"/>
                  <w:tcBorders>
                    <w:top w:val="single" w:color="auto" w:sz="12" w:space="0"/>
                    <w:left w:val="single" w:color="auto" w:sz="4" w:space="0"/>
                    <w:bottom w:val="single" w:color="auto" w:sz="4" w:space="0"/>
                    <w:right w:val="single" w:color="auto" w:sz="4" w:space="0"/>
                  </w:tcBorders>
                  <w:noWrap w:val="0"/>
                  <w:vAlign w:val="center"/>
                </w:tcPr>
                <w:p w14:paraId="5F2D9E58">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snapToGrid w:val="0"/>
                      <w:color w:val="auto"/>
                      <w:spacing w:val="0"/>
                      <w:kern w:val="0"/>
                      <w:position w:val="0"/>
                      <w:sz w:val="21"/>
                      <w:szCs w:val="21"/>
                    </w:rPr>
                  </w:pPr>
                  <w:r>
                    <w:rPr>
                      <w:rFonts w:hint="default" w:ascii="Times New Roman" w:hAnsi="Times New Roman" w:eastAsia="宋体" w:cs="Times New Roman"/>
                      <w:b/>
                      <w:bCs/>
                      <w:smallCaps w:val="0"/>
                      <w:snapToGrid w:val="0"/>
                      <w:color w:val="auto"/>
                      <w:spacing w:val="0"/>
                      <w:kern w:val="0"/>
                      <w:position w:val="0"/>
                      <w:sz w:val="21"/>
                      <w:szCs w:val="21"/>
                    </w:rPr>
                    <w:t>对照简析</w:t>
                  </w:r>
                </w:p>
              </w:tc>
              <w:tc>
                <w:tcPr>
                  <w:tcW w:w="355" w:type="pct"/>
                  <w:tcBorders>
                    <w:top w:val="single" w:color="auto" w:sz="12" w:space="0"/>
                    <w:left w:val="single" w:color="auto" w:sz="4" w:space="0"/>
                    <w:bottom w:val="single" w:color="auto" w:sz="4" w:space="0"/>
                    <w:right w:val="nil"/>
                  </w:tcBorders>
                  <w:noWrap w:val="0"/>
                  <w:vAlign w:val="center"/>
                </w:tcPr>
                <w:p w14:paraId="759D5C88">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snapToGrid w:val="0"/>
                      <w:color w:val="auto"/>
                      <w:spacing w:val="0"/>
                      <w:kern w:val="0"/>
                      <w:position w:val="0"/>
                      <w:sz w:val="21"/>
                      <w:szCs w:val="21"/>
                    </w:rPr>
                  </w:pPr>
                  <w:r>
                    <w:rPr>
                      <w:rFonts w:hint="default" w:ascii="Times New Roman" w:hAnsi="Times New Roman" w:eastAsia="宋体" w:cs="Times New Roman"/>
                      <w:b/>
                      <w:bCs/>
                      <w:smallCaps w:val="0"/>
                      <w:snapToGrid w:val="0"/>
                      <w:color w:val="auto"/>
                      <w:spacing w:val="0"/>
                      <w:kern w:val="0"/>
                      <w:position w:val="0"/>
                      <w:sz w:val="21"/>
                      <w:szCs w:val="21"/>
                    </w:rPr>
                    <w:t>是否相符</w:t>
                  </w:r>
                </w:p>
              </w:tc>
            </w:tr>
            <w:tr w14:paraId="489AE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restart"/>
                  <w:tcBorders>
                    <w:top w:val="single" w:color="auto" w:sz="4" w:space="0"/>
                    <w:left w:val="nil"/>
                    <w:right w:val="single" w:color="auto" w:sz="4" w:space="0"/>
                  </w:tcBorders>
                  <w:noWrap w:val="0"/>
                  <w:vAlign w:val="center"/>
                </w:tcPr>
                <w:p w14:paraId="3849C119">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产业</w:t>
                  </w:r>
                </w:p>
                <w:p w14:paraId="5A8E356B">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政策</w:t>
                  </w:r>
                </w:p>
              </w:tc>
              <w:tc>
                <w:tcPr>
                  <w:tcW w:w="1727" w:type="pct"/>
                  <w:tcBorders>
                    <w:top w:val="single" w:color="auto" w:sz="4" w:space="0"/>
                    <w:left w:val="single" w:color="auto" w:sz="4" w:space="0"/>
                    <w:bottom w:val="single" w:color="auto" w:sz="4" w:space="0"/>
                    <w:right w:val="single" w:color="auto" w:sz="4" w:space="0"/>
                  </w:tcBorders>
                  <w:noWrap w:val="0"/>
                  <w:vAlign w:val="center"/>
                </w:tcPr>
                <w:p w14:paraId="045ED44B">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《产业结构调整指导目录（20</w:t>
                  </w:r>
                  <w:r>
                    <w:rPr>
                      <w:rFonts w:hint="default" w:ascii="Times New Roman" w:hAnsi="Times New Roman" w:eastAsia="宋体" w:cs="Times New Roman"/>
                      <w:smallCaps w:val="0"/>
                      <w:snapToGrid w:val="0"/>
                      <w:color w:val="auto"/>
                      <w:spacing w:val="0"/>
                      <w:kern w:val="0"/>
                      <w:position w:val="0"/>
                      <w:sz w:val="21"/>
                      <w:szCs w:val="21"/>
                      <w:lang w:val="en-US" w:eastAsia="zh-CN"/>
                    </w:rPr>
                    <w:t>24</w:t>
                  </w:r>
                  <w:r>
                    <w:rPr>
                      <w:rFonts w:hint="default" w:ascii="Times New Roman" w:hAnsi="Times New Roman" w:eastAsia="宋体" w:cs="Times New Roman"/>
                      <w:smallCaps w:val="0"/>
                      <w:snapToGrid w:val="0"/>
                      <w:color w:val="auto"/>
                      <w:spacing w:val="0"/>
                      <w:kern w:val="0"/>
                      <w:position w:val="0"/>
                      <w:sz w:val="21"/>
                      <w:szCs w:val="21"/>
                    </w:rPr>
                    <w:t>）》</w:t>
                  </w:r>
                </w:p>
              </w:tc>
              <w:tc>
                <w:tcPr>
                  <w:tcW w:w="2643" w:type="pct"/>
                  <w:tcBorders>
                    <w:top w:val="single" w:color="auto" w:sz="4" w:space="0"/>
                    <w:left w:val="single" w:color="auto" w:sz="4" w:space="0"/>
                    <w:bottom w:val="single" w:color="auto" w:sz="4" w:space="0"/>
                    <w:right w:val="single" w:color="auto" w:sz="4" w:space="0"/>
                  </w:tcBorders>
                  <w:noWrap w:val="0"/>
                  <w:vAlign w:val="center"/>
                </w:tcPr>
                <w:p w14:paraId="1967D2CA">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本项目不在其</w:t>
                  </w:r>
                  <w:r>
                    <w:rPr>
                      <w:rFonts w:hint="default" w:ascii="Times New Roman" w:hAnsi="Times New Roman" w:eastAsia="宋体" w:cs="Times New Roman"/>
                      <w:smallCaps w:val="0"/>
                      <w:snapToGrid w:val="0"/>
                      <w:color w:val="auto"/>
                      <w:spacing w:val="0"/>
                      <w:kern w:val="0"/>
                      <w:position w:val="0"/>
                      <w:sz w:val="21"/>
                      <w:szCs w:val="21"/>
                      <w:lang w:eastAsia="zh-CN"/>
                    </w:rPr>
                    <w:t>“</w:t>
                  </w:r>
                  <w:r>
                    <w:rPr>
                      <w:rFonts w:hint="default" w:ascii="Times New Roman" w:hAnsi="Times New Roman" w:eastAsia="宋体" w:cs="Times New Roman"/>
                      <w:smallCaps w:val="0"/>
                      <w:snapToGrid w:val="0"/>
                      <w:color w:val="auto"/>
                      <w:spacing w:val="0"/>
                      <w:kern w:val="0"/>
                      <w:position w:val="0"/>
                      <w:sz w:val="21"/>
                      <w:szCs w:val="21"/>
                      <w:lang w:val="en-US" w:eastAsia="zh-CN"/>
                    </w:rPr>
                    <w:t>鼓励类”、</w:t>
                  </w:r>
                  <w:r>
                    <w:rPr>
                      <w:rFonts w:hint="default" w:ascii="Times New Roman" w:hAnsi="Times New Roman" w:eastAsia="宋体" w:cs="Times New Roman"/>
                      <w:smallCaps w:val="0"/>
                      <w:snapToGrid w:val="0"/>
                      <w:color w:val="auto"/>
                      <w:spacing w:val="0"/>
                      <w:kern w:val="0"/>
                      <w:position w:val="0"/>
                      <w:sz w:val="21"/>
                      <w:szCs w:val="21"/>
                    </w:rPr>
                    <w:t>“限制类”和“淘汰类”之列</w:t>
                  </w:r>
                </w:p>
              </w:tc>
              <w:tc>
                <w:tcPr>
                  <w:tcW w:w="355" w:type="pct"/>
                  <w:tcBorders>
                    <w:top w:val="single" w:color="auto" w:sz="4" w:space="0"/>
                    <w:left w:val="single" w:color="auto" w:sz="4" w:space="0"/>
                    <w:bottom w:val="single" w:color="auto" w:sz="4" w:space="0"/>
                    <w:right w:val="nil"/>
                  </w:tcBorders>
                  <w:noWrap w:val="0"/>
                  <w:vAlign w:val="center"/>
                </w:tcPr>
                <w:p w14:paraId="343A89E1">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相符</w:t>
                  </w:r>
                </w:p>
              </w:tc>
            </w:tr>
            <w:tr w14:paraId="6EBD3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continue"/>
                  <w:tcBorders>
                    <w:left w:val="nil"/>
                    <w:right w:val="single" w:color="auto" w:sz="4" w:space="0"/>
                  </w:tcBorders>
                  <w:noWrap w:val="0"/>
                  <w:vAlign w:val="center"/>
                </w:tcPr>
                <w:p w14:paraId="2A85381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1727" w:type="pct"/>
                  <w:tcBorders>
                    <w:top w:val="single" w:color="auto" w:sz="4" w:space="0"/>
                    <w:left w:val="single" w:color="auto" w:sz="4" w:space="0"/>
                    <w:bottom w:val="single" w:color="auto" w:sz="4" w:space="0"/>
                    <w:right w:val="single" w:color="auto" w:sz="4" w:space="0"/>
                  </w:tcBorders>
                  <w:noWrap w:val="0"/>
                  <w:vAlign w:val="center"/>
                </w:tcPr>
                <w:p w14:paraId="5531AFF8">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《江苏省产业结构调整限制、淘汰和禁止目录（2018年本）》</w:t>
                  </w:r>
                </w:p>
              </w:tc>
              <w:tc>
                <w:tcPr>
                  <w:tcW w:w="2643" w:type="pct"/>
                  <w:tcBorders>
                    <w:top w:val="single" w:color="auto" w:sz="4" w:space="0"/>
                    <w:left w:val="single" w:color="auto" w:sz="4" w:space="0"/>
                    <w:bottom w:val="single" w:color="auto" w:sz="4" w:space="0"/>
                    <w:right w:val="single" w:color="auto" w:sz="4" w:space="0"/>
                  </w:tcBorders>
                  <w:noWrap w:val="0"/>
                  <w:vAlign w:val="center"/>
                </w:tcPr>
                <w:p w14:paraId="3B9ABBAE">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本项目不属于《江苏省产业结构调整限制、淘汰和禁止目录（2018年本）》限制类、淘汰类和禁止类。</w:t>
                  </w:r>
                </w:p>
              </w:tc>
              <w:tc>
                <w:tcPr>
                  <w:tcW w:w="355" w:type="pct"/>
                  <w:tcBorders>
                    <w:top w:val="single" w:color="auto" w:sz="4" w:space="0"/>
                    <w:left w:val="single" w:color="auto" w:sz="4" w:space="0"/>
                    <w:bottom w:val="single" w:color="auto" w:sz="4" w:space="0"/>
                    <w:right w:val="nil"/>
                  </w:tcBorders>
                  <w:noWrap w:val="0"/>
                  <w:vAlign w:val="center"/>
                </w:tcPr>
                <w:p w14:paraId="1DEE829B">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相符</w:t>
                  </w:r>
                </w:p>
              </w:tc>
            </w:tr>
            <w:tr w14:paraId="62960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continue"/>
                  <w:tcBorders>
                    <w:left w:val="nil"/>
                    <w:right w:val="single" w:color="auto" w:sz="4" w:space="0"/>
                  </w:tcBorders>
                  <w:noWrap w:val="0"/>
                  <w:vAlign w:val="center"/>
                </w:tcPr>
                <w:p w14:paraId="3404A35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1727" w:type="pct"/>
                  <w:tcBorders>
                    <w:top w:val="single" w:color="auto" w:sz="4" w:space="0"/>
                    <w:left w:val="single" w:color="auto" w:sz="4" w:space="0"/>
                    <w:bottom w:val="single" w:color="auto" w:sz="4" w:space="0"/>
                    <w:right w:val="single" w:color="auto" w:sz="4" w:space="0"/>
                  </w:tcBorders>
                  <w:noWrap w:val="0"/>
                  <w:vAlign w:val="center"/>
                </w:tcPr>
                <w:p w14:paraId="2D83AA6A">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《环境保护综合名录（2021年版）》</w:t>
                  </w:r>
                </w:p>
              </w:tc>
              <w:tc>
                <w:tcPr>
                  <w:tcW w:w="2643" w:type="pct"/>
                  <w:tcBorders>
                    <w:top w:val="single" w:color="auto" w:sz="4" w:space="0"/>
                    <w:left w:val="single" w:color="auto" w:sz="4" w:space="0"/>
                    <w:bottom w:val="single" w:color="auto" w:sz="4" w:space="0"/>
                    <w:right w:val="single" w:color="auto" w:sz="4" w:space="0"/>
                  </w:tcBorders>
                  <w:noWrap w:val="0"/>
                  <w:vAlign w:val="center"/>
                </w:tcPr>
                <w:p w14:paraId="54E388B7">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lang w:val="en-US" w:eastAsia="zh-CN"/>
                    </w:rPr>
                    <w:t>本项目</w:t>
                  </w:r>
                  <w:r>
                    <w:rPr>
                      <w:rFonts w:hint="default" w:ascii="Times New Roman" w:hAnsi="Times New Roman" w:eastAsia="宋体" w:cs="Times New Roman"/>
                      <w:smallCaps w:val="0"/>
                      <w:snapToGrid w:val="0"/>
                      <w:color w:val="auto"/>
                      <w:spacing w:val="0"/>
                      <w:kern w:val="0"/>
                      <w:position w:val="0"/>
                      <w:sz w:val="21"/>
                      <w:szCs w:val="21"/>
                    </w:rPr>
                    <w:t>不属于《环境保护综合名录（2021年版）》中“高污染”产品、“高环境风险”产品、“高污染、高环境风险”产品</w:t>
                  </w:r>
                </w:p>
              </w:tc>
              <w:tc>
                <w:tcPr>
                  <w:tcW w:w="355" w:type="pct"/>
                  <w:tcBorders>
                    <w:top w:val="single" w:color="auto" w:sz="4" w:space="0"/>
                    <w:left w:val="single" w:color="auto" w:sz="4" w:space="0"/>
                    <w:bottom w:val="single" w:color="auto" w:sz="4" w:space="0"/>
                    <w:right w:val="nil"/>
                  </w:tcBorders>
                  <w:noWrap w:val="0"/>
                  <w:vAlign w:val="center"/>
                </w:tcPr>
                <w:p w14:paraId="63962392">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相符</w:t>
                  </w:r>
                </w:p>
              </w:tc>
            </w:tr>
            <w:tr w14:paraId="7D69B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continue"/>
                  <w:tcBorders>
                    <w:left w:val="nil"/>
                    <w:right w:val="single" w:color="auto" w:sz="4" w:space="0"/>
                  </w:tcBorders>
                  <w:noWrap w:val="0"/>
                  <w:vAlign w:val="center"/>
                </w:tcPr>
                <w:p w14:paraId="543199E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1727" w:type="pct"/>
                  <w:tcBorders>
                    <w:top w:val="single" w:color="auto" w:sz="4" w:space="0"/>
                    <w:left w:val="single" w:color="auto" w:sz="4" w:space="0"/>
                    <w:bottom w:val="single" w:color="auto" w:sz="4" w:space="0"/>
                    <w:right w:val="single" w:color="auto" w:sz="4" w:space="0"/>
                  </w:tcBorders>
                  <w:noWrap w:val="0"/>
                  <w:vAlign w:val="center"/>
                </w:tcPr>
                <w:p w14:paraId="296A0A4A">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《江苏省工业和信息产业结构调整指导目录》（2012年本）、《关于修改江苏省工业和信息产业结构调整指导目录（2012年本）部分条目的通知》（苏经信产业2013年183号文）</w:t>
                  </w:r>
                </w:p>
              </w:tc>
              <w:tc>
                <w:tcPr>
                  <w:tcW w:w="2643" w:type="pct"/>
                  <w:tcBorders>
                    <w:top w:val="single" w:color="auto" w:sz="4" w:space="0"/>
                    <w:left w:val="single" w:color="auto" w:sz="4" w:space="0"/>
                    <w:bottom w:val="single" w:color="auto" w:sz="4" w:space="0"/>
                    <w:right w:val="single" w:color="auto" w:sz="4" w:space="0"/>
                  </w:tcBorders>
                  <w:noWrap w:val="0"/>
                  <w:vAlign w:val="center"/>
                </w:tcPr>
                <w:p w14:paraId="6835562C">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本项目不属于《江苏省工业和信息产业结构调整指导目录》（2012年本）、《关于修改江苏省工业和信息产业结构调整指导目录（2012年本）部分条目的通知》（苏经信产业2013年183号）中限制类、淘汰类和禁止类。</w:t>
                  </w:r>
                </w:p>
              </w:tc>
              <w:tc>
                <w:tcPr>
                  <w:tcW w:w="355" w:type="pct"/>
                  <w:tcBorders>
                    <w:top w:val="single" w:color="auto" w:sz="4" w:space="0"/>
                    <w:left w:val="single" w:color="auto" w:sz="4" w:space="0"/>
                    <w:bottom w:val="single" w:color="auto" w:sz="4" w:space="0"/>
                    <w:right w:val="nil"/>
                  </w:tcBorders>
                  <w:noWrap w:val="0"/>
                  <w:vAlign w:val="center"/>
                </w:tcPr>
                <w:p w14:paraId="2A17C2D2">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相符</w:t>
                  </w:r>
                </w:p>
              </w:tc>
            </w:tr>
            <w:tr w14:paraId="516C1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continue"/>
                  <w:tcBorders>
                    <w:left w:val="nil"/>
                    <w:right w:val="single" w:color="auto" w:sz="4" w:space="0"/>
                  </w:tcBorders>
                  <w:noWrap w:val="0"/>
                  <w:vAlign w:val="center"/>
                </w:tcPr>
                <w:p w14:paraId="1BB72EF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1727" w:type="pct"/>
                  <w:tcBorders>
                    <w:top w:val="single" w:color="auto" w:sz="4" w:space="0"/>
                    <w:left w:val="single" w:color="auto" w:sz="4" w:space="0"/>
                    <w:bottom w:val="single" w:color="auto" w:sz="4" w:space="0"/>
                    <w:right w:val="single" w:color="auto" w:sz="4" w:space="0"/>
                  </w:tcBorders>
                  <w:noWrap w:val="0"/>
                  <w:vAlign w:val="center"/>
                </w:tcPr>
                <w:p w14:paraId="119D4AB1">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《长江经济带发展负面清单指南》（试行，2022年版）</w:t>
                  </w:r>
                </w:p>
              </w:tc>
              <w:tc>
                <w:tcPr>
                  <w:tcW w:w="2643" w:type="pct"/>
                  <w:vMerge w:val="restart"/>
                  <w:tcBorders>
                    <w:top w:val="single" w:color="auto" w:sz="4" w:space="0"/>
                    <w:left w:val="single" w:color="auto" w:sz="4" w:space="0"/>
                    <w:bottom w:val="single" w:color="auto" w:sz="4" w:space="0"/>
                    <w:right w:val="single" w:color="auto" w:sz="4" w:space="0"/>
                  </w:tcBorders>
                  <w:noWrap w:val="0"/>
                  <w:vAlign w:val="center"/>
                </w:tcPr>
                <w:p w14:paraId="3AE7D21A">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本项目不属于《长江经济带发展负面清单指南》（试行，2022年版）</w:t>
                  </w:r>
                  <w:r>
                    <w:rPr>
                      <w:rFonts w:hint="default" w:ascii="Times New Roman" w:hAnsi="Times New Roman" w:eastAsia="宋体" w:cs="Times New Roman"/>
                      <w:smallCaps w:val="0"/>
                      <w:snapToGrid w:val="0"/>
                      <w:color w:val="auto"/>
                      <w:spacing w:val="0"/>
                      <w:kern w:val="0"/>
                      <w:position w:val="0"/>
                      <w:sz w:val="21"/>
                      <w:szCs w:val="21"/>
                      <w:lang w:val="en-US" w:eastAsia="zh-CN"/>
                    </w:rPr>
                    <w:t>及江苏实施细则</w:t>
                  </w:r>
                  <w:r>
                    <w:rPr>
                      <w:rFonts w:hint="default" w:ascii="Times New Roman" w:hAnsi="Times New Roman" w:eastAsia="宋体" w:cs="Times New Roman"/>
                      <w:smallCaps w:val="0"/>
                      <w:snapToGrid w:val="0"/>
                      <w:color w:val="auto"/>
                      <w:spacing w:val="0"/>
                      <w:kern w:val="0"/>
                      <w:position w:val="0"/>
                      <w:sz w:val="21"/>
                      <w:szCs w:val="21"/>
                    </w:rPr>
                    <w:t>中的禁止类项目，不属于《市场准入负面清单（2022年版）》中的禁止准入类、许可准入类项目。</w:t>
                  </w:r>
                </w:p>
              </w:tc>
              <w:tc>
                <w:tcPr>
                  <w:tcW w:w="355" w:type="pct"/>
                  <w:tcBorders>
                    <w:top w:val="single" w:color="auto" w:sz="4" w:space="0"/>
                    <w:left w:val="single" w:color="auto" w:sz="4" w:space="0"/>
                    <w:bottom w:val="single" w:color="auto" w:sz="4" w:space="0"/>
                    <w:right w:val="nil"/>
                  </w:tcBorders>
                  <w:noWrap w:val="0"/>
                  <w:vAlign w:val="center"/>
                </w:tcPr>
                <w:p w14:paraId="74269ABC">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相符</w:t>
                  </w:r>
                </w:p>
              </w:tc>
            </w:tr>
            <w:tr w14:paraId="53E90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continue"/>
                  <w:tcBorders>
                    <w:left w:val="nil"/>
                    <w:right w:val="single" w:color="auto" w:sz="4" w:space="0"/>
                  </w:tcBorders>
                  <w:noWrap w:val="0"/>
                  <w:vAlign w:val="center"/>
                </w:tcPr>
                <w:p w14:paraId="09329B6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1727" w:type="pct"/>
                  <w:tcBorders>
                    <w:top w:val="single" w:color="auto" w:sz="4" w:space="0"/>
                    <w:left w:val="single" w:color="auto" w:sz="4" w:space="0"/>
                    <w:bottom w:val="single" w:color="auto" w:sz="4" w:space="0"/>
                    <w:right w:val="single" w:color="auto" w:sz="4" w:space="0"/>
                  </w:tcBorders>
                  <w:noWrap w:val="0"/>
                  <w:vAlign w:val="center"/>
                </w:tcPr>
                <w:p w14:paraId="2FE49367">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smallCaps w:val="0"/>
                      <w:snapToGrid w:val="0"/>
                      <w:color w:val="auto"/>
                      <w:spacing w:val="0"/>
                      <w:kern w:val="0"/>
                      <w:position w:val="0"/>
                      <w:sz w:val="21"/>
                      <w:szCs w:val="21"/>
                      <w:lang w:val="en-US" w:eastAsia="zh-CN"/>
                    </w:rPr>
                  </w:pPr>
                  <w:r>
                    <w:rPr>
                      <w:rFonts w:hint="default" w:ascii="Times New Roman" w:hAnsi="Times New Roman" w:eastAsia="宋体" w:cs="Times New Roman"/>
                      <w:b w:val="0"/>
                      <w:smallCaps w:val="0"/>
                      <w:snapToGrid w:val="0"/>
                      <w:color w:val="auto"/>
                      <w:spacing w:val="0"/>
                      <w:kern w:val="0"/>
                      <w:position w:val="0"/>
                      <w:sz w:val="21"/>
                      <w:szCs w:val="21"/>
                    </w:rPr>
                    <w:t>《长江经济带发展负面清单指南》（试行，2022年版）</w:t>
                  </w:r>
                  <w:r>
                    <w:rPr>
                      <w:rFonts w:hint="default" w:ascii="Times New Roman" w:hAnsi="Times New Roman" w:eastAsia="宋体" w:cs="Times New Roman"/>
                      <w:b w:val="0"/>
                      <w:smallCaps w:val="0"/>
                      <w:snapToGrid w:val="0"/>
                      <w:color w:val="auto"/>
                      <w:spacing w:val="0"/>
                      <w:kern w:val="0"/>
                      <w:position w:val="0"/>
                      <w:sz w:val="21"/>
                      <w:szCs w:val="21"/>
                      <w:lang w:val="en-US" w:eastAsia="zh-CN"/>
                    </w:rPr>
                    <w:t>江苏省实施细则（苏长江办发[2022]55号）</w:t>
                  </w:r>
                </w:p>
              </w:tc>
              <w:tc>
                <w:tcPr>
                  <w:tcW w:w="2643" w:type="pct"/>
                  <w:vMerge w:val="continue"/>
                  <w:tcBorders>
                    <w:left w:val="single" w:color="auto" w:sz="4" w:space="0"/>
                    <w:right w:val="single" w:color="auto" w:sz="4" w:space="0"/>
                  </w:tcBorders>
                  <w:noWrap w:val="0"/>
                  <w:vAlign w:val="center"/>
                </w:tcPr>
                <w:p w14:paraId="0B793DB1">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355" w:type="pct"/>
                  <w:tcBorders>
                    <w:top w:val="single" w:color="auto" w:sz="4" w:space="0"/>
                    <w:left w:val="single" w:color="auto" w:sz="4" w:space="0"/>
                    <w:bottom w:val="single" w:color="auto" w:sz="4" w:space="0"/>
                    <w:right w:val="nil"/>
                  </w:tcBorders>
                  <w:noWrap w:val="0"/>
                  <w:vAlign w:val="center"/>
                </w:tcPr>
                <w:p w14:paraId="6F5A0A54">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snapToGrid w:val="0"/>
                      <w:color w:val="auto"/>
                      <w:spacing w:val="0"/>
                      <w:kern w:val="0"/>
                      <w:position w:val="0"/>
                      <w:sz w:val="21"/>
                      <w:szCs w:val="21"/>
                    </w:rPr>
                  </w:pPr>
                </w:p>
              </w:tc>
            </w:tr>
            <w:tr w14:paraId="6D77D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continue"/>
                  <w:tcBorders>
                    <w:left w:val="nil"/>
                    <w:right w:val="single" w:color="auto" w:sz="4" w:space="0"/>
                  </w:tcBorders>
                  <w:noWrap w:val="0"/>
                  <w:vAlign w:val="center"/>
                </w:tcPr>
                <w:p w14:paraId="6BE386E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1727" w:type="pct"/>
                  <w:tcBorders>
                    <w:top w:val="single" w:color="auto" w:sz="4" w:space="0"/>
                    <w:left w:val="single" w:color="auto" w:sz="4" w:space="0"/>
                    <w:bottom w:val="single" w:color="auto" w:sz="4" w:space="0"/>
                    <w:right w:val="single" w:color="auto" w:sz="4" w:space="0"/>
                  </w:tcBorders>
                  <w:noWrap w:val="0"/>
                  <w:vAlign w:val="center"/>
                </w:tcPr>
                <w:p w14:paraId="69CD169E">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smallCaps w:val="0"/>
                      <w:snapToGrid w:val="0"/>
                      <w:color w:val="auto"/>
                      <w:spacing w:val="0"/>
                      <w:kern w:val="0"/>
                      <w:position w:val="0"/>
                      <w:sz w:val="21"/>
                      <w:szCs w:val="21"/>
                    </w:rPr>
                  </w:pPr>
                  <w:r>
                    <w:rPr>
                      <w:rFonts w:hint="default" w:ascii="Times New Roman" w:hAnsi="Times New Roman" w:eastAsia="宋体" w:cs="Times New Roman"/>
                      <w:b w:val="0"/>
                      <w:smallCaps w:val="0"/>
                      <w:snapToGrid w:val="0"/>
                      <w:color w:val="auto"/>
                      <w:spacing w:val="0"/>
                      <w:kern w:val="0"/>
                      <w:position w:val="0"/>
                      <w:sz w:val="21"/>
                      <w:szCs w:val="21"/>
                    </w:rPr>
                    <w:t>《市场准入负面清单（2022年版）》</w:t>
                  </w:r>
                </w:p>
              </w:tc>
              <w:tc>
                <w:tcPr>
                  <w:tcW w:w="2643" w:type="pct"/>
                  <w:vMerge w:val="continue"/>
                  <w:tcBorders>
                    <w:top w:val="single" w:color="auto" w:sz="4" w:space="0"/>
                    <w:left w:val="single" w:color="auto" w:sz="4" w:space="0"/>
                    <w:bottom w:val="single" w:color="auto" w:sz="4" w:space="0"/>
                    <w:right w:val="single" w:color="auto" w:sz="4" w:space="0"/>
                  </w:tcBorders>
                  <w:noWrap w:val="0"/>
                  <w:vAlign w:val="center"/>
                </w:tcPr>
                <w:p w14:paraId="75BA08D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355" w:type="pct"/>
                  <w:tcBorders>
                    <w:top w:val="single" w:color="auto" w:sz="4" w:space="0"/>
                    <w:left w:val="single" w:color="auto" w:sz="4" w:space="0"/>
                    <w:bottom w:val="single" w:color="auto" w:sz="4" w:space="0"/>
                    <w:right w:val="nil"/>
                  </w:tcBorders>
                  <w:noWrap w:val="0"/>
                  <w:vAlign w:val="center"/>
                </w:tcPr>
                <w:p w14:paraId="31ECDF2A">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相符</w:t>
                  </w:r>
                </w:p>
              </w:tc>
            </w:tr>
            <w:tr w14:paraId="741F8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continue"/>
                  <w:tcBorders>
                    <w:left w:val="nil"/>
                    <w:right w:val="single" w:color="auto" w:sz="4" w:space="0"/>
                  </w:tcBorders>
                  <w:noWrap w:val="0"/>
                  <w:vAlign w:val="center"/>
                </w:tcPr>
                <w:p w14:paraId="76E0573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1727" w:type="pct"/>
                  <w:tcBorders>
                    <w:top w:val="single" w:color="auto" w:sz="4" w:space="0"/>
                    <w:left w:val="single" w:color="auto" w:sz="4" w:space="0"/>
                    <w:bottom w:val="single" w:color="auto" w:sz="4" w:space="0"/>
                    <w:right w:val="single" w:color="auto" w:sz="4" w:space="0"/>
                  </w:tcBorders>
                  <w:noWrap w:val="0"/>
                  <w:vAlign w:val="center"/>
                </w:tcPr>
                <w:p w14:paraId="714B3C88">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《限制用地项目目录(2012年本)》和《禁止用地项目目录(2012年本)》</w:t>
                  </w:r>
                </w:p>
              </w:tc>
              <w:tc>
                <w:tcPr>
                  <w:tcW w:w="2643" w:type="pct"/>
                  <w:tcBorders>
                    <w:top w:val="single" w:color="auto" w:sz="4" w:space="0"/>
                    <w:left w:val="single" w:color="auto" w:sz="4" w:space="0"/>
                    <w:bottom w:val="single" w:color="auto" w:sz="4" w:space="0"/>
                    <w:right w:val="single" w:color="auto" w:sz="4" w:space="0"/>
                  </w:tcBorders>
                  <w:noWrap w:val="0"/>
                  <w:vAlign w:val="center"/>
                </w:tcPr>
                <w:p w14:paraId="5050086A">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本项目不属于《限制用地项目目录(2012年本)》和《禁止用地项目目录(2012年本)》中的限制类及禁止类项目。</w:t>
                  </w:r>
                </w:p>
              </w:tc>
              <w:tc>
                <w:tcPr>
                  <w:tcW w:w="355" w:type="pct"/>
                  <w:tcBorders>
                    <w:top w:val="single" w:color="auto" w:sz="4" w:space="0"/>
                    <w:left w:val="single" w:color="auto" w:sz="4" w:space="0"/>
                    <w:bottom w:val="single" w:color="auto" w:sz="4" w:space="0"/>
                    <w:right w:val="nil"/>
                  </w:tcBorders>
                  <w:noWrap w:val="0"/>
                  <w:vAlign w:val="center"/>
                </w:tcPr>
                <w:p w14:paraId="30CF818D">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相符</w:t>
                  </w:r>
                </w:p>
              </w:tc>
            </w:tr>
            <w:tr w14:paraId="38FB2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73" w:type="pct"/>
                  <w:vMerge w:val="continue"/>
                  <w:tcBorders>
                    <w:left w:val="nil"/>
                    <w:bottom w:val="single" w:color="auto" w:sz="12" w:space="0"/>
                    <w:right w:val="single" w:color="auto" w:sz="4" w:space="0"/>
                  </w:tcBorders>
                  <w:noWrap w:val="0"/>
                  <w:vAlign w:val="center"/>
                </w:tcPr>
                <w:p w14:paraId="68F18B1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p>
              </w:tc>
              <w:tc>
                <w:tcPr>
                  <w:tcW w:w="1727" w:type="pct"/>
                  <w:tcBorders>
                    <w:top w:val="single" w:color="auto" w:sz="4" w:space="0"/>
                    <w:left w:val="single" w:color="auto" w:sz="4" w:space="0"/>
                    <w:bottom w:val="single" w:color="auto" w:sz="12" w:space="0"/>
                    <w:right w:val="single" w:color="auto" w:sz="4" w:space="0"/>
                  </w:tcBorders>
                  <w:noWrap w:val="0"/>
                  <w:vAlign w:val="center"/>
                </w:tcPr>
                <w:p w14:paraId="26971B43">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《江苏省太湖流域禁止和限制的产业产品目录（2024年本）》的通知（苏发改规发〔2024〕3号）</w:t>
                  </w:r>
                </w:p>
              </w:tc>
              <w:tc>
                <w:tcPr>
                  <w:tcW w:w="2643" w:type="pct"/>
                  <w:tcBorders>
                    <w:top w:val="single" w:color="auto" w:sz="4" w:space="0"/>
                    <w:left w:val="single" w:color="auto" w:sz="4" w:space="0"/>
                    <w:bottom w:val="single" w:color="auto" w:sz="12" w:space="0"/>
                    <w:right w:val="single" w:color="auto" w:sz="4" w:space="0"/>
                  </w:tcBorders>
                  <w:noWrap w:val="0"/>
                  <w:vAlign w:val="center"/>
                </w:tcPr>
                <w:p w14:paraId="561083DA">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lang w:eastAsia="zh-CN"/>
                    </w:rPr>
                  </w:pPr>
                  <w:r>
                    <w:rPr>
                      <w:rFonts w:hint="default" w:ascii="Times New Roman" w:hAnsi="Times New Roman" w:eastAsia="宋体" w:cs="Times New Roman"/>
                      <w:smallCaps w:val="0"/>
                      <w:snapToGrid w:val="0"/>
                      <w:color w:val="auto"/>
                      <w:spacing w:val="0"/>
                      <w:kern w:val="0"/>
                      <w:position w:val="0"/>
                      <w:sz w:val="21"/>
                      <w:szCs w:val="21"/>
                    </w:rPr>
                    <w:t>本项目不属于限制类、淘汰类和禁止类</w:t>
                  </w:r>
                  <w:r>
                    <w:rPr>
                      <w:rFonts w:hint="default" w:ascii="Times New Roman" w:hAnsi="Times New Roman" w:eastAsia="宋体" w:cs="Times New Roman"/>
                      <w:smallCaps w:val="0"/>
                      <w:snapToGrid w:val="0"/>
                      <w:color w:val="auto"/>
                      <w:spacing w:val="0"/>
                      <w:kern w:val="0"/>
                      <w:position w:val="0"/>
                      <w:sz w:val="21"/>
                      <w:szCs w:val="21"/>
                      <w:lang w:eastAsia="zh-CN"/>
                    </w:rPr>
                    <w:t>。</w:t>
                  </w:r>
                </w:p>
              </w:tc>
              <w:tc>
                <w:tcPr>
                  <w:tcW w:w="355" w:type="pct"/>
                  <w:tcBorders>
                    <w:top w:val="single" w:color="auto" w:sz="4" w:space="0"/>
                    <w:left w:val="single" w:color="auto" w:sz="4" w:space="0"/>
                    <w:bottom w:val="single" w:color="auto" w:sz="12" w:space="0"/>
                    <w:right w:val="nil"/>
                  </w:tcBorders>
                  <w:noWrap w:val="0"/>
                  <w:vAlign w:val="center"/>
                </w:tcPr>
                <w:p w14:paraId="23BC3AEC">
                  <w:pPr>
                    <w:pStyle w:val="26"/>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相符</w:t>
                  </w:r>
                </w:p>
              </w:tc>
            </w:tr>
          </w:tbl>
          <w:p w14:paraId="638604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本项目已于202</w:t>
            </w:r>
            <w:r>
              <w:rPr>
                <w:rFonts w:hint="default" w:ascii="Times New Roman" w:hAnsi="Times New Roman" w:eastAsia="宋体" w:cs="Times New Roman"/>
                <w:bCs/>
                <w:smallCaps w:val="0"/>
                <w:color w:val="auto"/>
                <w:spacing w:val="0"/>
                <w:kern w:val="0"/>
                <w:position w:val="0"/>
                <w:sz w:val="24"/>
                <w:szCs w:val="24"/>
                <w:lang w:val="en-US" w:eastAsia="zh-CN"/>
              </w:rPr>
              <w:t>5</w:t>
            </w:r>
            <w:r>
              <w:rPr>
                <w:rFonts w:hint="default" w:ascii="Times New Roman" w:hAnsi="Times New Roman" w:eastAsia="宋体" w:cs="Times New Roman"/>
                <w:bCs/>
                <w:smallCaps w:val="0"/>
                <w:color w:val="auto"/>
                <w:spacing w:val="0"/>
                <w:kern w:val="0"/>
                <w:position w:val="0"/>
                <w:sz w:val="24"/>
                <w:szCs w:val="24"/>
              </w:rPr>
              <w:t>年</w:t>
            </w:r>
            <w:r>
              <w:rPr>
                <w:rFonts w:hint="default" w:ascii="Times New Roman" w:hAnsi="Times New Roman" w:eastAsia="宋体" w:cs="Times New Roman"/>
                <w:bCs/>
                <w:smallCaps w:val="0"/>
                <w:color w:val="auto"/>
                <w:spacing w:val="0"/>
                <w:kern w:val="0"/>
                <w:position w:val="0"/>
                <w:sz w:val="24"/>
                <w:szCs w:val="24"/>
                <w:lang w:val="en-US" w:eastAsia="zh-CN"/>
              </w:rPr>
              <w:t>01月16日</w:t>
            </w:r>
            <w:r>
              <w:rPr>
                <w:rFonts w:hint="default" w:ascii="Times New Roman" w:hAnsi="Times New Roman" w:eastAsia="宋体" w:cs="Times New Roman"/>
                <w:bCs/>
                <w:smallCaps w:val="0"/>
                <w:color w:val="auto"/>
                <w:spacing w:val="0"/>
                <w:kern w:val="0"/>
                <w:position w:val="0"/>
                <w:sz w:val="24"/>
                <w:szCs w:val="24"/>
              </w:rPr>
              <w:t>取得</w:t>
            </w:r>
            <w:r>
              <w:rPr>
                <w:rFonts w:hint="default" w:ascii="Times New Roman" w:hAnsi="Times New Roman" w:eastAsia="宋体" w:cs="Times New Roman"/>
                <w:bCs/>
                <w:smallCaps w:val="0"/>
                <w:color w:val="auto"/>
                <w:spacing w:val="0"/>
                <w:kern w:val="0"/>
                <w:position w:val="0"/>
                <w:sz w:val="24"/>
                <w:szCs w:val="24"/>
                <w:lang w:eastAsia="zh-CN"/>
              </w:rPr>
              <w:t>江苏金坛经济开发区经济发展局</w:t>
            </w:r>
            <w:r>
              <w:rPr>
                <w:rFonts w:hint="default" w:ascii="Times New Roman" w:hAnsi="Times New Roman" w:eastAsia="宋体" w:cs="Times New Roman"/>
                <w:bCs/>
                <w:smallCaps w:val="0"/>
                <w:color w:val="auto"/>
                <w:spacing w:val="0"/>
                <w:kern w:val="0"/>
                <w:position w:val="0"/>
                <w:sz w:val="24"/>
                <w:szCs w:val="24"/>
              </w:rPr>
              <w:t>出具的《江苏省投资项目备案证》，备案证号：</w:t>
            </w:r>
            <w:r>
              <w:rPr>
                <w:rFonts w:hint="default" w:ascii="Times New Roman" w:hAnsi="Times New Roman" w:eastAsia="宋体" w:cs="Times New Roman"/>
                <w:bCs/>
                <w:smallCaps w:val="0"/>
                <w:color w:val="auto"/>
                <w:spacing w:val="0"/>
                <w:kern w:val="0"/>
                <w:position w:val="0"/>
                <w:sz w:val="24"/>
                <w:szCs w:val="24"/>
                <w:lang w:eastAsia="zh-CN"/>
              </w:rPr>
              <w:t>坛开经发备字[2025]11号</w:t>
            </w:r>
            <w:r>
              <w:rPr>
                <w:rFonts w:hint="default" w:ascii="Times New Roman" w:hAnsi="Times New Roman" w:eastAsia="宋体" w:cs="Times New Roman"/>
                <w:bCs/>
                <w:smallCaps w:val="0"/>
                <w:color w:val="auto"/>
                <w:spacing w:val="0"/>
                <w:kern w:val="0"/>
                <w:position w:val="0"/>
                <w:sz w:val="24"/>
                <w:szCs w:val="24"/>
              </w:rPr>
              <w:t>，项目代码</w:t>
            </w:r>
            <w:r>
              <w:rPr>
                <w:rFonts w:hint="default" w:ascii="Times New Roman" w:hAnsi="Times New Roman" w:eastAsia="宋体" w:cs="Times New Roman"/>
                <w:bCs/>
                <w:smallCaps w:val="0"/>
                <w:color w:val="auto"/>
                <w:spacing w:val="0"/>
                <w:kern w:val="0"/>
                <w:position w:val="0"/>
                <w:sz w:val="24"/>
                <w:szCs w:val="24"/>
                <w:lang w:eastAsia="zh-CN"/>
              </w:rPr>
              <w:t>2501-320458--89-01-338691</w:t>
            </w:r>
            <w:r>
              <w:rPr>
                <w:rFonts w:hint="default" w:ascii="Times New Roman" w:hAnsi="Times New Roman" w:eastAsia="宋体" w:cs="Times New Roman"/>
                <w:bCs/>
                <w:smallCaps w:val="0"/>
                <w:color w:val="auto"/>
                <w:spacing w:val="0"/>
                <w:kern w:val="0"/>
                <w:position w:val="0"/>
                <w:sz w:val="24"/>
                <w:szCs w:val="24"/>
              </w:rPr>
              <w:t>。综上，本项目符合国家及地方产业政策。</w:t>
            </w:r>
          </w:p>
          <w:p w14:paraId="4853056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Style w:val="20"/>
                <w:rFonts w:hint="default" w:ascii="Times New Roman" w:hAnsi="Times New Roman" w:eastAsia="宋体" w:cs="Times New Roman"/>
                <w:smallCaps w:val="0"/>
                <w:color w:val="auto"/>
                <w:spacing w:val="0"/>
                <w:kern w:val="0"/>
                <w:position w:val="0"/>
                <w:sz w:val="24"/>
                <w:szCs w:val="24"/>
              </w:rPr>
            </w:pPr>
            <w:r>
              <w:rPr>
                <w:rStyle w:val="20"/>
                <w:rFonts w:hint="default" w:ascii="Times New Roman" w:hAnsi="Times New Roman" w:eastAsia="宋体" w:cs="Times New Roman"/>
                <w:smallCaps w:val="0"/>
                <w:color w:val="auto"/>
                <w:spacing w:val="0"/>
                <w:kern w:val="0"/>
                <w:position w:val="0"/>
                <w:sz w:val="24"/>
                <w:szCs w:val="24"/>
              </w:rPr>
              <w:t>2、“三线一单”相符性分析</w:t>
            </w:r>
          </w:p>
          <w:p w14:paraId="4D2D7D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根据《关于以改善环境质量为核心加强环境影响评价管理的通知》（环环评[2016]150号）、《省政府关于印发江苏省“三线一单”生态环境分区管控方案的通知》（苏政发〔2020〕49号），本项目与“三线一单”相符性分析见表1-</w:t>
            </w:r>
            <w:r>
              <w:rPr>
                <w:rFonts w:hint="default" w:ascii="Times New Roman" w:hAnsi="Times New Roman" w:eastAsia="宋体" w:cs="Times New Roman"/>
                <w:bCs/>
                <w:smallCaps w:val="0"/>
                <w:color w:val="auto"/>
                <w:spacing w:val="0"/>
                <w:kern w:val="0"/>
                <w:position w:val="0"/>
                <w:sz w:val="24"/>
                <w:szCs w:val="24"/>
                <w:lang w:val="en-US" w:eastAsia="zh-CN"/>
              </w:rPr>
              <w:t>5</w:t>
            </w:r>
            <w:r>
              <w:rPr>
                <w:rFonts w:hint="default" w:ascii="Times New Roman" w:hAnsi="Times New Roman" w:eastAsia="宋体" w:cs="Times New Roman"/>
                <w:bCs/>
                <w:smallCaps w:val="0"/>
                <w:color w:val="auto"/>
                <w:spacing w:val="0"/>
                <w:kern w:val="0"/>
                <w:position w:val="0"/>
                <w:sz w:val="24"/>
                <w:szCs w:val="24"/>
              </w:rPr>
              <w:t>。</w:t>
            </w:r>
          </w:p>
          <w:p w14:paraId="350BC0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表1-</w:t>
            </w:r>
            <w:r>
              <w:rPr>
                <w:rFonts w:hint="default" w:ascii="Times New Roman" w:hAnsi="Times New Roman" w:eastAsia="宋体" w:cs="Times New Roman"/>
                <w:b/>
                <w:bCs/>
                <w:smallCaps w:val="0"/>
                <w:color w:val="auto"/>
                <w:spacing w:val="0"/>
                <w:kern w:val="0"/>
                <w:position w:val="0"/>
                <w:szCs w:val="21"/>
                <w:lang w:val="en-US" w:eastAsia="zh-CN"/>
              </w:rPr>
              <w:t>5</w:t>
            </w:r>
            <w:r>
              <w:rPr>
                <w:rFonts w:hint="default" w:ascii="Times New Roman" w:hAnsi="Times New Roman" w:eastAsia="宋体" w:cs="Times New Roman"/>
                <w:b/>
                <w:bCs/>
                <w:smallCaps w:val="0"/>
                <w:color w:val="auto"/>
                <w:spacing w:val="0"/>
                <w:kern w:val="0"/>
                <w:position w:val="0"/>
                <w:szCs w:val="21"/>
              </w:rPr>
              <w:t>“三线一单”符合性分析</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6544"/>
              <w:gridCol w:w="830"/>
            </w:tblGrid>
            <w:tr w14:paraId="393BA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tcBorders>
                    <w:top w:val="single" w:color="auto" w:sz="12" w:space="0"/>
                    <w:left w:val="nil"/>
                    <w:bottom w:val="single" w:color="auto" w:sz="4" w:space="0"/>
                    <w:right w:val="single" w:color="auto" w:sz="4" w:space="0"/>
                  </w:tcBorders>
                  <w:noWrap w:val="0"/>
                  <w:vAlign w:val="center"/>
                </w:tcPr>
                <w:p w14:paraId="315B00EA">
                  <w:pPr>
                    <w:keepNext w:val="0"/>
                    <w:keepLines w:val="0"/>
                    <w:pageBreakBefore w:val="0"/>
                    <w:tabs>
                      <w:tab w:val="left" w:pos="470"/>
                    </w:tabs>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内容</w:t>
                  </w:r>
                </w:p>
              </w:tc>
              <w:tc>
                <w:tcPr>
                  <w:tcW w:w="3888" w:type="pct"/>
                  <w:tcBorders>
                    <w:top w:val="single" w:color="auto" w:sz="12" w:space="0"/>
                    <w:left w:val="single" w:color="auto" w:sz="4" w:space="0"/>
                    <w:bottom w:val="single" w:color="auto" w:sz="4" w:space="0"/>
                    <w:right w:val="single" w:color="auto" w:sz="4" w:space="0"/>
                  </w:tcBorders>
                  <w:noWrap w:val="0"/>
                  <w:vAlign w:val="center"/>
                </w:tcPr>
                <w:p w14:paraId="5D6D87BA">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符合性分析</w:t>
                  </w:r>
                </w:p>
              </w:tc>
              <w:tc>
                <w:tcPr>
                  <w:tcW w:w="493" w:type="pct"/>
                  <w:tcBorders>
                    <w:top w:val="single" w:color="auto" w:sz="12" w:space="0"/>
                    <w:left w:val="single" w:color="auto" w:sz="4" w:space="0"/>
                    <w:bottom w:val="single" w:color="auto" w:sz="4" w:space="0"/>
                    <w:right w:val="nil"/>
                  </w:tcBorders>
                  <w:noWrap w:val="0"/>
                  <w:vAlign w:val="center"/>
                </w:tcPr>
                <w:p w14:paraId="3D70ABD8">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是否相符</w:t>
                  </w:r>
                </w:p>
              </w:tc>
            </w:tr>
            <w:tr w14:paraId="24FA3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tcBorders>
                    <w:top w:val="single" w:color="auto" w:sz="4" w:space="0"/>
                    <w:left w:val="nil"/>
                    <w:bottom w:val="single" w:color="auto" w:sz="4" w:space="0"/>
                    <w:right w:val="single" w:color="auto" w:sz="4" w:space="0"/>
                  </w:tcBorders>
                  <w:noWrap w:val="0"/>
                  <w:vAlign w:val="center"/>
                </w:tcPr>
                <w:p w14:paraId="38DAB28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生态保护红线</w:t>
                  </w:r>
                </w:p>
              </w:tc>
              <w:tc>
                <w:tcPr>
                  <w:tcW w:w="6375" w:type="dxa"/>
                  <w:tcBorders>
                    <w:top w:val="single" w:color="auto" w:sz="4" w:space="0"/>
                    <w:left w:val="single" w:color="auto" w:sz="4" w:space="0"/>
                    <w:bottom w:val="single" w:color="auto" w:sz="4" w:space="0"/>
                    <w:right w:val="single" w:color="auto" w:sz="4" w:space="0"/>
                  </w:tcBorders>
                  <w:noWrap w:val="0"/>
                  <w:vAlign w:val="center"/>
                </w:tcPr>
                <w:p w14:paraId="0556C3CD">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根据关于印发《江苏省生态空间管控区域规划》的通知（苏政发[2020]1号）及《江苏省国家级生态保护红线规划》（苏政发[2018]74号），对照常州市生态红线区域名录，本项目不在江苏省生态空间管控区域规划中规定的生态空间保护区域内、不在江苏省国家级生态保护红线规划内、不在常州市生态红线区域名录内（详见附图）</w:t>
                  </w:r>
                </w:p>
              </w:tc>
              <w:tc>
                <w:tcPr>
                  <w:tcW w:w="493" w:type="pct"/>
                  <w:tcBorders>
                    <w:top w:val="single" w:color="auto" w:sz="4" w:space="0"/>
                    <w:left w:val="single" w:color="auto" w:sz="4" w:space="0"/>
                    <w:bottom w:val="single" w:color="auto" w:sz="4" w:space="0"/>
                    <w:right w:val="nil"/>
                  </w:tcBorders>
                  <w:noWrap w:val="0"/>
                  <w:vAlign w:val="center"/>
                </w:tcPr>
                <w:p w14:paraId="01EE055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相符</w:t>
                  </w:r>
                </w:p>
              </w:tc>
            </w:tr>
            <w:tr w14:paraId="66DB7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tcBorders>
                    <w:top w:val="single" w:color="auto" w:sz="4" w:space="0"/>
                    <w:left w:val="nil"/>
                    <w:bottom w:val="single" w:color="auto" w:sz="4" w:space="0"/>
                    <w:right w:val="single" w:color="auto" w:sz="4" w:space="0"/>
                  </w:tcBorders>
                  <w:noWrap w:val="0"/>
                  <w:vAlign w:val="center"/>
                </w:tcPr>
                <w:p w14:paraId="5F753BE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环境质量底线</w:t>
                  </w:r>
                </w:p>
              </w:tc>
              <w:tc>
                <w:tcPr>
                  <w:tcW w:w="6375" w:type="dxa"/>
                  <w:tcBorders>
                    <w:top w:val="single" w:color="auto" w:sz="4" w:space="0"/>
                    <w:left w:val="single" w:color="auto" w:sz="4" w:space="0"/>
                    <w:bottom w:val="single" w:color="auto" w:sz="4" w:space="0"/>
                    <w:right w:val="single" w:color="auto" w:sz="4" w:space="0"/>
                  </w:tcBorders>
                  <w:noWrap w:val="0"/>
                  <w:vAlign w:val="center"/>
                </w:tcPr>
                <w:p w14:paraId="65C048F0">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根据《202</w:t>
                  </w:r>
                  <w:r>
                    <w:rPr>
                      <w:rFonts w:hint="default" w:ascii="Times New Roman" w:hAnsi="Times New Roman" w:eastAsia="宋体" w:cs="Times New Roman"/>
                      <w:smallCaps w:val="0"/>
                      <w:color w:val="auto"/>
                      <w:spacing w:val="0"/>
                      <w:kern w:val="0"/>
                      <w:position w:val="0"/>
                      <w:sz w:val="21"/>
                      <w:szCs w:val="21"/>
                      <w:lang w:val="en-US" w:eastAsia="zh-CN" w:bidi="ar"/>
                    </w:rPr>
                    <w:t>3</w:t>
                  </w:r>
                  <w:r>
                    <w:rPr>
                      <w:rFonts w:hint="default" w:ascii="Times New Roman" w:hAnsi="Times New Roman" w:eastAsia="宋体" w:cs="Times New Roman"/>
                      <w:smallCaps w:val="0"/>
                      <w:color w:val="auto"/>
                      <w:spacing w:val="0"/>
                      <w:kern w:val="0"/>
                      <w:position w:val="0"/>
                      <w:sz w:val="21"/>
                      <w:szCs w:val="21"/>
                      <w:lang w:bidi="ar"/>
                    </w:rPr>
                    <w:t>年常州市生态环境状况公报》可知，本项目所在区域环境质量不达标，应加快大气环境质量限期达标规划的实施与建设。根据环境质量现状地表水、声环境监测结果可知，项目所在区域地表水、声等环境质量能够满足相应功能区划要求。本项目建设对周边环境影响较小，建成后不会突破当地环境质量底线</w:t>
                  </w:r>
                </w:p>
              </w:tc>
              <w:tc>
                <w:tcPr>
                  <w:tcW w:w="493" w:type="pct"/>
                  <w:tcBorders>
                    <w:top w:val="single" w:color="auto" w:sz="4" w:space="0"/>
                    <w:left w:val="single" w:color="auto" w:sz="4" w:space="0"/>
                    <w:bottom w:val="single" w:color="auto" w:sz="4" w:space="0"/>
                    <w:right w:val="nil"/>
                  </w:tcBorders>
                  <w:noWrap w:val="0"/>
                  <w:vAlign w:val="center"/>
                </w:tcPr>
                <w:p w14:paraId="210E26B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相符</w:t>
                  </w:r>
                </w:p>
              </w:tc>
            </w:tr>
            <w:tr w14:paraId="4499E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tcBorders>
                    <w:top w:val="single" w:color="auto" w:sz="4" w:space="0"/>
                    <w:left w:val="nil"/>
                    <w:bottom w:val="single" w:color="auto" w:sz="4" w:space="0"/>
                    <w:right w:val="single" w:color="auto" w:sz="4" w:space="0"/>
                  </w:tcBorders>
                  <w:noWrap w:val="0"/>
                  <w:vAlign w:val="center"/>
                </w:tcPr>
                <w:p w14:paraId="6238147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资源利用上线</w:t>
                  </w:r>
                </w:p>
              </w:tc>
              <w:tc>
                <w:tcPr>
                  <w:tcW w:w="6375" w:type="dxa"/>
                  <w:tcBorders>
                    <w:top w:val="single" w:color="auto" w:sz="4" w:space="0"/>
                    <w:left w:val="single" w:color="auto" w:sz="4" w:space="0"/>
                    <w:bottom w:val="single" w:color="auto" w:sz="4" w:space="0"/>
                    <w:right w:val="single" w:color="auto" w:sz="4" w:space="0"/>
                  </w:tcBorders>
                  <w:noWrap w:val="0"/>
                  <w:vAlign w:val="center"/>
                </w:tcPr>
                <w:p w14:paraId="39FFE54D">
                  <w:pPr>
                    <w:pStyle w:val="16"/>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本项目生产过程中所用的资源主要为水、电。本项目所在地水资源丰富，电力资源由当地电网公司输送，符合资源利用上线相关要求。</w:t>
                  </w:r>
                </w:p>
              </w:tc>
              <w:tc>
                <w:tcPr>
                  <w:tcW w:w="493" w:type="pct"/>
                  <w:tcBorders>
                    <w:top w:val="single" w:color="auto" w:sz="4" w:space="0"/>
                    <w:left w:val="single" w:color="auto" w:sz="4" w:space="0"/>
                    <w:bottom w:val="single" w:color="auto" w:sz="4" w:space="0"/>
                    <w:right w:val="nil"/>
                  </w:tcBorders>
                  <w:noWrap w:val="0"/>
                  <w:vAlign w:val="center"/>
                </w:tcPr>
                <w:p w14:paraId="4F817E0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相符</w:t>
                  </w:r>
                </w:p>
              </w:tc>
            </w:tr>
            <w:tr w14:paraId="40E37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9" w:type="pct"/>
                  <w:tcBorders>
                    <w:top w:val="single" w:color="auto" w:sz="4" w:space="0"/>
                    <w:left w:val="nil"/>
                    <w:bottom w:val="single" w:color="auto" w:sz="12" w:space="0"/>
                    <w:right w:val="single" w:color="auto" w:sz="4" w:space="0"/>
                  </w:tcBorders>
                  <w:noWrap w:val="0"/>
                  <w:vAlign w:val="center"/>
                </w:tcPr>
                <w:p w14:paraId="4B5CE87D">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环境准入负面清单</w:t>
                  </w:r>
                </w:p>
              </w:tc>
              <w:tc>
                <w:tcPr>
                  <w:tcW w:w="6375" w:type="dxa"/>
                  <w:tcBorders>
                    <w:top w:val="single" w:color="auto" w:sz="4" w:space="0"/>
                    <w:left w:val="single" w:color="auto" w:sz="4" w:space="0"/>
                    <w:bottom w:val="single" w:color="auto" w:sz="12" w:space="0"/>
                    <w:right w:val="single" w:color="auto" w:sz="4" w:space="0"/>
                  </w:tcBorders>
                  <w:noWrap w:val="0"/>
                  <w:vAlign w:val="center"/>
                </w:tcPr>
                <w:p w14:paraId="35AEAF8F">
                  <w:pPr>
                    <w:pStyle w:val="16"/>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本项目符合现行国家产业、行业政策。经查《市场准入负面清单（2022年版）》，本项目不在其禁止准入类和限制准入类中，因此本项目符合环境准入负面清单相关要求。</w:t>
                  </w:r>
                </w:p>
              </w:tc>
              <w:tc>
                <w:tcPr>
                  <w:tcW w:w="493" w:type="pct"/>
                  <w:tcBorders>
                    <w:top w:val="single" w:color="auto" w:sz="4" w:space="0"/>
                    <w:left w:val="single" w:color="auto" w:sz="4" w:space="0"/>
                    <w:bottom w:val="single" w:color="auto" w:sz="12" w:space="0"/>
                    <w:right w:val="nil"/>
                  </w:tcBorders>
                  <w:noWrap w:val="0"/>
                  <w:vAlign w:val="center"/>
                </w:tcPr>
                <w:p w14:paraId="045BDCA5">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相符</w:t>
                  </w:r>
                </w:p>
              </w:tc>
            </w:tr>
          </w:tbl>
          <w:p w14:paraId="1DFD12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smallCaps w:val="0"/>
                <w:color w:val="auto"/>
                <w:spacing w:val="0"/>
                <w:kern w:val="0"/>
                <w:position w:val="0"/>
                <w:sz w:val="24"/>
                <w:szCs w:val="24"/>
                <w:lang w:val="en-US" w:eastAsia="zh-CN"/>
              </w:rPr>
            </w:pPr>
            <w:r>
              <w:rPr>
                <w:rFonts w:hint="default" w:ascii="Times New Roman" w:hAnsi="Times New Roman" w:eastAsia="宋体" w:cs="Times New Roman"/>
                <w:b/>
                <w:bCs/>
                <w:smallCaps w:val="0"/>
                <w:color w:val="auto"/>
                <w:spacing w:val="0"/>
                <w:kern w:val="0"/>
                <w:position w:val="0"/>
                <w:szCs w:val="21"/>
              </w:rPr>
              <w:t>表1-</w:t>
            </w:r>
            <w:r>
              <w:rPr>
                <w:rFonts w:hint="default" w:ascii="Times New Roman" w:hAnsi="Times New Roman" w:eastAsia="宋体" w:cs="Times New Roman"/>
                <w:b/>
                <w:bCs/>
                <w:smallCaps w:val="0"/>
                <w:color w:val="auto"/>
                <w:spacing w:val="0"/>
                <w:kern w:val="0"/>
                <w:position w:val="0"/>
                <w:szCs w:val="21"/>
                <w:lang w:val="en-US" w:eastAsia="zh-CN"/>
              </w:rPr>
              <w:t>6江苏省重点区域（流域）生态环境分区管控要求</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9"/>
              <w:gridCol w:w="4419"/>
              <w:gridCol w:w="2527"/>
              <w:gridCol w:w="680"/>
            </w:tblGrid>
            <w:tr w14:paraId="6670B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tcBorders>
                    <w:tl2br w:val="nil"/>
                    <w:tr2bl w:val="nil"/>
                  </w:tcBorders>
                  <w:noWrap w:val="0"/>
                  <w:vAlign w:val="center"/>
                </w:tcPr>
                <w:p w14:paraId="5CE74D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类型</w:t>
                  </w:r>
                </w:p>
              </w:tc>
              <w:tc>
                <w:tcPr>
                  <w:tcW w:w="2625" w:type="pct"/>
                  <w:tcBorders>
                    <w:tl2br w:val="nil"/>
                    <w:tr2bl w:val="nil"/>
                  </w:tcBorders>
                  <w:noWrap w:val="0"/>
                  <w:vAlign w:val="center"/>
                </w:tcPr>
                <w:p w14:paraId="5CA4024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要求</w:t>
                  </w:r>
                </w:p>
              </w:tc>
              <w:tc>
                <w:tcPr>
                  <w:tcW w:w="1501" w:type="pct"/>
                  <w:tcBorders>
                    <w:tl2br w:val="nil"/>
                    <w:tr2bl w:val="nil"/>
                  </w:tcBorders>
                  <w:noWrap w:val="0"/>
                  <w:vAlign w:val="center"/>
                </w:tcPr>
                <w:p w14:paraId="21B282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对照情况</w:t>
                  </w:r>
                </w:p>
              </w:tc>
              <w:tc>
                <w:tcPr>
                  <w:tcW w:w="404" w:type="pct"/>
                  <w:tcBorders>
                    <w:tl2br w:val="nil"/>
                    <w:tr2bl w:val="nil"/>
                  </w:tcBorders>
                  <w:noWrap w:val="0"/>
                  <w:vAlign w:val="center"/>
                </w:tcPr>
                <w:p w14:paraId="7DB86BD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相符性</w:t>
                  </w:r>
                </w:p>
              </w:tc>
            </w:tr>
            <w:tr w14:paraId="52680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308369D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一、长江流域</w:t>
                  </w:r>
                </w:p>
              </w:tc>
            </w:tr>
            <w:tr w14:paraId="4A970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restart"/>
                  <w:tcBorders>
                    <w:tl2br w:val="nil"/>
                    <w:tr2bl w:val="nil"/>
                  </w:tcBorders>
                  <w:noWrap w:val="0"/>
                  <w:vAlign w:val="center"/>
                </w:tcPr>
                <w:p w14:paraId="51B145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空间布局约束</w:t>
                  </w:r>
                </w:p>
              </w:tc>
              <w:tc>
                <w:tcPr>
                  <w:tcW w:w="2625" w:type="pct"/>
                  <w:tcBorders>
                    <w:tl2br w:val="nil"/>
                    <w:tr2bl w:val="nil"/>
                  </w:tcBorders>
                  <w:noWrap w:val="0"/>
                  <w:vAlign w:val="center"/>
                </w:tcPr>
                <w:p w14:paraId="76DE58EF">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1、始终把长江生态修复放在首位，坚持共抓大保护、不搞大开发，引导长江流域产业转型升级和布局优化调整，实现科学发展、有序发展、高质量发展。</w:t>
                  </w:r>
                </w:p>
              </w:tc>
              <w:tc>
                <w:tcPr>
                  <w:tcW w:w="1501" w:type="pct"/>
                  <w:tcBorders>
                    <w:tl2br w:val="nil"/>
                    <w:tr2bl w:val="nil"/>
                  </w:tcBorders>
                  <w:noWrap w:val="0"/>
                  <w:vAlign w:val="center"/>
                </w:tcPr>
                <w:p w14:paraId="03828B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本项目不属于大开发项目</w:t>
                  </w:r>
                </w:p>
              </w:tc>
              <w:tc>
                <w:tcPr>
                  <w:tcW w:w="404" w:type="pct"/>
                  <w:tcBorders>
                    <w:tl2br w:val="nil"/>
                    <w:tr2bl w:val="nil"/>
                  </w:tcBorders>
                  <w:noWrap w:val="0"/>
                  <w:vAlign w:val="center"/>
                </w:tcPr>
                <w:p w14:paraId="16091AF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0435B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6697F61C">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19471E75">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eastAsia="zh-CN"/>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w:t>
                  </w:r>
                  <w:r>
                    <w:rPr>
                      <w:rFonts w:hint="default" w:ascii="Times New Roman" w:hAnsi="Times New Roman" w:eastAsia="宋体" w:cs="Times New Roman"/>
                      <w:smallCaps w:val="0"/>
                      <w:color w:val="auto"/>
                      <w:spacing w:val="0"/>
                      <w:kern w:val="0"/>
                      <w:position w:val="0"/>
                      <w:sz w:val="21"/>
                      <w:szCs w:val="21"/>
                      <w:lang w:val="en-US" w:eastAsia="zh-CN"/>
                    </w:rPr>
                    <w:t>项目。</w:t>
                  </w:r>
                </w:p>
              </w:tc>
              <w:tc>
                <w:tcPr>
                  <w:tcW w:w="1501" w:type="pct"/>
                  <w:tcBorders>
                    <w:tl2br w:val="nil"/>
                    <w:tr2bl w:val="nil"/>
                  </w:tcBorders>
                  <w:noWrap w:val="0"/>
                  <w:vAlign w:val="center"/>
                </w:tcPr>
                <w:p w14:paraId="6755C9D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本项目不在国家确定的生态保护红线和永久基本农田范围内</w:t>
                  </w:r>
                </w:p>
              </w:tc>
              <w:tc>
                <w:tcPr>
                  <w:tcW w:w="404" w:type="pct"/>
                  <w:tcBorders>
                    <w:tl2br w:val="nil"/>
                    <w:tr2bl w:val="nil"/>
                  </w:tcBorders>
                  <w:noWrap w:val="0"/>
                  <w:vAlign w:val="center"/>
                </w:tcPr>
                <w:p w14:paraId="0FB92A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1657E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1D0629F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6EE7F78D">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3、禁止在沿江地区新建或扩建化学工业园区，禁止新建或扩建以大宗进口油气资源为原料的石油加工、石油化工、基础有机无机化工、煤化工项目；禁止在长江干流和主要支流岸线1公里范围内新建危化品码头。</w:t>
                  </w:r>
                </w:p>
              </w:tc>
              <w:tc>
                <w:tcPr>
                  <w:tcW w:w="1501" w:type="pct"/>
                  <w:tcBorders>
                    <w:tl2br w:val="nil"/>
                    <w:tr2bl w:val="nil"/>
                  </w:tcBorders>
                  <w:noWrap w:val="0"/>
                  <w:vAlign w:val="center"/>
                </w:tcPr>
                <w:p w14:paraId="7C2F953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本项目不属于左述禁止建设的项目</w:t>
                  </w:r>
                </w:p>
              </w:tc>
              <w:tc>
                <w:tcPr>
                  <w:tcW w:w="404" w:type="pct"/>
                  <w:tcBorders>
                    <w:tl2br w:val="nil"/>
                    <w:tr2bl w:val="nil"/>
                  </w:tcBorders>
                  <w:noWrap w:val="0"/>
                  <w:vAlign w:val="center"/>
                </w:tcPr>
                <w:p w14:paraId="77B2B4B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03505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758FBD19">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49B69794">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tc>
              <w:tc>
                <w:tcPr>
                  <w:tcW w:w="1501" w:type="pct"/>
                  <w:tcBorders>
                    <w:tl2br w:val="nil"/>
                    <w:tr2bl w:val="nil"/>
                  </w:tcBorders>
                  <w:noWrap w:val="0"/>
                  <w:vAlign w:val="center"/>
                </w:tcPr>
                <w:p w14:paraId="5E526A8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本项目不属于码头项目和过江干线通道项目</w:t>
                  </w:r>
                </w:p>
              </w:tc>
              <w:tc>
                <w:tcPr>
                  <w:tcW w:w="404" w:type="pct"/>
                  <w:tcBorders>
                    <w:tl2br w:val="nil"/>
                    <w:tr2bl w:val="nil"/>
                  </w:tcBorders>
                  <w:noWrap w:val="0"/>
                  <w:vAlign w:val="center"/>
                </w:tcPr>
                <w:p w14:paraId="27D2565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r>
            <w:tr w14:paraId="36C97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196C6E04">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0BEB5538">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5、禁止新建独立焦化项目。</w:t>
                  </w:r>
                </w:p>
              </w:tc>
              <w:tc>
                <w:tcPr>
                  <w:tcW w:w="1501" w:type="pct"/>
                  <w:tcBorders>
                    <w:tl2br w:val="nil"/>
                    <w:tr2bl w:val="nil"/>
                  </w:tcBorders>
                  <w:noWrap w:val="0"/>
                  <w:vAlign w:val="center"/>
                </w:tcPr>
                <w:p w14:paraId="0F396EF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本项目不属于焦化项目</w:t>
                  </w:r>
                </w:p>
              </w:tc>
              <w:tc>
                <w:tcPr>
                  <w:tcW w:w="404" w:type="pct"/>
                  <w:tcBorders>
                    <w:tl2br w:val="nil"/>
                    <w:tr2bl w:val="nil"/>
                  </w:tcBorders>
                  <w:noWrap w:val="0"/>
                  <w:vAlign w:val="center"/>
                </w:tcPr>
                <w:p w14:paraId="437632A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30A01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restart"/>
                  <w:tcBorders>
                    <w:tl2br w:val="nil"/>
                    <w:tr2bl w:val="nil"/>
                  </w:tcBorders>
                  <w:noWrap w:val="0"/>
                  <w:vAlign w:val="center"/>
                </w:tcPr>
                <w:p w14:paraId="65E6A78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污染物排放管控</w:t>
                  </w:r>
                </w:p>
              </w:tc>
              <w:tc>
                <w:tcPr>
                  <w:tcW w:w="2625" w:type="pct"/>
                  <w:tcBorders>
                    <w:tl2br w:val="nil"/>
                    <w:tr2bl w:val="nil"/>
                  </w:tcBorders>
                  <w:noWrap w:val="0"/>
                  <w:vAlign w:val="center"/>
                </w:tcPr>
                <w:p w14:paraId="14101CCA">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1、根据《江苏省长江水污染防治条例》实施污染物总量控制制度。</w:t>
                  </w:r>
                </w:p>
              </w:tc>
              <w:tc>
                <w:tcPr>
                  <w:tcW w:w="1501" w:type="pct"/>
                  <w:tcBorders>
                    <w:tl2br w:val="nil"/>
                    <w:tr2bl w:val="nil"/>
                  </w:tcBorders>
                  <w:noWrap w:val="0"/>
                  <w:vAlign w:val="center"/>
                </w:tcPr>
                <w:p w14:paraId="3B74BD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本项目废气主要为印刷废气、切割废气和焊接废气，其中UV油墨使用量极小，产生的非甲烷总烃量较</w:t>
                  </w:r>
                  <w:r>
                    <w:rPr>
                      <w:rFonts w:hint="eastAsia" w:cs="Times New Roman"/>
                      <w:bCs/>
                      <w:smallCaps w:val="0"/>
                      <w:color w:val="auto"/>
                      <w:spacing w:val="0"/>
                      <w:kern w:val="0"/>
                      <w:position w:val="0"/>
                      <w:sz w:val="21"/>
                      <w:szCs w:val="21"/>
                      <w:lang w:val="en-US" w:eastAsia="zh-CN"/>
                    </w:rPr>
                    <w:t>少</w:t>
                  </w:r>
                  <w:r>
                    <w:rPr>
                      <w:rFonts w:hint="default" w:ascii="Times New Roman" w:hAnsi="Times New Roman" w:eastAsia="宋体" w:cs="Times New Roman"/>
                      <w:bCs/>
                      <w:smallCaps w:val="0"/>
                      <w:color w:val="auto"/>
                      <w:spacing w:val="0"/>
                      <w:kern w:val="0"/>
                      <w:position w:val="0"/>
                      <w:sz w:val="21"/>
                      <w:szCs w:val="21"/>
                      <w:lang w:val="en-US" w:eastAsia="zh-CN"/>
                    </w:rPr>
                    <w:t>，不进行定量分析，切割废气</w:t>
                  </w:r>
                  <w:r>
                    <w:rPr>
                      <w:rFonts w:hint="eastAsia" w:cs="Times New Roman"/>
                      <w:bCs/>
                      <w:smallCaps w:val="0"/>
                      <w:color w:val="auto"/>
                      <w:spacing w:val="0"/>
                      <w:kern w:val="0"/>
                      <w:position w:val="0"/>
                      <w:sz w:val="21"/>
                      <w:szCs w:val="21"/>
                      <w:lang w:val="en-US" w:eastAsia="zh-CN"/>
                    </w:rPr>
                    <w:t>经除尘器处理后</w:t>
                  </w:r>
                  <w:r>
                    <w:rPr>
                      <w:rFonts w:hint="default" w:ascii="Times New Roman" w:hAnsi="Times New Roman" w:eastAsia="宋体" w:cs="Times New Roman"/>
                      <w:bCs/>
                      <w:smallCaps w:val="0"/>
                      <w:color w:val="auto"/>
                      <w:spacing w:val="0"/>
                      <w:kern w:val="0"/>
                      <w:position w:val="0"/>
                      <w:sz w:val="21"/>
                      <w:szCs w:val="21"/>
                      <w:lang w:val="en-US" w:eastAsia="zh-CN"/>
                    </w:rPr>
                    <w:t>，在车间内无组织排放，焊接烟尘经移动式焊接烟尘净化器处理，在车间内无组织排放，对周围环境影响较小；本项目无生产废水排放，主要废水为生活污水，接入金坛第二污水处理厂集中处理，污染物总量在污水处理厂内平衡</w:t>
                  </w:r>
                </w:p>
              </w:tc>
              <w:tc>
                <w:tcPr>
                  <w:tcW w:w="404" w:type="pct"/>
                  <w:tcBorders>
                    <w:tl2br w:val="nil"/>
                    <w:tr2bl w:val="nil"/>
                  </w:tcBorders>
                  <w:noWrap w:val="0"/>
                  <w:vAlign w:val="center"/>
                </w:tcPr>
                <w:p w14:paraId="2C0C1F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5228F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0C31C2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p>
              </w:tc>
              <w:tc>
                <w:tcPr>
                  <w:tcW w:w="2625" w:type="pct"/>
                  <w:tcBorders>
                    <w:tl2br w:val="nil"/>
                    <w:tr2bl w:val="nil"/>
                  </w:tcBorders>
                  <w:noWrap w:val="0"/>
                  <w:vAlign w:val="center"/>
                </w:tcPr>
                <w:p w14:paraId="61415497">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2、全面加强和规范长江入河排污口管理，有效管控入河污染物排放，形成权责清晰、监控到位、管理规范的长江入河排污口监管体系，加快改善长江水环境质量。</w:t>
                  </w:r>
                </w:p>
              </w:tc>
              <w:tc>
                <w:tcPr>
                  <w:tcW w:w="1501" w:type="pct"/>
                  <w:tcBorders>
                    <w:tl2br w:val="nil"/>
                    <w:tr2bl w:val="nil"/>
                  </w:tcBorders>
                  <w:noWrap w:val="0"/>
                  <w:vAlign w:val="center"/>
                </w:tcPr>
                <w:p w14:paraId="247E080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本项目生活污水接入金坛第二污水处理厂集中处理，不直接排放</w:t>
                  </w:r>
                </w:p>
              </w:tc>
              <w:tc>
                <w:tcPr>
                  <w:tcW w:w="404" w:type="pct"/>
                  <w:tcBorders>
                    <w:tl2br w:val="nil"/>
                    <w:tr2bl w:val="nil"/>
                  </w:tcBorders>
                  <w:noWrap w:val="0"/>
                  <w:vAlign w:val="center"/>
                </w:tcPr>
                <w:p w14:paraId="1E3C50C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5E82D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restart"/>
                  <w:tcBorders>
                    <w:tl2br w:val="nil"/>
                    <w:tr2bl w:val="nil"/>
                  </w:tcBorders>
                  <w:noWrap w:val="0"/>
                  <w:vAlign w:val="center"/>
                </w:tcPr>
                <w:p w14:paraId="0035676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环境风险防控</w:t>
                  </w:r>
                </w:p>
              </w:tc>
              <w:tc>
                <w:tcPr>
                  <w:tcW w:w="2625" w:type="pct"/>
                  <w:tcBorders>
                    <w:tl2br w:val="nil"/>
                    <w:tr2bl w:val="nil"/>
                  </w:tcBorders>
                  <w:noWrap w:val="0"/>
                  <w:vAlign w:val="center"/>
                </w:tcPr>
                <w:p w14:paraId="03E20E85">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1、防范沿江环境风险。深化沿江石化、化工、医药、纺织、印染、化纤、危化品和石油类仓储、涉重金属和危险废物处置等重点企业环境风险防控。</w:t>
                  </w:r>
                </w:p>
              </w:tc>
              <w:tc>
                <w:tcPr>
                  <w:tcW w:w="1501" w:type="pct"/>
                  <w:tcBorders>
                    <w:tl2br w:val="nil"/>
                    <w:tr2bl w:val="nil"/>
                  </w:tcBorders>
                  <w:noWrap w:val="0"/>
                  <w:vAlign w:val="center"/>
                </w:tcPr>
                <w:p w14:paraId="51B5BE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本项目不属于左述企业</w:t>
                  </w:r>
                </w:p>
              </w:tc>
              <w:tc>
                <w:tcPr>
                  <w:tcW w:w="404" w:type="pct"/>
                  <w:tcBorders>
                    <w:tl2br w:val="nil"/>
                    <w:tr2bl w:val="nil"/>
                  </w:tcBorders>
                  <w:noWrap w:val="0"/>
                  <w:vAlign w:val="center"/>
                </w:tcPr>
                <w:p w14:paraId="3FC2E7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21236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17B3132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p>
              </w:tc>
              <w:tc>
                <w:tcPr>
                  <w:tcW w:w="2625" w:type="pct"/>
                  <w:tcBorders>
                    <w:tl2br w:val="nil"/>
                    <w:tr2bl w:val="nil"/>
                  </w:tcBorders>
                  <w:noWrap w:val="0"/>
                  <w:vAlign w:val="center"/>
                </w:tcPr>
                <w:p w14:paraId="3BDC7189">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2、加强饮用水水源保护。优化水源保护区划定，推动饮用水水源地规范化建设。</w:t>
                  </w:r>
                </w:p>
              </w:tc>
              <w:tc>
                <w:tcPr>
                  <w:tcW w:w="1501" w:type="pct"/>
                  <w:tcBorders>
                    <w:tl2br w:val="nil"/>
                    <w:tr2bl w:val="nil"/>
                  </w:tcBorders>
                  <w:noWrap w:val="0"/>
                  <w:vAlign w:val="center"/>
                </w:tcPr>
                <w:p w14:paraId="086073D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本项目生活污水接入金坛第二污水处理厂集中处理，不直接排放</w:t>
                  </w:r>
                </w:p>
              </w:tc>
              <w:tc>
                <w:tcPr>
                  <w:tcW w:w="404" w:type="pct"/>
                  <w:tcBorders>
                    <w:tl2br w:val="nil"/>
                    <w:tr2bl w:val="nil"/>
                  </w:tcBorders>
                  <w:noWrap w:val="0"/>
                  <w:vAlign w:val="center"/>
                </w:tcPr>
                <w:p w14:paraId="2F55B2A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39A9C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tcBorders>
                    <w:tl2br w:val="nil"/>
                    <w:tr2bl w:val="nil"/>
                  </w:tcBorders>
                  <w:noWrap w:val="0"/>
                  <w:vAlign w:val="center"/>
                </w:tcPr>
                <w:p w14:paraId="1CAE575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资源利用效率要求</w:t>
                  </w:r>
                </w:p>
              </w:tc>
              <w:tc>
                <w:tcPr>
                  <w:tcW w:w="2625" w:type="pct"/>
                  <w:tcBorders>
                    <w:tl2br w:val="nil"/>
                    <w:tr2bl w:val="nil"/>
                  </w:tcBorders>
                  <w:noWrap w:val="0"/>
                  <w:vAlign w:val="center"/>
                </w:tcPr>
                <w:p w14:paraId="2E699B6F">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禁止在长江干支流岸线管控范围内新建、扩建化工园区和化工项目。禁止在长江干流岸线和重要支流岸线管控范围</w:t>
                  </w:r>
                </w:p>
                <w:p w14:paraId="4335C0EF">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内新建、改建、扩建尾矿库，但是以提升安全、生态环境保护水平为目的的改建除外。</w:t>
                  </w:r>
                </w:p>
              </w:tc>
              <w:tc>
                <w:tcPr>
                  <w:tcW w:w="1501" w:type="pct"/>
                  <w:tcBorders>
                    <w:tl2br w:val="nil"/>
                    <w:tr2bl w:val="nil"/>
                  </w:tcBorders>
                  <w:noWrap w:val="0"/>
                  <w:vAlign w:val="center"/>
                </w:tcPr>
                <w:p w14:paraId="0A829BD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本项目不属于长江干支流岸线管控范围</w:t>
                  </w:r>
                </w:p>
              </w:tc>
              <w:tc>
                <w:tcPr>
                  <w:tcW w:w="404" w:type="pct"/>
                  <w:tcBorders>
                    <w:tl2br w:val="nil"/>
                    <w:tr2bl w:val="nil"/>
                  </w:tcBorders>
                  <w:noWrap w:val="0"/>
                  <w:vAlign w:val="center"/>
                </w:tcPr>
                <w:p w14:paraId="2518EA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76AC3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49133D6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二、太湖流域</w:t>
                  </w:r>
                </w:p>
              </w:tc>
            </w:tr>
            <w:tr w14:paraId="3185A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restart"/>
                  <w:tcBorders>
                    <w:tl2br w:val="nil"/>
                    <w:tr2bl w:val="nil"/>
                  </w:tcBorders>
                  <w:noWrap w:val="0"/>
                  <w:vAlign w:val="center"/>
                </w:tcPr>
                <w:p w14:paraId="2234612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空间布局约束</w:t>
                  </w:r>
                </w:p>
              </w:tc>
              <w:tc>
                <w:tcPr>
                  <w:tcW w:w="2625" w:type="pct"/>
                  <w:tcBorders>
                    <w:tl2br w:val="nil"/>
                    <w:tr2bl w:val="nil"/>
                  </w:tcBorders>
                  <w:noWrap w:val="0"/>
                  <w:vAlign w:val="center"/>
                </w:tcPr>
                <w:p w14:paraId="1471F964">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501" w:type="pct"/>
                  <w:vMerge w:val="restart"/>
                  <w:tcBorders>
                    <w:tl2br w:val="nil"/>
                    <w:tr2bl w:val="nil"/>
                  </w:tcBorders>
                  <w:noWrap w:val="0"/>
                  <w:vAlign w:val="center"/>
                </w:tcPr>
                <w:p w14:paraId="2312F5D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本项目位于太湖流域三级保护区内，不属于化学制浆造纸、制革、酿造、染料、印染、电镀，无生产废水产生及排放</w:t>
                  </w:r>
                </w:p>
              </w:tc>
              <w:tc>
                <w:tcPr>
                  <w:tcW w:w="404" w:type="pct"/>
                  <w:tcBorders>
                    <w:tl2br w:val="nil"/>
                    <w:tr2bl w:val="nil"/>
                  </w:tcBorders>
                  <w:noWrap w:val="0"/>
                  <w:vAlign w:val="center"/>
                </w:tcPr>
                <w:p w14:paraId="772DEC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68A0E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57BB6C5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25842373">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2、在太湖流域一级保护区，禁止新建、扩建向水体排放污染物的建设项目，禁止新建、扩建畜禽养殖场，禁止新建、扩建高尔夫球场、水上游乐等开发项目以及设置水上餐饮经营设施。</w:t>
                  </w:r>
                </w:p>
              </w:tc>
              <w:tc>
                <w:tcPr>
                  <w:tcW w:w="1501" w:type="pct"/>
                  <w:vMerge w:val="continue"/>
                  <w:tcBorders>
                    <w:tl2br w:val="nil"/>
                    <w:tr2bl w:val="nil"/>
                  </w:tcBorders>
                  <w:noWrap w:val="0"/>
                  <w:vAlign w:val="center"/>
                </w:tcPr>
                <w:p w14:paraId="2B18773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404" w:type="pct"/>
                  <w:tcBorders>
                    <w:tl2br w:val="nil"/>
                    <w:tr2bl w:val="nil"/>
                  </w:tcBorders>
                  <w:noWrap w:val="0"/>
                  <w:vAlign w:val="center"/>
                </w:tcPr>
                <w:p w14:paraId="590B9D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746AD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761C907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04CF4385">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3、在太湖流域二级保护区，禁止新建、扩建化工、医药生产项目，禁止新建、扩建污水集中处理设施排污口以外的排污口。</w:t>
                  </w:r>
                </w:p>
              </w:tc>
              <w:tc>
                <w:tcPr>
                  <w:tcW w:w="1501" w:type="pct"/>
                  <w:vMerge w:val="continue"/>
                  <w:tcBorders>
                    <w:tl2br w:val="nil"/>
                    <w:tr2bl w:val="nil"/>
                  </w:tcBorders>
                  <w:noWrap w:val="0"/>
                  <w:vAlign w:val="center"/>
                </w:tcPr>
                <w:p w14:paraId="5D0A0F1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404" w:type="pct"/>
                  <w:tcBorders>
                    <w:tl2br w:val="nil"/>
                    <w:tr2bl w:val="nil"/>
                  </w:tcBorders>
                  <w:noWrap w:val="0"/>
                  <w:vAlign w:val="center"/>
                </w:tcPr>
                <w:p w14:paraId="532EFE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38D4F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tcBorders>
                    <w:tl2br w:val="nil"/>
                    <w:tr2bl w:val="nil"/>
                  </w:tcBorders>
                  <w:noWrap w:val="0"/>
                  <w:vAlign w:val="center"/>
                </w:tcPr>
                <w:p w14:paraId="23B03CF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污染物排放管控</w:t>
                  </w:r>
                </w:p>
              </w:tc>
              <w:tc>
                <w:tcPr>
                  <w:tcW w:w="2625" w:type="pct"/>
                  <w:tcBorders>
                    <w:tl2br w:val="nil"/>
                    <w:tr2bl w:val="nil"/>
                  </w:tcBorders>
                  <w:noWrap w:val="0"/>
                  <w:vAlign w:val="center"/>
                </w:tcPr>
                <w:p w14:paraId="4519FEE0">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城镇污水处理厂、纺织工业、化学工业、造纸工业、钢铁工业、电镀工业和食品工业的污水处理设施执行《太湖地区城镇污水处理厂及重点工业行业主要水污染物排放限值》。</w:t>
                  </w:r>
                </w:p>
              </w:tc>
              <w:tc>
                <w:tcPr>
                  <w:tcW w:w="1501" w:type="pct"/>
                  <w:tcBorders>
                    <w:tl2br w:val="nil"/>
                    <w:tr2bl w:val="nil"/>
                  </w:tcBorders>
                  <w:noWrap w:val="0"/>
                  <w:vAlign w:val="center"/>
                </w:tcPr>
                <w:p w14:paraId="19DE38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本项目废水主要为生活污水，本项目生活污水接入金坛第二污水处理厂集中处理，金坛第二污水处理厂</w:t>
                  </w:r>
                  <w:r>
                    <w:rPr>
                      <w:rFonts w:hint="default" w:ascii="Times New Roman" w:hAnsi="Times New Roman" w:eastAsia="宋体" w:cs="Times New Roman"/>
                      <w:bCs/>
                      <w:smallCaps w:val="0"/>
                      <w:color w:val="auto"/>
                      <w:spacing w:val="0"/>
                      <w:kern w:val="0"/>
                      <w:position w:val="0"/>
                      <w:sz w:val="21"/>
                      <w:szCs w:val="21"/>
                    </w:rPr>
                    <w:t>尾水中执行《太湖地区城镇污水处理厂及重点行业主要水污染物排放限值》（DB32/T1072-2018）排放限值</w:t>
                  </w:r>
                </w:p>
              </w:tc>
              <w:tc>
                <w:tcPr>
                  <w:tcW w:w="404" w:type="pct"/>
                  <w:tcBorders>
                    <w:tl2br w:val="nil"/>
                    <w:tr2bl w:val="nil"/>
                  </w:tcBorders>
                  <w:noWrap w:val="0"/>
                  <w:vAlign w:val="center"/>
                </w:tcPr>
                <w:p w14:paraId="6D31E8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1050F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restart"/>
                  <w:tcBorders>
                    <w:tl2br w:val="nil"/>
                    <w:tr2bl w:val="nil"/>
                  </w:tcBorders>
                  <w:noWrap w:val="0"/>
                  <w:vAlign w:val="center"/>
                </w:tcPr>
                <w:p w14:paraId="79E266D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环境风险</w:t>
                  </w:r>
                </w:p>
                <w:p w14:paraId="2770E2A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防控</w:t>
                  </w:r>
                </w:p>
              </w:tc>
              <w:tc>
                <w:tcPr>
                  <w:tcW w:w="2625" w:type="pct"/>
                  <w:tcBorders>
                    <w:tl2br w:val="nil"/>
                    <w:tr2bl w:val="nil"/>
                  </w:tcBorders>
                  <w:noWrap w:val="0"/>
                  <w:vAlign w:val="center"/>
                </w:tcPr>
                <w:p w14:paraId="2FF693B1">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1、运输剧毒物质、危险化学品的船舶不得进入太湖。</w:t>
                  </w:r>
                </w:p>
              </w:tc>
              <w:tc>
                <w:tcPr>
                  <w:tcW w:w="1501" w:type="pct"/>
                  <w:vMerge w:val="restart"/>
                  <w:tcBorders>
                    <w:tl2br w:val="nil"/>
                    <w:tr2bl w:val="nil"/>
                  </w:tcBorders>
                  <w:noWrap w:val="0"/>
                  <w:vAlign w:val="center"/>
                </w:tcPr>
                <w:p w14:paraId="45DED52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本项目主要为新建年产2万套信报箱生产项目，原辅料运输为汽运，不涉及太湖</w:t>
                  </w:r>
                </w:p>
              </w:tc>
              <w:tc>
                <w:tcPr>
                  <w:tcW w:w="404" w:type="pct"/>
                  <w:vMerge w:val="restart"/>
                  <w:tcBorders>
                    <w:tl2br w:val="nil"/>
                    <w:tr2bl w:val="nil"/>
                  </w:tcBorders>
                  <w:noWrap w:val="0"/>
                  <w:vAlign w:val="center"/>
                </w:tcPr>
                <w:p w14:paraId="563A83C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相符</w:t>
                  </w:r>
                </w:p>
              </w:tc>
            </w:tr>
            <w:tr w14:paraId="26522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3D9AFF6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4E129EFD">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2、禁止向太湖流域水体排放或者倾倒油类、酸液、碱液、剧毒废渣废液、含放射性废渣废液、含病原体污水、工业废渣以及其他废弃物。</w:t>
                  </w:r>
                </w:p>
              </w:tc>
              <w:tc>
                <w:tcPr>
                  <w:tcW w:w="1501" w:type="pct"/>
                  <w:vMerge w:val="continue"/>
                  <w:tcBorders>
                    <w:tl2br w:val="nil"/>
                    <w:tr2bl w:val="nil"/>
                  </w:tcBorders>
                  <w:noWrap w:val="0"/>
                  <w:vAlign w:val="center"/>
                </w:tcPr>
                <w:p w14:paraId="30F719D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404" w:type="pct"/>
                  <w:vMerge w:val="continue"/>
                  <w:tcBorders>
                    <w:tl2br w:val="nil"/>
                    <w:tr2bl w:val="nil"/>
                  </w:tcBorders>
                  <w:noWrap w:val="0"/>
                  <w:vAlign w:val="center"/>
                </w:tcPr>
                <w:p w14:paraId="01317C5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r>
            <w:tr w14:paraId="1BA47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2EAEEDD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401A2F94">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3、加强太湖流域生态环境风险应急管控，着力提高防控太湖蓝藻水华风险预警和应急处置能力。</w:t>
                  </w:r>
                </w:p>
              </w:tc>
              <w:tc>
                <w:tcPr>
                  <w:tcW w:w="1501" w:type="pct"/>
                  <w:vMerge w:val="continue"/>
                  <w:tcBorders>
                    <w:tl2br w:val="nil"/>
                    <w:tr2bl w:val="nil"/>
                  </w:tcBorders>
                  <w:noWrap w:val="0"/>
                  <w:vAlign w:val="center"/>
                </w:tcPr>
                <w:p w14:paraId="66558A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404" w:type="pct"/>
                  <w:vMerge w:val="continue"/>
                  <w:tcBorders>
                    <w:tl2br w:val="nil"/>
                    <w:tr2bl w:val="nil"/>
                  </w:tcBorders>
                  <w:noWrap w:val="0"/>
                  <w:vAlign w:val="center"/>
                </w:tcPr>
                <w:p w14:paraId="62A810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r>
            <w:tr w14:paraId="7D7AD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restart"/>
                  <w:tcBorders>
                    <w:tl2br w:val="nil"/>
                    <w:tr2bl w:val="nil"/>
                  </w:tcBorders>
                  <w:noWrap w:val="0"/>
                  <w:vAlign w:val="center"/>
                </w:tcPr>
                <w:p w14:paraId="5CAC87C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资源利用</w:t>
                  </w:r>
                </w:p>
                <w:p w14:paraId="4716E93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rPr>
                    <w:t>效率要求</w:t>
                  </w:r>
                </w:p>
              </w:tc>
              <w:tc>
                <w:tcPr>
                  <w:tcW w:w="2625" w:type="pct"/>
                  <w:tcBorders>
                    <w:tl2br w:val="nil"/>
                    <w:tr2bl w:val="nil"/>
                  </w:tcBorders>
                  <w:noWrap w:val="0"/>
                  <w:vAlign w:val="center"/>
                </w:tcPr>
                <w:p w14:paraId="03DF17D4">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1、严格用水定额管理制度，推进取用水规范化管理，科学制定用水定额并动态调整，对超过用水定额标准的企业分类分步先期实施节水改造，鼓励重点用水企业、园区建立智慧用水管理系统。</w:t>
                  </w:r>
                </w:p>
              </w:tc>
              <w:tc>
                <w:tcPr>
                  <w:tcW w:w="1501" w:type="pct"/>
                  <w:tcBorders>
                    <w:tl2br w:val="nil"/>
                    <w:tr2bl w:val="nil"/>
                  </w:tcBorders>
                  <w:noWrap w:val="0"/>
                  <w:vAlign w:val="center"/>
                </w:tcPr>
                <w:p w14:paraId="79BBC60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本项目给水主要源自市政给水管网</w:t>
                  </w:r>
                </w:p>
              </w:tc>
              <w:tc>
                <w:tcPr>
                  <w:tcW w:w="404" w:type="pct"/>
                  <w:tcBorders>
                    <w:tl2br w:val="nil"/>
                    <w:tr2bl w:val="nil"/>
                  </w:tcBorders>
                  <w:noWrap w:val="0"/>
                  <w:vAlign w:val="center"/>
                </w:tcPr>
                <w:p w14:paraId="196BF81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相符</w:t>
                  </w:r>
                </w:p>
              </w:tc>
            </w:tr>
            <w:tr w14:paraId="14DC3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8" w:type="pct"/>
                  <w:vMerge w:val="continue"/>
                  <w:tcBorders>
                    <w:tl2br w:val="nil"/>
                    <w:tr2bl w:val="nil"/>
                  </w:tcBorders>
                  <w:noWrap w:val="0"/>
                  <w:vAlign w:val="center"/>
                </w:tcPr>
                <w:p w14:paraId="5D82791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p>
              </w:tc>
              <w:tc>
                <w:tcPr>
                  <w:tcW w:w="2625" w:type="pct"/>
                  <w:tcBorders>
                    <w:tl2br w:val="nil"/>
                    <w:tr2bl w:val="nil"/>
                  </w:tcBorders>
                  <w:noWrap w:val="0"/>
                  <w:vAlign w:val="center"/>
                </w:tcPr>
                <w:p w14:paraId="27077CB5">
                  <w:pPr>
                    <w:pStyle w:val="28"/>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2、推进新孟河、新沟河、望虞河、走马塘等河道联合调度，科学调控太湖水位。</w:t>
                  </w:r>
                </w:p>
              </w:tc>
              <w:tc>
                <w:tcPr>
                  <w:tcW w:w="1501" w:type="pct"/>
                  <w:tcBorders>
                    <w:tl2br w:val="nil"/>
                    <w:tr2bl w:val="nil"/>
                  </w:tcBorders>
                  <w:noWrap w:val="0"/>
                  <w:vAlign w:val="center"/>
                </w:tcPr>
                <w:p w14:paraId="50A4CA2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w:t>
                  </w:r>
                </w:p>
              </w:tc>
              <w:tc>
                <w:tcPr>
                  <w:tcW w:w="404" w:type="pct"/>
                  <w:tcBorders>
                    <w:tl2br w:val="nil"/>
                    <w:tr2bl w:val="nil"/>
                  </w:tcBorders>
                  <w:noWrap w:val="0"/>
                  <w:vAlign w:val="center"/>
                </w:tcPr>
                <w:p w14:paraId="57E1CD8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w:t>
                  </w:r>
                </w:p>
              </w:tc>
            </w:tr>
          </w:tbl>
          <w:p w14:paraId="0102254C">
            <w:pPr>
              <w:pStyle w:val="7"/>
              <w:keepNext w:val="0"/>
              <w:keepLines w:val="0"/>
              <w:pageBreakBefore w:val="0"/>
              <w:widowControl/>
              <w:kinsoku/>
              <w:wordWrap/>
              <w:overflowPunct/>
              <w:topLinePunct w:val="0"/>
              <w:autoSpaceDE/>
              <w:autoSpaceDN/>
              <w:bidi w:val="0"/>
              <w:adjustRightInd w:val="0"/>
              <w:snapToGrid w:val="0"/>
              <w:spacing w:before="0" w:after="0" w:line="440" w:lineRule="exact"/>
              <w:ind w:right="0" w:firstLine="480" w:firstLineChars="200"/>
              <w:textAlignment w:val="auto"/>
              <w:rPr>
                <w:rFonts w:hint="default" w:ascii="Times New Roman" w:hAnsi="Times New Roman" w:eastAsia="宋体" w:cs="Times New Roman"/>
                <w:bCs/>
                <w:smallCaps w:val="0"/>
                <w:color w:val="auto"/>
                <w:spacing w:val="0"/>
                <w:kern w:val="0"/>
                <w:position w:val="0"/>
                <w:sz w:val="24"/>
                <w:szCs w:val="24"/>
                <w:lang w:val="en-US" w:eastAsia="zh-CN"/>
              </w:rPr>
            </w:pPr>
            <w:r>
              <w:rPr>
                <w:rFonts w:hint="default" w:ascii="Times New Roman" w:hAnsi="Times New Roman" w:eastAsia="宋体" w:cs="Times New Roman"/>
                <w:bCs/>
                <w:smallCaps w:val="0"/>
                <w:color w:val="auto"/>
                <w:spacing w:val="0"/>
                <w:kern w:val="0"/>
                <w:position w:val="0"/>
                <w:sz w:val="24"/>
                <w:szCs w:val="24"/>
                <w:lang w:val="en-US" w:eastAsia="zh-CN"/>
              </w:rPr>
              <w:t>对照</w:t>
            </w:r>
            <w:r>
              <w:rPr>
                <w:rFonts w:hint="default" w:ascii="Times New Roman" w:hAnsi="Times New Roman" w:eastAsia="宋体" w:cs="Times New Roman"/>
                <w:bCs/>
                <w:smallCaps w:val="0"/>
                <w:color w:val="auto"/>
                <w:spacing w:val="0"/>
                <w:kern w:val="0"/>
                <w:position w:val="0"/>
                <w:sz w:val="24"/>
                <w:szCs w:val="24"/>
              </w:rPr>
              <w:t>《省政府关于印发江苏省“三线一单”生态环境分区管控方案的通知》（苏政发〔2020〕49号）</w:t>
            </w:r>
            <w:r>
              <w:rPr>
                <w:rFonts w:hint="default" w:ascii="Times New Roman" w:hAnsi="Times New Roman" w:eastAsia="宋体" w:cs="Times New Roman"/>
                <w:bCs/>
                <w:smallCaps w:val="0"/>
                <w:color w:val="auto"/>
                <w:spacing w:val="0"/>
                <w:kern w:val="0"/>
                <w:position w:val="0"/>
                <w:sz w:val="24"/>
                <w:szCs w:val="24"/>
                <w:lang w:eastAsia="zh-CN"/>
              </w:rPr>
              <w:t>，</w:t>
            </w:r>
            <w:r>
              <w:rPr>
                <w:rFonts w:hint="default" w:ascii="Times New Roman" w:hAnsi="Times New Roman" w:eastAsia="宋体" w:cs="Times New Roman"/>
                <w:bCs/>
                <w:smallCaps w:val="0"/>
                <w:color w:val="auto"/>
                <w:spacing w:val="0"/>
                <w:kern w:val="0"/>
                <w:position w:val="0"/>
                <w:sz w:val="24"/>
                <w:szCs w:val="24"/>
                <w:lang w:val="en-US" w:eastAsia="zh-CN"/>
              </w:rPr>
              <w:t>本项目符合相关管控要求。</w:t>
            </w:r>
          </w:p>
          <w:p w14:paraId="21669BF6">
            <w:pPr>
              <w:pStyle w:val="7"/>
              <w:keepNext w:val="0"/>
              <w:keepLines w:val="0"/>
              <w:pageBreakBefore w:val="0"/>
              <w:widowControl/>
              <w:kinsoku/>
              <w:wordWrap/>
              <w:overflowPunct/>
              <w:topLinePunct w:val="0"/>
              <w:autoSpaceDE/>
              <w:autoSpaceDN/>
              <w:bidi w:val="0"/>
              <w:adjustRightInd w:val="0"/>
              <w:snapToGrid w:val="0"/>
              <w:spacing w:before="0" w:after="0" w:line="440" w:lineRule="exact"/>
              <w:ind w:right="0" w:firstLine="480" w:firstLineChars="200"/>
              <w:textAlignment w:val="auto"/>
              <w:rPr>
                <w:rFonts w:hint="default" w:ascii="Times New Roman" w:hAnsi="Times New Roman" w:eastAsia="宋体" w:cs="Times New Roman"/>
                <w:bCs/>
                <w:smallCaps w:val="0"/>
                <w:color w:val="auto"/>
                <w:spacing w:val="0"/>
                <w:kern w:val="0"/>
                <w:position w:val="0"/>
                <w:sz w:val="24"/>
                <w:szCs w:val="24"/>
                <w:lang w:val="en-US" w:eastAsia="zh-CN"/>
              </w:rPr>
            </w:pPr>
            <w:r>
              <w:rPr>
                <w:rFonts w:hint="default" w:ascii="Times New Roman" w:hAnsi="Times New Roman" w:eastAsia="宋体" w:cs="Times New Roman"/>
                <w:bCs/>
                <w:smallCaps w:val="0"/>
                <w:color w:val="auto"/>
                <w:spacing w:val="0"/>
                <w:kern w:val="0"/>
                <w:position w:val="0"/>
                <w:sz w:val="24"/>
                <w:szCs w:val="24"/>
                <w:lang w:val="en-US" w:eastAsia="zh-CN"/>
              </w:rPr>
              <w:t>根据《2023年生态环境分区管控成果动态更新工作方案》（环办环评函[2023]81号）以及《常州市生态环境分区管控动态更新成果（2023年版）公告》，企业位于江苏省金坛经济开发区汇福路8号，属于江苏金坛经济开发区为重点管控单位。</w:t>
            </w:r>
          </w:p>
          <w:p w14:paraId="722BC6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mallCaps w:val="0"/>
                <w:color w:val="auto"/>
                <w:spacing w:val="0"/>
                <w:kern w:val="0"/>
                <w:position w:val="0"/>
                <w:szCs w:val="21"/>
                <w:lang w:val="en-US" w:eastAsia="zh-CN"/>
              </w:rPr>
            </w:pPr>
            <w:r>
              <w:rPr>
                <w:rFonts w:hint="default" w:ascii="Times New Roman" w:hAnsi="Times New Roman" w:eastAsia="宋体" w:cs="Times New Roman"/>
                <w:b/>
                <w:bCs/>
                <w:smallCaps w:val="0"/>
                <w:color w:val="auto"/>
                <w:spacing w:val="0"/>
                <w:kern w:val="0"/>
                <w:position w:val="0"/>
                <w:szCs w:val="21"/>
              </w:rPr>
              <w:t>表1-</w:t>
            </w:r>
            <w:r>
              <w:rPr>
                <w:rFonts w:hint="default" w:ascii="Times New Roman" w:hAnsi="Times New Roman" w:eastAsia="宋体" w:cs="Times New Roman"/>
                <w:b/>
                <w:bCs/>
                <w:smallCaps w:val="0"/>
                <w:color w:val="auto"/>
                <w:spacing w:val="0"/>
                <w:kern w:val="0"/>
                <w:position w:val="0"/>
                <w:szCs w:val="21"/>
                <w:lang w:val="en-US" w:eastAsia="zh-CN"/>
              </w:rPr>
              <w:t>7</w:t>
            </w:r>
            <w:r>
              <w:rPr>
                <w:rFonts w:hint="default" w:ascii="Times New Roman" w:hAnsi="Times New Roman" w:eastAsia="宋体" w:cs="Times New Roman"/>
                <w:b/>
                <w:bCs/>
                <w:smallCaps w:val="0"/>
                <w:color w:val="auto"/>
                <w:spacing w:val="0"/>
                <w:kern w:val="0"/>
                <w:position w:val="0"/>
                <w:szCs w:val="21"/>
              </w:rPr>
              <w:t>与江苏金坛经济开发区</w:t>
            </w:r>
            <w:r>
              <w:rPr>
                <w:rFonts w:hint="default" w:ascii="Times New Roman" w:hAnsi="Times New Roman" w:eastAsia="宋体" w:cs="Times New Roman"/>
                <w:b/>
                <w:bCs/>
                <w:smallCaps w:val="0"/>
                <w:color w:val="auto"/>
                <w:spacing w:val="0"/>
                <w:kern w:val="0"/>
                <w:position w:val="0"/>
                <w:szCs w:val="21"/>
                <w:lang w:val="en-US" w:eastAsia="zh-CN"/>
              </w:rPr>
              <w:t>管控要求对照分析</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3995"/>
              <w:gridCol w:w="3037"/>
              <w:gridCol w:w="680"/>
            </w:tblGrid>
            <w:tr w14:paraId="69E9E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tcBorders>
                    <w:tl2br w:val="nil"/>
                    <w:tr2bl w:val="nil"/>
                  </w:tcBorders>
                  <w:shd w:val="clear" w:color="auto" w:fill="auto"/>
                  <w:noWrap w:val="0"/>
                  <w:vAlign w:val="center"/>
                </w:tcPr>
                <w:p w14:paraId="18A1E3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rPr>
                    <w:t>类型</w:t>
                  </w:r>
                </w:p>
              </w:tc>
              <w:tc>
                <w:tcPr>
                  <w:tcW w:w="2373" w:type="pct"/>
                  <w:tcBorders>
                    <w:tl2br w:val="nil"/>
                    <w:tr2bl w:val="nil"/>
                  </w:tcBorders>
                  <w:shd w:val="clear" w:color="auto" w:fill="auto"/>
                  <w:noWrap w:val="0"/>
                  <w:vAlign w:val="center"/>
                </w:tcPr>
                <w:p w14:paraId="3E781FC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rPr>
                    <w:t>要求</w:t>
                  </w:r>
                </w:p>
              </w:tc>
              <w:tc>
                <w:tcPr>
                  <w:tcW w:w="1804" w:type="pct"/>
                  <w:tcBorders>
                    <w:tl2br w:val="nil"/>
                    <w:tr2bl w:val="nil"/>
                  </w:tcBorders>
                  <w:shd w:val="clear" w:color="auto" w:fill="auto"/>
                  <w:noWrap w:val="0"/>
                  <w:vAlign w:val="center"/>
                </w:tcPr>
                <w:p w14:paraId="1B5F2E8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rPr>
                    <w:t>对照情况</w:t>
                  </w:r>
                </w:p>
              </w:tc>
              <w:tc>
                <w:tcPr>
                  <w:tcW w:w="404" w:type="pct"/>
                  <w:tcBorders>
                    <w:tl2br w:val="nil"/>
                    <w:tr2bl w:val="nil"/>
                  </w:tcBorders>
                  <w:shd w:val="clear" w:color="auto" w:fill="auto"/>
                  <w:noWrap w:val="0"/>
                  <w:vAlign w:val="center"/>
                </w:tcPr>
                <w:p w14:paraId="79F8D7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rPr>
                    <w:t>相符性</w:t>
                  </w:r>
                </w:p>
              </w:tc>
            </w:tr>
            <w:tr w14:paraId="69C91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4F2C99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一、基础信息</w:t>
                  </w:r>
                </w:p>
              </w:tc>
            </w:tr>
            <w:tr w14:paraId="512B9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0E41721C">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环境管控单元编码：ZH32041320063</w:t>
                  </w:r>
                </w:p>
                <w:p w14:paraId="3EA218E2">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管控单元名称：江苏金坛经济开发区</w:t>
                  </w:r>
                </w:p>
                <w:p w14:paraId="56488554">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管控单元分类：重点管控单元</w:t>
                  </w:r>
                </w:p>
                <w:p w14:paraId="31278CAB">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面积(平方公里)：78.68</w:t>
                  </w:r>
                </w:p>
              </w:tc>
            </w:tr>
            <w:tr w14:paraId="73D8F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4DA810C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二、生态环境准入清单</w:t>
                  </w:r>
                </w:p>
              </w:tc>
            </w:tr>
            <w:tr w14:paraId="645F0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tcBorders>
                    <w:tl2br w:val="nil"/>
                    <w:tr2bl w:val="nil"/>
                  </w:tcBorders>
                  <w:noWrap w:val="0"/>
                  <w:vAlign w:val="center"/>
                </w:tcPr>
                <w:p w14:paraId="4AB37C8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空间布局约束</w:t>
                  </w:r>
                </w:p>
              </w:tc>
              <w:tc>
                <w:tcPr>
                  <w:tcW w:w="2373" w:type="pct"/>
                  <w:tcBorders>
                    <w:tl2br w:val="nil"/>
                    <w:tr2bl w:val="nil"/>
                  </w:tcBorders>
                  <w:noWrap w:val="0"/>
                  <w:vAlign w:val="center"/>
                </w:tcPr>
                <w:p w14:paraId="168BA9D2">
                  <w:pPr>
                    <w:pStyle w:val="28"/>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(1)各类开发建设活动应符合常州市总体规划、控制性详细规划、土地利用规划等相关要求。</w:t>
                  </w:r>
                </w:p>
              </w:tc>
              <w:tc>
                <w:tcPr>
                  <w:tcW w:w="1804" w:type="pct"/>
                  <w:tcBorders>
                    <w:tl2br w:val="nil"/>
                    <w:tr2bl w:val="nil"/>
                  </w:tcBorders>
                  <w:noWrap w:val="0"/>
                  <w:vAlign w:val="center"/>
                </w:tcPr>
                <w:p w14:paraId="6DA45D0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项目位于</w:t>
                  </w:r>
                  <w:r>
                    <w:rPr>
                      <w:rFonts w:hint="default" w:ascii="Times New Roman" w:hAnsi="Times New Roman" w:eastAsia="宋体" w:cs="Times New Roman"/>
                      <w:smallCaps w:val="0"/>
                      <w:color w:val="auto"/>
                      <w:spacing w:val="0"/>
                      <w:kern w:val="0"/>
                      <w:position w:val="0"/>
                      <w:sz w:val="21"/>
                      <w:szCs w:val="21"/>
                      <w:lang w:eastAsia="zh-CN"/>
                    </w:rPr>
                    <w:t>江苏省金坛经济开发区汇福路8号</w:t>
                  </w:r>
                  <w:r>
                    <w:rPr>
                      <w:rFonts w:hint="default" w:ascii="Times New Roman" w:hAnsi="Times New Roman" w:eastAsia="宋体" w:cs="Times New Roman"/>
                      <w:smallCaps w:val="0"/>
                      <w:color w:val="auto"/>
                      <w:spacing w:val="0"/>
                      <w:kern w:val="0"/>
                      <w:position w:val="0"/>
                      <w:sz w:val="21"/>
                      <w:szCs w:val="21"/>
                    </w:rPr>
                    <w:t>，根据</w:t>
                  </w:r>
                  <w:r>
                    <w:rPr>
                      <w:rFonts w:hint="default" w:ascii="Times New Roman" w:hAnsi="Times New Roman" w:eastAsia="宋体" w:cs="Times New Roman"/>
                      <w:smallCaps w:val="0"/>
                      <w:color w:val="auto"/>
                      <w:spacing w:val="0"/>
                      <w:kern w:val="0"/>
                      <w:position w:val="0"/>
                      <w:sz w:val="21"/>
                      <w:szCs w:val="21"/>
                      <w:lang w:val="en-US" w:eastAsia="zh-CN"/>
                    </w:rPr>
                    <w:t>不动产权证（苏（2023）金坛区不动产权证0060646号）</w:t>
                  </w:r>
                  <w:r>
                    <w:rPr>
                      <w:rFonts w:hint="default" w:ascii="Times New Roman" w:hAnsi="Times New Roman" w:eastAsia="宋体" w:cs="Times New Roman"/>
                      <w:smallCaps w:val="0"/>
                      <w:color w:val="auto"/>
                      <w:spacing w:val="0"/>
                      <w:kern w:val="0"/>
                      <w:position w:val="0"/>
                      <w:sz w:val="21"/>
                      <w:szCs w:val="21"/>
                    </w:rPr>
                    <w:t>，项目所在地为工业用地（见附件），根据《金坛经济开发区发展规划报告书》，项目所在地规划为工业用地</w:t>
                  </w:r>
                </w:p>
              </w:tc>
              <w:tc>
                <w:tcPr>
                  <w:tcW w:w="404" w:type="pct"/>
                  <w:tcBorders>
                    <w:tl2br w:val="nil"/>
                    <w:tr2bl w:val="nil"/>
                  </w:tcBorders>
                  <w:noWrap w:val="0"/>
                  <w:vAlign w:val="center"/>
                </w:tcPr>
                <w:p w14:paraId="093FDE5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相符</w:t>
                  </w:r>
                </w:p>
              </w:tc>
            </w:tr>
            <w:tr w14:paraId="3E5C1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tcBorders>
                    <w:tl2br w:val="nil"/>
                    <w:tr2bl w:val="nil"/>
                  </w:tcBorders>
                  <w:noWrap w:val="0"/>
                  <w:vAlign w:val="center"/>
                </w:tcPr>
                <w:p w14:paraId="785F54F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p>
              </w:tc>
              <w:tc>
                <w:tcPr>
                  <w:tcW w:w="2373" w:type="pct"/>
                  <w:tcBorders>
                    <w:tl2br w:val="nil"/>
                    <w:tr2bl w:val="nil"/>
                  </w:tcBorders>
                  <w:noWrap w:val="0"/>
                  <w:vAlign w:val="center"/>
                </w:tcPr>
                <w:p w14:paraId="2FA6C51A">
                  <w:pPr>
                    <w:pStyle w:val="28"/>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(2)禁止引入列入《产业结构调整指导目录(2019年本)》、《江苏省产业结构调整限制、淘汰和禁止目录》、《江苏省工业和信息产业结构调整、限制、淘汰目录及能耗限额》淘汰类的产业。</w:t>
                  </w:r>
                </w:p>
              </w:tc>
              <w:tc>
                <w:tcPr>
                  <w:tcW w:w="1804" w:type="pct"/>
                  <w:tcBorders>
                    <w:tl2br w:val="nil"/>
                    <w:tr2bl w:val="nil"/>
                  </w:tcBorders>
                  <w:noWrap w:val="0"/>
                  <w:vAlign w:val="center"/>
                </w:tcPr>
                <w:p w14:paraId="240AD48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snapToGrid w:val="0"/>
                      <w:color w:val="auto"/>
                      <w:spacing w:val="0"/>
                      <w:kern w:val="0"/>
                      <w:position w:val="0"/>
                      <w:sz w:val="21"/>
                      <w:szCs w:val="21"/>
                    </w:rPr>
                    <w:t>本项目不在《产业结构调整指导目录（2024）》</w:t>
                  </w:r>
                  <w:r>
                    <w:rPr>
                      <w:rFonts w:hint="default" w:ascii="Times New Roman" w:hAnsi="Times New Roman" w:eastAsia="宋体" w:cs="Times New Roman"/>
                      <w:smallCaps w:val="0"/>
                      <w:snapToGrid w:val="0"/>
                      <w:color w:val="auto"/>
                      <w:spacing w:val="0"/>
                      <w:kern w:val="0"/>
                      <w:position w:val="0"/>
                      <w:sz w:val="21"/>
                      <w:szCs w:val="21"/>
                      <w:lang w:eastAsia="zh-CN"/>
                    </w:rPr>
                    <w:t>“</w:t>
                  </w:r>
                  <w:r>
                    <w:rPr>
                      <w:rFonts w:hint="default" w:ascii="Times New Roman" w:hAnsi="Times New Roman" w:eastAsia="宋体" w:cs="Times New Roman"/>
                      <w:smallCaps w:val="0"/>
                      <w:snapToGrid w:val="0"/>
                      <w:color w:val="auto"/>
                      <w:spacing w:val="0"/>
                      <w:kern w:val="0"/>
                      <w:position w:val="0"/>
                      <w:sz w:val="21"/>
                      <w:szCs w:val="21"/>
                      <w:lang w:val="en-US" w:eastAsia="zh-CN"/>
                    </w:rPr>
                    <w:t>鼓励类”、</w:t>
                  </w:r>
                  <w:r>
                    <w:rPr>
                      <w:rFonts w:hint="default" w:ascii="Times New Roman" w:hAnsi="Times New Roman" w:eastAsia="宋体" w:cs="Times New Roman"/>
                      <w:smallCaps w:val="0"/>
                      <w:snapToGrid w:val="0"/>
                      <w:color w:val="auto"/>
                      <w:spacing w:val="0"/>
                      <w:kern w:val="0"/>
                      <w:position w:val="0"/>
                      <w:sz w:val="21"/>
                      <w:szCs w:val="21"/>
                    </w:rPr>
                    <w:t>“限制类”和“淘汰类”之列</w:t>
                  </w:r>
                  <w:r>
                    <w:rPr>
                      <w:rFonts w:hint="default" w:ascii="Times New Roman" w:hAnsi="Times New Roman" w:eastAsia="宋体" w:cs="Times New Roman"/>
                      <w:smallCaps w:val="0"/>
                      <w:snapToGrid w:val="0"/>
                      <w:color w:val="auto"/>
                      <w:spacing w:val="0"/>
                      <w:kern w:val="0"/>
                      <w:position w:val="0"/>
                      <w:sz w:val="21"/>
                      <w:szCs w:val="21"/>
                      <w:lang w:eastAsia="zh-CN"/>
                    </w:rPr>
                    <w:t>；不属于《江苏省产业结构调整限制、淘汰和禁止目录（2018年本）》限制类、淘汰类和禁止类；不属于《江苏省工业和信息产业结构调整限制淘汰目录和能耗限额》（2015年本）中限制类目录中的项目，不涉及淘汰类目录中的落后工艺装备和产品</w:t>
                  </w:r>
                </w:p>
              </w:tc>
              <w:tc>
                <w:tcPr>
                  <w:tcW w:w="404" w:type="pct"/>
                  <w:tcBorders>
                    <w:tl2br w:val="nil"/>
                    <w:tr2bl w:val="nil"/>
                  </w:tcBorders>
                  <w:noWrap w:val="0"/>
                  <w:vAlign w:val="center"/>
                </w:tcPr>
                <w:p w14:paraId="7AA1B63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相符</w:t>
                  </w:r>
                </w:p>
              </w:tc>
            </w:tr>
            <w:tr w14:paraId="1B98E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restart"/>
                  <w:tcBorders>
                    <w:tl2br w:val="nil"/>
                    <w:tr2bl w:val="nil"/>
                  </w:tcBorders>
                  <w:noWrap w:val="0"/>
                  <w:vAlign w:val="center"/>
                </w:tcPr>
                <w:p w14:paraId="5360FF2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污染物排放管控</w:t>
                  </w:r>
                </w:p>
              </w:tc>
              <w:tc>
                <w:tcPr>
                  <w:tcW w:w="2373" w:type="pct"/>
                  <w:tcBorders>
                    <w:tl2br w:val="nil"/>
                    <w:tr2bl w:val="nil"/>
                  </w:tcBorders>
                  <w:noWrap w:val="0"/>
                  <w:vAlign w:val="center"/>
                </w:tcPr>
                <w:p w14:paraId="4C41C0CF">
                  <w:pPr>
                    <w:pStyle w:val="28"/>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(1)严格实施污染物总量控制制度根据区域环境质量改善目标，削减污染物排放总量。</w:t>
                  </w:r>
                </w:p>
              </w:tc>
              <w:tc>
                <w:tcPr>
                  <w:tcW w:w="1804" w:type="pct"/>
                  <w:tcBorders>
                    <w:tl2br w:val="nil"/>
                    <w:tr2bl w:val="nil"/>
                  </w:tcBorders>
                  <w:noWrap w:val="0"/>
                  <w:vAlign w:val="center"/>
                </w:tcPr>
                <w:p w14:paraId="23159E6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本项目废气主要为印刷废气、切割废气和焊接废气，其中UV油墨使用量极小，产生的非甲烷总烃量</w:t>
                  </w:r>
                  <w:r>
                    <w:rPr>
                      <w:rFonts w:hint="eastAsia" w:cs="Times New Roman"/>
                      <w:bCs/>
                      <w:smallCaps w:val="0"/>
                      <w:color w:val="auto"/>
                      <w:spacing w:val="0"/>
                      <w:kern w:val="0"/>
                      <w:position w:val="0"/>
                      <w:sz w:val="21"/>
                      <w:szCs w:val="21"/>
                      <w:lang w:val="en-US" w:eastAsia="zh-CN"/>
                    </w:rPr>
                    <w:t>极少</w:t>
                  </w:r>
                  <w:r>
                    <w:rPr>
                      <w:rFonts w:hint="default" w:ascii="Times New Roman" w:hAnsi="Times New Roman" w:eastAsia="宋体" w:cs="Times New Roman"/>
                      <w:bCs/>
                      <w:smallCaps w:val="0"/>
                      <w:color w:val="auto"/>
                      <w:spacing w:val="0"/>
                      <w:kern w:val="0"/>
                      <w:position w:val="0"/>
                      <w:sz w:val="21"/>
                      <w:szCs w:val="21"/>
                      <w:lang w:val="en-US" w:eastAsia="zh-CN"/>
                    </w:rPr>
                    <w:t>，不进行定量分析，切割废气</w:t>
                  </w:r>
                  <w:r>
                    <w:rPr>
                      <w:rFonts w:hint="eastAsia" w:cs="Times New Roman"/>
                      <w:bCs/>
                      <w:smallCaps w:val="0"/>
                      <w:color w:val="auto"/>
                      <w:spacing w:val="0"/>
                      <w:kern w:val="0"/>
                      <w:position w:val="0"/>
                      <w:sz w:val="21"/>
                      <w:szCs w:val="21"/>
                      <w:lang w:val="en-US" w:eastAsia="zh-CN"/>
                    </w:rPr>
                    <w:t>经除尘器处理后</w:t>
                  </w:r>
                  <w:r>
                    <w:rPr>
                      <w:rFonts w:hint="default" w:ascii="Times New Roman" w:hAnsi="Times New Roman" w:eastAsia="宋体" w:cs="Times New Roman"/>
                      <w:bCs/>
                      <w:smallCaps w:val="0"/>
                      <w:color w:val="auto"/>
                      <w:spacing w:val="0"/>
                      <w:kern w:val="0"/>
                      <w:position w:val="0"/>
                      <w:sz w:val="21"/>
                      <w:szCs w:val="21"/>
                      <w:lang w:val="en-US" w:eastAsia="zh-CN"/>
                    </w:rPr>
                    <w:t>，在车间内无组织排放，焊接烟尘经移动式焊接烟尘净化器处理，在车间内无组织排放，对周围环境影响较小；本项目无生产废水排放，主要废水为生活污水，接入金坛第二污水处理厂集中处理，污染物总量在污水处理厂内平衡</w:t>
                  </w:r>
                </w:p>
              </w:tc>
              <w:tc>
                <w:tcPr>
                  <w:tcW w:w="404" w:type="pct"/>
                  <w:tcBorders>
                    <w:tl2br w:val="nil"/>
                    <w:tr2bl w:val="nil"/>
                  </w:tcBorders>
                  <w:noWrap w:val="0"/>
                  <w:vAlign w:val="center"/>
                </w:tcPr>
                <w:p w14:paraId="16B80C4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相符</w:t>
                  </w:r>
                </w:p>
              </w:tc>
            </w:tr>
            <w:tr w14:paraId="03408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vMerge w:val="continue"/>
                  <w:tcBorders>
                    <w:tl2br w:val="nil"/>
                    <w:tr2bl w:val="nil"/>
                  </w:tcBorders>
                  <w:noWrap w:val="0"/>
                  <w:vAlign w:val="center"/>
                </w:tcPr>
                <w:p w14:paraId="3D240DA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p>
              </w:tc>
              <w:tc>
                <w:tcPr>
                  <w:tcW w:w="2373" w:type="pct"/>
                  <w:tcBorders>
                    <w:tl2br w:val="nil"/>
                    <w:tr2bl w:val="nil"/>
                  </w:tcBorders>
                  <w:noWrap w:val="0"/>
                  <w:vAlign w:val="center"/>
                </w:tcPr>
                <w:p w14:paraId="2DC4B1A1">
                  <w:pPr>
                    <w:pStyle w:val="28"/>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(2)强化餐饮油烟治理，加强噪声污染防治，严格施工扬尘监管，加强土壤和地下水污染防治与修复。</w:t>
                  </w:r>
                </w:p>
              </w:tc>
              <w:tc>
                <w:tcPr>
                  <w:tcW w:w="1804" w:type="pct"/>
                  <w:tcBorders>
                    <w:tl2br w:val="nil"/>
                    <w:tr2bl w:val="nil"/>
                  </w:tcBorders>
                  <w:noWrap w:val="0"/>
                  <w:vAlign w:val="center"/>
                </w:tcPr>
                <w:p w14:paraId="52AB753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本项目主要为新建年产2万套信报箱生产项目，不涉及餐饮油烟；企业生产过程中</w:t>
                  </w:r>
                  <w:r>
                    <w:rPr>
                      <w:rFonts w:hint="default" w:ascii="Times New Roman" w:hAnsi="Times New Roman" w:eastAsia="宋体" w:cs="Times New Roman"/>
                      <w:smallCaps w:val="0"/>
                      <w:color w:val="auto"/>
                      <w:spacing w:val="0"/>
                      <w:kern w:val="0"/>
                      <w:position w:val="0"/>
                      <w:sz w:val="21"/>
                      <w:szCs w:val="21"/>
                      <w:lang w:eastAsia="zh-CN"/>
                    </w:rPr>
                    <w:t>加强噪声污染防治，加强土壤和地下水污染防治</w:t>
                  </w:r>
                </w:p>
              </w:tc>
              <w:tc>
                <w:tcPr>
                  <w:tcW w:w="404" w:type="pct"/>
                  <w:tcBorders>
                    <w:tl2br w:val="nil"/>
                    <w:tr2bl w:val="nil"/>
                  </w:tcBorders>
                  <w:noWrap w:val="0"/>
                  <w:vAlign w:val="center"/>
                </w:tcPr>
                <w:p w14:paraId="670D576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相符</w:t>
                  </w:r>
                </w:p>
              </w:tc>
            </w:tr>
            <w:tr w14:paraId="352D5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tcBorders>
                    <w:tl2br w:val="nil"/>
                    <w:tr2bl w:val="nil"/>
                  </w:tcBorders>
                  <w:noWrap w:val="0"/>
                  <w:vAlign w:val="center"/>
                </w:tcPr>
                <w:p w14:paraId="6B02C5B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环境风险防控</w:t>
                  </w:r>
                </w:p>
              </w:tc>
              <w:tc>
                <w:tcPr>
                  <w:tcW w:w="2373" w:type="pct"/>
                  <w:tcBorders>
                    <w:tl2br w:val="nil"/>
                    <w:tr2bl w:val="nil"/>
                  </w:tcBorders>
                  <w:noWrap w:val="0"/>
                  <w:vAlign w:val="center"/>
                </w:tcPr>
                <w:p w14:paraId="1D3A9BFA">
                  <w:pPr>
                    <w:pStyle w:val="28"/>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lang w:eastAsia="zh-CN"/>
                    </w:rPr>
                    <w:t>合理布局工业、商业、居住、科教等功能区块，严格控制噪声、恶臭、油烟等污染排放较大的建设项目布局。</w:t>
                  </w:r>
                </w:p>
              </w:tc>
              <w:tc>
                <w:tcPr>
                  <w:tcW w:w="1804" w:type="pct"/>
                  <w:tcBorders>
                    <w:tl2br w:val="nil"/>
                    <w:tr2bl w:val="nil"/>
                  </w:tcBorders>
                  <w:noWrap w:val="0"/>
                  <w:vAlign w:val="center"/>
                </w:tcPr>
                <w:p w14:paraId="0C33DBF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lang w:val="en-US"/>
                    </w:rPr>
                  </w:pPr>
                  <w:r>
                    <w:rPr>
                      <w:rFonts w:hint="default" w:ascii="Times New Roman" w:hAnsi="Times New Roman" w:eastAsia="宋体" w:cs="Times New Roman"/>
                      <w:smallCaps w:val="0"/>
                      <w:color w:val="auto"/>
                      <w:spacing w:val="0"/>
                      <w:kern w:val="0"/>
                      <w:position w:val="0"/>
                      <w:sz w:val="21"/>
                      <w:szCs w:val="21"/>
                      <w:lang w:val="en-US" w:eastAsia="zh-CN"/>
                    </w:rPr>
                    <w:t>企业生产过程中</w:t>
                  </w:r>
                  <w:r>
                    <w:rPr>
                      <w:rFonts w:hint="default" w:ascii="Times New Roman" w:hAnsi="Times New Roman" w:eastAsia="宋体" w:cs="Times New Roman"/>
                      <w:smallCaps w:val="0"/>
                      <w:color w:val="auto"/>
                      <w:spacing w:val="0"/>
                      <w:kern w:val="0"/>
                      <w:position w:val="0"/>
                      <w:sz w:val="21"/>
                      <w:szCs w:val="21"/>
                      <w:lang w:eastAsia="zh-CN"/>
                    </w:rPr>
                    <w:t>加强噪声污染防治，</w:t>
                  </w:r>
                  <w:r>
                    <w:rPr>
                      <w:rFonts w:hint="default" w:ascii="Times New Roman" w:hAnsi="Times New Roman" w:eastAsia="宋体" w:cs="Times New Roman"/>
                      <w:smallCaps w:val="0"/>
                      <w:color w:val="auto"/>
                      <w:spacing w:val="0"/>
                      <w:kern w:val="0"/>
                      <w:position w:val="0"/>
                      <w:sz w:val="21"/>
                      <w:szCs w:val="21"/>
                      <w:lang w:val="en-US" w:eastAsia="zh-CN"/>
                    </w:rPr>
                    <w:t>满足噪声要求</w:t>
                  </w:r>
                </w:p>
              </w:tc>
              <w:tc>
                <w:tcPr>
                  <w:tcW w:w="404" w:type="pct"/>
                  <w:tcBorders>
                    <w:tl2br w:val="nil"/>
                    <w:tr2bl w:val="nil"/>
                  </w:tcBorders>
                  <w:noWrap w:val="0"/>
                  <w:vAlign w:val="center"/>
                </w:tcPr>
                <w:p w14:paraId="5B56B70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相符</w:t>
                  </w:r>
                </w:p>
              </w:tc>
            </w:tr>
            <w:tr w14:paraId="25F1F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 w:type="pct"/>
                  <w:tcBorders>
                    <w:tl2br w:val="nil"/>
                    <w:tr2bl w:val="nil"/>
                  </w:tcBorders>
                  <w:noWrap w:val="0"/>
                  <w:vAlign w:val="center"/>
                </w:tcPr>
                <w:p w14:paraId="3DFD901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rPr>
                  </w:pPr>
                  <w:r>
                    <w:rPr>
                      <w:rFonts w:hint="default" w:ascii="Times New Roman" w:hAnsi="Times New Roman" w:eastAsia="宋体" w:cs="Times New Roman"/>
                      <w:bCs/>
                      <w:smallCaps w:val="0"/>
                      <w:color w:val="auto"/>
                      <w:spacing w:val="0"/>
                      <w:kern w:val="0"/>
                      <w:position w:val="0"/>
                      <w:sz w:val="21"/>
                      <w:szCs w:val="21"/>
                      <w:lang w:val="en-US" w:eastAsia="zh-CN"/>
                    </w:rPr>
                    <w:t>资源开发效率要求</w:t>
                  </w:r>
                </w:p>
              </w:tc>
              <w:tc>
                <w:tcPr>
                  <w:tcW w:w="2373" w:type="pct"/>
                  <w:tcBorders>
                    <w:tl2br w:val="nil"/>
                    <w:tr2bl w:val="nil"/>
                  </w:tcBorders>
                  <w:noWrap w:val="0"/>
                  <w:vAlign w:val="center"/>
                </w:tcPr>
                <w:p w14:paraId="44A1BE22">
                  <w:pPr>
                    <w:pStyle w:val="28"/>
                    <w:keepNext w:val="0"/>
                    <w:keepLines w:val="0"/>
                    <w:pageBreakBefore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全面开展节水型社会建设，推荐节水产品推广普及，闲置高耗水服务业用水。</w:t>
                  </w:r>
                </w:p>
              </w:tc>
              <w:tc>
                <w:tcPr>
                  <w:tcW w:w="1804" w:type="pct"/>
                  <w:tcBorders>
                    <w:tl2br w:val="nil"/>
                    <w:tr2bl w:val="nil"/>
                  </w:tcBorders>
                  <w:noWrap w:val="0"/>
                  <w:vAlign w:val="center"/>
                </w:tcPr>
                <w:p w14:paraId="2F62F8F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本项目给水主要源自市政给水管网</w:t>
                  </w:r>
                </w:p>
              </w:tc>
              <w:tc>
                <w:tcPr>
                  <w:tcW w:w="404" w:type="pct"/>
                  <w:tcBorders>
                    <w:tl2br w:val="nil"/>
                    <w:tr2bl w:val="nil"/>
                  </w:tcBorders>
                  <w:noWrap w:val="0"/>
                  <w:vAlign w:val="center"/>
                </w:tcPr>
                <w:p w14:paraId="0A4C1EC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rPr>
                  </w:pPr>
                  <w:r>
                    <w:rPr>
                      <w:rFonts w:hint="default" w:ascii="Times New Roman" w:hAnsi="Times New Roman" w:eastAsia="宋体" w:cs="Times New Roman"/>
                      <w:bCs/>
                      <w:smallCaps w:val="0"/>
                      <w:color w:val="auto"/>
                      <w:spacing w:val="0"/>
                      <w:kern w:val="0"/>
                      <w:position w:val="0"/>
                      <w:sz w:val="21"/>
                      <w:szCs w:val="21"/>
                      <w:lang w:val="en-US" w:eastAsia="zh-CN"/>
                    </w:rPr>
                    <w:t>相符</w:t>
                  </w:r>
                </w:p>
              </w:tc>
            </w:tr>
          </w:tbl>
          <w:p w14:paraId="711ABC59">
            <w:pPr>
              <w:pStyle w:val="7"/>
              <w:keepNext w:val="0"/>
              <w:keepLines w:val="0"/>
              <w:pageBreakBefore w:val="0"/>
              <w:widowControl/>
              <w:kinsoku/>
              <w:wordWrap/>
              <w:overflowPunct/>
              <w:topLinePunct w:val="0"/>
              <w:autoSpaceDE/>
              <w:autoSpaceDN/>
              <w:bidi w:val="0"/>
              <w:adjustRightInd w:val="0"/>
              <w:snapToGrid w:val="0"/>
              <w:spacing w:before="0" w:after="0" w:line="440" w:lineRule="exact"/>
              <w:ind w:right="0" w:firstLine="480" w:firstLineChars="200"/>
              <w:textAlignment w:val="auto"/>
              <w:rPr>
                <w:rFonts w:hint="default" w:ascii="Times New Roman" w:hAnsi="Times New Roman" w:eastAsia="宋体" w:cs="Times New Roman"/>
                <w:bCs/>
                <w:smallCaps w:val="0"/>
                <w:color w:val="auto"/>
                <w:spacing w:val="0"/>
                <w:kern w:val="0"/>
                <w:position w:val="0"/>
                <w:sz w:val="24"/>
              </w:rPr>
            </w:pPr>
            <w:r>
              <w:rPr>
                <w:rFonts w:hint="default" w:ascii="Times New Roman" w:hAnsi="Times New Roman" w:eastAsia="宋体" w:cs="Times New Roman"/>
                <w:bCs/>
                <w:smallCaps w:val="0"/>
                <w:color w:val="auto"/>
                <w:spacing w:val="0"/>
                <w:kern w:val="0"/>
                <w:position w:val="0"/>
                <w:sz w:val="24"/>
              </w:rPr>
              <w:t>因此，本项目符合“三线一单”（即生态保护红线、环境质量底线、资源利用上线、环境准入负面清单）管理机制的要求。</w:t>
            </w:r>
          </w:p>
          <w:p w14:paraId="37D9F9C5">
            <w:pPr>
              <w:pStyle w:val="7"/>
              <w:keepNext w:val="0"/>
              <w:keepLines w:val="0"/>
              <w:pageBreakBefore w:val="0"/>
              <w:widowControl/>
              <w:kinsoku/>
              <w:wordWrap/>
              <w:overflowPunct/>
              <w:topLinePunct w:val="0"/>
              <w:autoSpaceDE/>
              <w:autoSpaceDN/>
              <w:bidi w:val="0"/>
              <w:adjustRightInd w:val="0"/>
              <w:snapToGrid w:val="0"/>
              <w:spacing w:before="0" w:after="0" w:line="440" w:lineRule="exact"/>
              <w:ind w:right="0" w:firstLine="480" w:firstLineChars="200"/>
              <w:textAlignment w:val="auto"/>
              <w:rPr>
                <w:rFonts w:hint="default" w:ascii="Times New Roman" w:hAnsi="Times New Roman" w:eastAsia="宋体" w:cs="Times New Roman"/>
                <w:bCs/>
                <w:smallCaps w:val="0"/>
                <w:color w:val="auto"/>
                <w:spacing w:val="0"/>
                <w:kern w:val="0"/>
                <w:position w:val="0"/>
                <w:sz w:val="24"/>
                <w:szCs w:val="24"/>
                <w:lang w:val="en-US" w:eastAsia="zh-CN"/>
              </w:rPr>
            </w:pPr>
            <w:r>
              <w:rPr>
                <w:rFonts w:hint="default" w:ascii="Times New Roman" w:hAnsi="Times New Roman" w:eastAsia="宋体" w:cs="Times New Roman"/>
                <w:bCs/>
                <w:smallCaps w:val="0"/>
                <w:color w:val="auto"/>
                <w:spacing w:val="0"/>
                <w:kern w:val="0"/>
                <w:position w:val="0"/>
                <w:sz w:val="24"/>
                <w:szCs w:val="24"/>
                <w:lang w:val="en-US" w:eastAsia="zh-CN"/>
              </w:rPr>
              <w:t>对照《江苏省国土空间规划（2021-2035年）》（苏政发〔2023〕69号）和《常州市国土空间总体规划（2021-2035年）》及“三区三线”划定成果内容：根据城镇空间、农业空间、生态空间三种类型的空间，分别对应划定的城镇开发边界、永久基本农田保护红线、生态保护红线三条控制线。永久基本农田：常州市永久基本农田保护任务为114.9600万亩，市域划定永久基本农田112.9589万亩，占市域面积的17.22%。生态保护红线：市域划定生态保护红线346.10平方公里，占市域面积的7.92%。城镇开发边界：市域划定城镇开发边界925.05平方公里，占市域面积的21.16%。其中，城镇集中建设区911.38平方公里，城镇弹性发展区13.67平方公里。</w:t>
            </w:r>
          </w:p>
          <w:p w14:paraId="225B0D0C">
            <w:pPr>
              <w:pStyle w:val="7"/>
              <w:keepNext w:val="0"/>
              <w:keepLines w:val="0"/>
              <w:pageBreakBefore w:val="0"/>
              <w:widowControl/>
              <w:kinsoku/>
              <w:wordWrap/>
              <w:overflowPunct/>
              <w:topLinePunct w:val="0"/>
              <w:autoSpaceDE/>
              <w:autoSpaceDN/>
              <w:bidi w:val="0"/>
              <w:adjustRightInd w:val="0"/>
              <w:snapToGrid w:val="0"/>
              <w:spacing w:before="0" w:after="0" w:line="440" w:lineRule="exact"/>
              <w:ind w:right="0" w:firstLine="480" w:firstLineChars="200"/>
              <w:textAlignment w:val="auto"/>
              <w:rPr>
                <w:rFonts w:hint="default" w:ascii="Times New Roman" w:hAnsi="Times New Roman" w:eastAsia="宋体" w:cs="Times New Roman"/>
                <w:bCs/>
                <w:smallCaps w:val="0"/>
                <w:color w:val="auto"/>
                <w:spacing w:val="0"/>
                <w:kern w:val="0"/>
                <w:position w:val="0"/>
                <w:sz w:val="24"/>
                <w:szCs w:val="24"/>
                <w:lang w:val="en-US" w:eastAsia="zh-CN"/>
              </w:rPr>
            </w:pPr>
            <w:r>
              <w:rPr>
                <w:rFonts w:hint="default" w:ascii="Times New Roman" w:hAnsi="Times New Roman" w:eastAsia="宋体" w:cs="Times New Roman"/>
                <w:bCs/>
                <w:smallCaps w:val="0"/>
                <w:color w:val="auto"/>
                <w:spacing w:val="0"/>
                <w:kern w:val="0"/>
                <w:position w:val="0"/>
                <w:sz w:val="24"/>
                <w:szCs w:val="24"/>
                <w:lang w:val="en-US" w:eastAsia="zh-CN"/>
              </w:rPr>
              <w:t>对照分析：项目所在地属于城镇发展区</w:t>
            </w:r>
            <w:r>
              <w:rPr>
                <w:rFonts w:hint="eastAsia" w:cs="Times New Roman"/>
                <w:bCs/>
                <w:smallCaps w:val="0"/>
                <w:color w:val="auto"/>
                <w:spacing w:val="0"/>
                <w:kern w:val="0"/>
                <w:position w:val="0"/>
                <w:sz w:val="24"/>
                <w:szCs w:val="24"/>
                <w:lang w:val="en-US" w:eastAsia="zh-CN"/>
              </w:rPr>
              <w:t>，不涉及永久基本农田，不属于农业空间区域，不在生态保护红线范围内，建设项目未突破规划中的城镇开发边界（见附图7）</w:t>
            </w:r>
            <w:r>
              <w:rPr>
                <w:rFonts w:hint="default" w:ascii="Times New Roman" w:hAnsi="Times New Roman" w:eastAsia="宋体" w:cs="Times New Roman"/>
                <w:bCs/>
                <w:smallCaps w:val="0"/>
                <w:color w:val="auto"/>
                <w:spacing w:val="0"/>
                <w:kern w:val="0"/>
                <w:position w:val="0"/>
                <w:sz w:val="24"/>
                <w:szCs w:val="24"/>
                <w:lang w:val="en-US" w:eastAsia="zh-CN"/>
              </w:rPr>
              <w:t>。根据企业提供的不动产权证（苏（2023）金坛区不动产权证0060646号），项目所在地为工业用地（见附件），根据《金坛经济开发区发展规划报告书》，项目所在地规划为工业用地。</w:t>
            </w:r>
          </w:p>
          <w:p w14:paraId="5C21296F">
            <w:pPr>
              <w:pStyle w:val="16"/>
              <w:spacing w:before="60" w:after="60"/>
              <w:jc w:val="both"/>
              <w:outlineLvl w:val="0"/>
              <w:rPr>
                <w:rFonts w:hint="default" w:ascii="Times New Roman" w:hAnsi="Times New Roman" w:eastAsia="宋体" w:cs="Times New Roman"/>
                <w:smallCaps w:val="0"/>
                <w:snapToGrid w:val="0"/>
                <w:color w:val="auto"/>
                <w:spacing w:val="0"/>
                <w:kern w:val="0"/>
                <w:position w:val="0"/>
                <w:sz w:val="30"/>
                <w:szCs w:val="30"/>
                <w:vertAlign w:val="baseline"/>
              </w:rPr>
            </w:pPr>
          </w:p>
          <w:p w14:paraId="2B9C94A6">
            <w:pPr>
              <w:pStyle w:val="16"/>
              <w:spacing w:before="60" w:after="60"/>
              <w:jc w:val="both"/>
              <w:outlineLvl w:val="0"/>
              <w:rPr>
                <w:rFonts w:hint="default" w:ascii="Times New Roman" w:hAnsi="Times New Roman" w:eastAsia="宋体" w:cs="Times New Roman"/>
                <w:smallCaps w:val="0"/>
                <w:snapToGrid w:val="0"/>
                <w:color w:val="auto"/>
                <w:spacing w:val="0"/>
                <w:kern w:val="0"/>
                <w:position w:val="0"/>
                <w:sz w:val="30"/>
                <w:szCs w:val="30"/>
                <w:vertAlign w:val="baseline"/>
              </w:rPr>
            </w:pPr>
          </w:p>
        </w:tc>
      </w:tr>
    </w:tbl>
    <w:p w14:paraId="45AC23E9">
      <w:pPr>
        <w:bidi w:val="0"/>
        <w:rPr>
          <w:rFonts w:hint="default" w:ascii="Times New Roman" w:hAnsi="Times New Roman" w:eastAsia="宋体" w:cs="Times New Roman"/>
          <w:smallCaps w:val="0"/>
          <w:color w:val="auto"/>
          <w:spacing w:val="0"/>
          <w:kern w:val="0"/>
          <w:position w:val="0"/>
        </w:rPr>
      </w:pPr>
    </w:p>
    <w:p w14:paraId="75B21BE4">
      <w:pPr>
        <w:pStyle w:val="16"/>
        <w:bidi w:val="0"/>
        <w:rPr>
          <w:rFonts w:hint="default" w:ascii="Times New Roman" w:hAnsi="Times New Roman" w:eastAsia="宋体" w:cs="Times New Roman"/>
          <w:smallCaps w:val="0"/>
          <w:color w:val="auto"/>
          <w:spacing w:val="0"/>
          <w:kern w:val="0"/>
          <w:position w:val="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195"/>
      </w:tblGrid>
      <w:tr w14:paraId="5C694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65" w:hRule="atLeast"/>
          <w:jc w:val="center"/>
        </w:trPr>
        <w:tc>
          <w:tcPr>
            <w:tcW w:w="167" w:type="pct"/>
            <w:noWrap w:val="0"/>
            <w:vAlign w:val="center"/>
          </w:tcPr>
          <w:p w14:paraId="5E3E070D">
            <w:pPr>
              <w:autoSpaceDE w:val="0"/>
              <w:autoSpaceDN w:val="0"/>
              <w:adjustRightInd w:val="0"/>
              <w:snapToGrid w:val="0"/>
              <w:spacing w:before="60" w:after="60"/>
              <w:jc w:val="center"/>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其他符合性分析</w:t>
            </w:r>
          </w:p>
        </w:tc>
        <w:tc>
          <w:tcPr>
            <w:tcW w:w="4833" w:type="pct"/>
            <w:noWrap w:val="0"/>
            <w:vAlign w:val="center"/>
          </w:tcPr>
          <w:p w14:paraId="3A202BC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Style w:val="20"/>
                <w:rFonts w:hint="default" w:ascii="Times New Roman" w:hAnsi="Times New Roman" w:eastAsia="宋体" w:cs="Times New Roman"/>
                <w:smallCaps w:val="0"/>
                <w:color w:val="auto"/>
                <w:spacing w:val="0"/>
                <w:kern w:val="0"/>
                <w:position w:val="0"/>
                <w:sz w:val="24"/>
              </w:rPr>
            </w:pPr>
            <w:r>
              <w:rPr>
                <w:rStyle w:val="20"/>
                <w:rFonts w:hint="default" w:ascii="Times New Roman" w:hAnsi="Times New Roman" w:eastAsia="宋体" w:cs="Times New Roman"/>
                <w:smallCaps w:val="0"/>
                <w:color w:val="auto"/>
                <w:spacing w:val="0"/>
                <w:kern w:val="0"/>
                <w:position w:val="0"/>
                <w:sz w:val="24"/>
              </w:rPr>
              <w:t>3、法律法规政策的相符性分析</w:t>
            </w:r>
          </w:p>
          <w:p w14:paraId="7B5ED9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rPr>
            </w:pPr>
            <w:r>
              <w:rPr>
                <w:rFonts w:hint="default" w:ascii="Times New Roman" w:hAnsi="Times New Roman" w:eastAsia="宋体" w:cs="Times New Roman"/>
                <w:bCs/>
                <w:smallCaps w:val="0"/>
                <w:color w:val="auto"/>
                <w:spacing w:val="0"/>
                <w:kern w:val="0"/>
                <w:position w:val="0"/>
                <w:sz w:val="24"/>
              </w:rPr>
              <w:t>本项目与各环保政策的符性分析具体见表1-</w:t>
            </w:r>
            <w:r>
              <w:rPr>
                <w:rFonts w:hint="eastAsia" w:cs="Times New Roman"/>
                <w:bCs/>
                <w:smallCaps w:val="0"/>
                <w:color w:val="auto"/>
                <w:spacing w:val="0"/>
                <w:kern w:val="0"/>
                <w:position w:val="0"/>
                <w:sz w:val="24"/>
                <w:lang w:val="en-US" w:eastAsia="zh-CN"/>
              </w:rPr>
              <w:t>8</w:t>
            </w:r>
            <w:r>
              <w:rPr>
                <w:rFonts w:hint="default" w:ascii="Times New Roman" w:hAnsi="Times New Roman" w:eastAsia="宋体" w:cs="Times New Roman"/>
                <w:bCs/>
                <w:smallCaps w:val="0"/>
                <w:color w:val="auto"/>
                <w:spacing w:val="0"/>
                <w:kern w:val="0"/>
                <w:position w:val="0"/>
                <w:sz w:val="24"/>
              </w:rPr>
              <w:t>。</w:t>
            </w:r>
          </w:p>
          <w:p w14:paraId="208DD7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表1-</w:t>
            </w:r>
            <w:r>
              <w:rPr>
                <w:rFonts w:hint="eastAsia" w:cs="Times New Roman"/>
                <w:b/>
                <w:bCs/>
                <w:smallCaps w:val="0"/>
                <w:color w:val="auto"/>
                <w:spacing w:val="0"/>
                <w:kern w:val="0"/>
                <w:position w:val="0"/>
                <w:szCs w:val="21"/>
                <w:lang w:val="en-US" w:eastAsia="zh-CN"/>
              </w:rPr>
              <w:t>8</w:t>
            </w:r>
            <w:r>
              <w:rPr>
                <w:rFonts w:hint="default" w:ascii="Times New Roman" w:hAnsi="Times New Roman" w:eastAsia="宋体" w:cs="Times New Roman"/>
                <w:b/>
                <w:bCs/>
                <w:smallCaps w:val="0"/>
                <w:color w:val="auto"/>
                <w:spacing w:val="0"/>
                <w:kern w:val="0"/>
                <w:position w:val="0"/>
                <w:szCs w:val="21"/>
              </w:rPr>
              <w:t>本项目环保政策相符性分析</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68"/>
              <w:gridCol w:w="6318"/>
              <w:gridCol w:w="2469"/>
              <w:gridCol w:w="919"/>
            </w:tblGrid>
            <w:tr w14:paraId="46AF1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603EDA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smallCaps w:val="0"/>
                      <w:snapToGrid w:val="0"/>
                      <w:color w:val="auto"/>
                      <w:spacing w:val="0"/>
                      <w:kern w:val="0"/>
                      <w:position w:val="0"/>
                      <w:sz w:val="21"/>
                      <w:szCs w:val="21"/>
                    </w:rPr>
                  </w:pPr>
                  <w:r>
                    <w:rPr>
                      <w:rFonts w:hint="default" w:ascii="Times New Roman" w:hAnsi="Times New Roman" w:eastAsia="宋体" w:cs="Times New Roman"/>
                      <w:b/>
                      <w:smallCaps w:val="0"/>
                      <w:snapToGrid w:val="0"/>
                      <w:color w:val="auto"/>
                      <w:spacing w:val="0"/>
                      <w:kern w:val="0"/>
                      <w:position w:val="0"/>
                      <w:sz w:val="21"/>
                      <w:szCs w:val="21"/>
                    </w:rPr>
                    <w:t>文件名称</w:t>
                  </w:r>
                </w:p>
              </w:tc>
              <w:tc>
                <w:tcPr>
                  <w:tcW w:w="2434" w:type="pct"/>
                  <w:tcBorders>
                    <w:tl2br w:val="nil"/>
                    <w:tr2bl w:val="nil"/>
                  </w:tcBorders>
                  <w:noWrap w:val="0"/>
                  <w:vAlign w:val="center"/>
                </w:tcPr>
                <w:p w14:paraId="2F09AB3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smallCaps w:val="0"/>
                      <w:snapToGrid w:val="0"/>
                      <w:color w:val="auto"/>
                      <w:spacing w:val="0"/>
                      <w:kern w:val="0"/>
                      <w:position w:val="0"/>
                      <w:sz w:val="21"/>
                      <w:szCs w:val="21"/>
                    </w:rPr>
                  </w:pPr>
                  <w:r>
                    <w:rPr>
                      <w:rFonts w:hint="default" w:ascii="Times New Roman" w:hAnsi="Times New Roman" w:eastAsia="宋体" w:cs="Times New Roman"/>
                      <w:b/>
                      <w:smallCaps w:val="0"/>
                      <w:snapToGrid w:val="0"/>
                      <w:color w:val="auto"/>
                      <w:spacing w:val="0"/>
                      <w:kern w:val="0"/>
                      <w:position w:val="0"/>
                      <w:sz w:val="21"/>
                      <w:szCs w:val="21"/>
                    </w:rPr>
                    <w:t>要求</w:t>
                  </w:r>
                </w:p>
              </w:tc>
              <w:tc>
                <w:tcPr>
                  <w:tcW w:w="951" w:type="pct"/>
                  <w:tcBorders>
                    <w:tl2br w:val="nil"/>
                    <w:tr2bl w:val="nil"/>
                  </w:tcBorders>
                  <w:noWrap w:val="0"/>
                  <w:vAlign w:val="center"/>
                </w:tcPr>
                <w:p w14:paraId="6583D16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smallCaps w:val="0"/>
                      <w:snapToGrid w:val="0"/>
                      <w:color w:val="auto"/>
                      <w:spacing w:val="0"/>
                      <w:kern w:val="0"/>
                      <w:position w:val="0"/>
                      <w:sz w:val="21"/>
                      <w:szCs w:val="21"/>
                    </w:rPr>
                  </w:pPr>
                  <w:r>
                    <w:rPr>
                      <w:rFonts w:hint="default" w:ascii="Times New Roman" w:hAnsi="Times New Roman" w:eastAsia="宋体" w:cs="Times New Roman"/>
                      <w:b/>
                      <w:smallCaps w:val="0"/>
                      <w:snapToGrid w:val="0"/>
                      <w:color w:val="auto"/>
                      <w:spacing w:val="0"/>
                      <w:kern w:val="0"/>
                      <w:position w:val="0"/>
                      <w:sz w:val="21"/>
                      <w:szCs w:val="21"/>
                    </w:rPr>
                    <w:t>本项目情况</w:t>
                  </w:r>
                </w:p>
              </w:tc>
              <w:tc>
                <w:tcPr>
                  <w:tcW w:w="354" w:type="pct"/>
                  <w:tcBorders>
                    <w:tl2br w:val="nil"/>
                    <w:tr2bl w:val="nil"/>
                  </w:tcBorders>
                  <w:noWrap w:val="0"/>
                  <w:vAlign w:val="center"/>
                </w:tcPr>
                <w:p w14:paraId="012DD7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smallCaps w:val="0"/>
                      <w:snapToGrid w:val="0"/>
                      <w:color w:val="auto"/>
                      <w:spacing w:val="0"/>
                      <w:kern w:val="0"/>
                      <w:position w:val="0"/>
                      <w:sz w:val="21"/>
                      <w:szCs w:val="21"/>
                    </w:rPr>
                  </w:pPr>
                  <w:r>
                    <w:rPr>
                      <w:rFonts w:hint="default" w:ascii="Times New Roman" w:hAnsi="Times New Roman" w:eastAsia="宋体" w:cs="Times New Roman"/>
                      <w:b/>
                      <w:smallCaps w:val="0"/>
                      <w:snapToGrid w:val="0"/>
                      <w:color w:val="auto"/>
                      <w:spacing w:val="0"/>
                      <w:kern w:val="0"/>
                      <w:position w:val="0"/>
                      <w:sz w:val="21"/>
                      <w:szCs w:val="21"/>
                    </w:rPr>
                    <w:t>相符性</w:t>
                  </w:r>
                </w:p>
              </w:tc>
            </w:tr>
            <w:tr w14:paraId="2E09E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05953BE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与《省生态环境厅关于报送高耗能、高排放项目清单的通知》（苏环便函[2021]903号）</w:t>
                  </w:r>
                </w:p>
              </w:tc>
              <w:tc>
                <w:tcPr>
                  <w:tcW w:w="2434" w:type="pct"/>
                  <w:tcBorders>
                    <w:tl2br w:val="nil"/>
                    <w:tr2bl w:val="nil"/>
                  </w:tcBorders>
                  <w:noWrap w:val="0"/>
                  <w:vAlign w:val="center"/>
                </w:tcPr>
                <w:p w14:paraId="3F47C55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lang w:eastAsia="zh-CN"/>
                    </w:rPr>
                  </w:pPr>
                  <w:r>
                    <w:rPr>
                      <w:rFonts w:hint="default" w:ascii="Times New Roman" w:hAnsi="Times New Roman" w:eastAsia="宋体" w:cs="Times New Roman"/>
                      <w:smallCaps w:val="0"/>
                      <w:snapToGrid w:val="0"/>
                      <w:color w:val="auto"/>
                      <w:spacing w:val="0"/>
                      <w:kern w:val="0"/>
                      <w:position w:val="0"/>
                      <w:sz w:val="21"/>
                      <w:szCs w:val="21"/>
                    </w:rPr>
                    <w:t>“两高”项目</w:t>
                  </w:r>
                  <w:r>
                    <w:rPr>
                      <w:rFonts w:hint="default" w:ascii="Times New Roman" w:hAnsi="Times New Roman" w:eastAsia="宋体" w:cs="Times New Roman"/>
                      <w:smallCaps w:val="0"/>
                      <w:snapToGrid w:val="0"/>
                      <w:color w:val="auto"/>
                      <w:spacing w:val="0"/>
                      <w:kern w:val="0"/>
                      <w:position w:val="0"/>
                      <w:sz w:val="21"/>
                      <w:szCs w:val="21"/>
                      <w:lang w:eastAsia="zh-CN"/>
                    </w:rPr>
                    <w:t>：煤电、石化、化工、钢铁、有色金属</w:t>
                  </w:r>
                  <w:r>
                    <w:rPr>
                      <w:rFonts w:hint="eastAsia" w:cs="Times New Roman"/>
                      <w:smallCaps w:val="0"/>
                      <w:snapToGrid w:val="0"/>
                      <w:color w:val="auto"/>
                      <w:spacing w:val="0"/>
                      <w:kern w:val="0"/>
                      <w:position w:val="0"/>
                      <w:sz w:val="21"/>
                      <w:szCs w:val="21"/>
                      <w:lang w:eastAsia="zh-CN"/>
                    </w:rPr>
                    <w:t>冶炼</w:t>
                  </w:r>
                  <w:r>
                    <w:rPr>
                      <w:rFonts w:hint="default" w:ascii="Times New Roman" w:hAnsi="Times New Roman" w:eastAsia="宋体" w:cs="Times New Roman"/>
                      <w:smallCaps w:val="0"/>
                      <w:snapToGrid w:val="0"/>
                      <w:color w:val="auto"/>
                      <w:spacing w:val="0"/>
                      <w:kern w:val="0"/>
                      <w:position w:val="0"/>
                      <w:sz w:val="21"/>
                      <w:szCs w:val="21"/>
                      <w:lang w:eastAsia="zh-CN"/>
                    </w:rPr>
                    <w:t>、建材等六个行业</w:t>
                  </w:r>
                </w:p>
              </w:tc>
              <w:tc>
                <w:tcPr>
                  <w:tcW w:w="951" w:type="pct"/>
                  <w:tcBorders>
                    <w:tl2br w:val="nil"/>
                    <w:tr2bl w:val="nil"/>
                  </w:tcBorders>
                  <w:noWrap w:val="0"/>
                  <w:vAlign w:val="center"/>
                </w:tcPr>
                <w:p w14:paraId="5970BF0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snapToGrid w:val="0"/>
                      <w:color w:val="auto"/>
                      <w:spacing w:val="0"/>
                      <w:kern w:val="0"/>
                      <w:position w:val="0"/>
                      <w:sz w:val="21"/>
                      <w:szCs w:val="21"/>
                      <w:lang w:eastAsia="zh-CN"/>
                    </w:rPr>
                  </w:pPr>
                  <w:r>
                    <w:rPr>
                      <w:rFonts w:hint="default" w:ascii="Times New Roman" w:hAnsi="Times New Roman" w:eastAsia="宋体" w:cs="Times New Roman"/>
                      <w:bCs/>
                      <w:smallCaps w:val="0"/>
                      <w:snapToGrid w:val="0"/>
                      <w:color w:val="auto"/>
                      <w:spacing w:val="0"/>
                      <w:kern w:val="0"/>
                      <w:position w:val="0"/>
                      <w:sz w:val="21"/>
                      <w:szCs w:val="21"/>
                    </w:rPr>
                    <w:t>本项目不属于“两高”项目范围内</w:t>
                  </w:r>
                  <w:r>
                    <w:rPr>
                      <w:rFonts w:hint="default" w:ascii="Times New Roman" w:hAnsi="Times New Roman" w:eastAsia="宋体" w:cs="Times New Roman"/>
                      <w:bCs/>
                      <w:smallCaps w:val="0"/>
                      <w:snapToGrid w:val="0"/>
                      <w:color w:val="auto"/>
                      <w:spacing w:val="0"/>
                      <w:kern w:val="0"/>
                      <w:position w:val="0"/>
                      <w:sz w:val="21"/>
                      <w:szCs w:val="21"/>
                      <w:lang w:eastAsia="zh-CN"/>
                    </w:rPr>
                    <w:t>。</w:t>
                  </w:r>
                </w:p>
              </w:tc>
              <w:tc>
                <w:tcPr>
                  <w:tcW w:w="354" w:type="pct"/>
                  <w:tcBorders>
                    <w:tl2br w:val="nil"/>
                    <w:tr2bl w:val="nil"/>
                  </w:tcBorders>
                  <w:noWrap w:val="0"/>
                  <w:vAlign w:val="center"/>
                </w:tcPr>
                <w:p w14:paraId="05263B7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lang w:val="en-US" w:eastAsia="zh-CN"/>
                    </w:rPr>
                  </w:pPr>
                  <w:r>
                    <w:rPr>
                      <w:rFonts w:hint="default" w:ascii="Times New Roman" w:hAnsi="Times New Roman" w:eastAsia="宋体" w:cs="Times New Roman"/>
                      <w:smallCaps w:val="0"/>
                      <w:snapToGrid w:val="0"/>
                      <w:color w:val="auto"/>
                      <w:spacing w:val="0"/>
                      <w:kern w:val="0"/>
                      <w:position w:val="0"/>
                      <w:sz w:val="21"/>
                      <w:szCs w:val="21"/>
                      <w:lang w:val="en-US" w:eastAsia="zh-CN"/>
                    </w:rPr>
                    <w:t>相符</w:t>
                  </w:r>
                </w:p>
              </w:tc>
            </w:tr>
            <w:tr w14:paraId="642A0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178EBC1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《常州市生态环境局关于建设项目审批指导意见（试行）》</w:t>
                  </w:r>
                </w:p>
              </w:tc>
              <w:tc>
                <w:tcPr>
                  <w:tcW w:w="2434" w:type="pct"/>
                  <w:tcBorders>
                    <w:tl2br w:val="nil"/>
                    <w:tr2bl w:val="nil"/>
                  </w:tcBorders>
                  <w:noWrap w:val="0"/>
                  <w:vAlign w:val="center"/>
                </w:tcPr>
                <w:p w14:paraId="7A53A6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lang w:eastAsia="zh-CN"/>
                    </w:rPr>
                  </w:pPr>
                  <w:r>
                    <w:rPr>
                      <w:rFonts w:hint="default" w:ascii="Times New Roman" w:hAnsi="Times New Roman" w:eastAsia="宋体" w:cs="Times New Roman"/>
                      <w:smallCaps w:val="0"/>
                      <w:snapToGrid w:val="0"/>
                      <w:color w:val="auto"/>
                      <w:spacing w:val="0"/>
                      <w:kern w:val="0"/>
                      <w:position w:val="0"/>
                      <w:sz w:val="21"/>
                      <w:szCs w:val="21"/>
                    </w:rPr>
                    <w:t>严格项目总量</w:t>
                  </w:r>
                  <w:r>
                    <w:rPr>
                      <w:rFonts w:hint="default" w:ascii="Times New Roman" w:hAnsi="Times New Roman" w:eastAsia="宋体" w:cs="Times New Roman"/>
                      <w:smallCaps w:val="0"/>
                      <w:snapToGrid w:val="0"/>
                      <w:color w:val="auto"/>
                      <w:spacing w:val="0"/>
                      <w:kern w:val="0"/>
                      <w:position w:val="0"/>
                      <w:sz w:val="21"/>
                      <w:szCs w:val="21"/>
                      <w:lang w:eastAsia="zh-CN"/>
                    </w:rPr>
                    <w:t>：实施建设项目大气污染物总量负增长原则，即重点区域内建设项目使用大气污染物总量，原则上在重点区域范围内实施总量平衡，且必须实行总量2倍减量替代；强化环评审批：对重点区域新上的大气污染物排放的建设项目及全巿范围内新上高能耗项目，审批部门对其环评文本应实施质量评估。推进减污降碳：对重点区域内新上的涉及大气污染物排放的建设项目及全巿范围内新上高能耗建设项目的严格审批，区级审批部门事批前需向巿生态环境局报备，审批部门方可出具审批文件。</w:t>
                  </w:r>
                </w:p>
              </w:tc>
              <w:tc>
                <w:tcPr>
                  <w:tcW w:w="951" w:type="pct"/>
                  <w:tcBorders>
                    <w:tl2br w:val="nil"/>
                    <w:tr2bl w:val="nil"/>
                  </w:tcBorders>
                  <w:noWrap w:val="0"/>
                  <w:vAlign w:val="center"/>
                </w:tcPr>
                <w:p w14:paraId="02CF359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snapToGrid w:val="0"/>
                      <w:color w:val="auto"/>
                      <w:spacing w:val="0"/>
                      <w:kern w:val="0"/>
                      <w:position w:val="0"/>
                      <w:sz w:val="21"/>
                      <w:szCs w:val="21"/>
                      <w:lang w:eastAsia="zh-CN"/>
                    </w:rPr>
                  </w:pPr>
                  <w:r>
                    <w:rPr>
                      <w:rFonts w:hint="default" w:ascii="Times New Roman" w:hAnsi="Times New Roman" w:eastAsia="宋体" w:cs="Times New Roman"/>
                      <w:bCs/>
                      <w:smallCaps w:val="0"/>
                      <w:snapToGrid w:val="0"/>
                      <w:color w:val="auto"/>
                      <w:spacing w:val="0"/>
                      <w:kern w:val="0"/>
                      <w:position w:val="0"/>
                      <w:sz w:val="21"/>
                      <w:szCs w:val="21"/>
                    </w:rPr>
                    <w:t>本项目在环境影响评价文件审批前，取得主要污染物排放总量指标</w:t>
                  </w:r>
                  <w:bookmarkStart w:id="1" w:name="OLE_LINK1"/>
                  <w:r>
                    <w:rPr>
                      <w:rFonts w:hint="default" w:ascii="Times New Roman" w:hAnsi="Times New Roman" w:eastAsia="宋体" w:cs="Times New Roman"/>
                      <w:bCs/>
                      <w:smallCaps w:val="0"/>
                      <w:snapToGrid w:val="0"/>
                      <w:color w:val="auto"/>
                      <w:spacing w:val="0"/>
                      <w:kern w:val="0"/>
                      <w:position w:val="0"/>
                      <w:sz w:val="21"/>
                      <w:szCs w:val="21"/>
                      <w:lang w:eastAsia="zh-CN"/>
                    </w:rPr>
                    <w:t>；</w:t>
                  </w:r>
                  <w:bookmarkEnd w:id="1"/>
                  <w:r>
                    <w:rPr>
                      <w:rFonts w:hint="default" w:ascii="Times New Roman" w:hAnsi="Times New Roman" w:eastAsia="宋体" w:cs="Times New Roman"/>
                      <w:bCs/>
                      <w:smallCaps w:val="0"/>
                      <w:snapToGrid w:val="0"/>
                      <w:color w:val="auto"/>
                      <w:spacing w:val="0"/>
                      <w:kern w:val="0"/>
                      <w:position w:val="0"/>
                      <w:sz w:val="21"/>
                      <w:szCs w:val="21"/>
                      <w:lang w:eastAsia="zh-CN"/>
                    </w:rPr>
                    <w:t>本项目距最近的大气质量国控站点金坛监测站省控站点的距离为6.3km，本项目不属于高耗能项目，</w:t>
                  </w:r>
                  <w:r>
                    <w:rPr>
                      <w:rFonts w:hint="default" w:ascii="Times New Roman" w:hAnsi="Times New Roman" w:eastAsia="宋体" w:cs="Times New Roman"/>
                      <w:bCs/>
                      <w:smallCaps w:val="0"/>
                      <w:color w:val="auto"/>
                      <w:spacing w:val="0"/>
                      <w:kern w:val="0"/>
                      <w:position w:val="0"/>
                      <w:sz w:val="21"/>
                      <w:szCs w:val="21"/>
                      <w:lang w:val="en-US" w:eastAsia="zh-CN"/>
                    </w:rPr>
                    <w:t>本项目废气主要为印刷废气、切割废气和焊接废气，其中UV油墨使用量极小，产生的非甲烷总烃量</w:t>
                  </w:r>
                  <w:r>
                    <w:rPr>
                      <w:rFonts w:hint="eastAsia" w:cs="Times New Roman"/>
                      <w:bCs/>
                      <w:smallCaps w:val="0"/>
                      <w:color w:val="auto"/>
                      <w:spacing w:val="0"/>
                      <w:kern w:val="0"/>
                      <w:position w:val="0"/>
                      <w:sz w:val="21"/>
                      <w:szCs w:val="21"/>
                      <w:lang w:val="en-US" w:eastAsia="zh-CN"/>
                    </w:rPr>
                    <w:t>极少</w:t>
                  </w:r>
                  <w:r>
                    <w:rPr>
                      <w:rFonts w:hint="default" w:ascii="Times New Roman" w:hAnsi="Times New Roman" w:eastAsia="宋体" w:cs="Times New Roman"/>
                      <w:bCs/>
                      <w:smallCaps w:val="0"/>
                      <w:color w:val="auto"/>
                      <w:spacing w:val="0"/>
                      <w:kern w:val="0"/>
                      <w:position w:val="0"/>
                      <w:sz w:val="21"/>
                      <w:szCs w:val="21"/>
                      <w:lang w:val="en-US" w:eastAsia="zh-CN"/>
                    </w:rPr>
                    <w:t>，不进行定量分析，切割废气</w:t>
                  </w:r>
                  <w:r>
                    <w:rPr>
                      <w:rFonts w:hint="eastAsia" w:cs="Times New Roman"/>
                      <w:bCs/>
                      <w:smallCaps w:val="0"/>
                      <w:color w:val="auto"/>
                      <w:spacing w:val="0"/>
                      <w:kern w:val="0"/>
                      <w:position w:val="0"/>
                      <w:sz w:val="21"/>
                      <w:szCs w:val="21"/>
                      <w:lang w:val="en-US" w:eastAsia="zh-CN"/>
                    </w:rPr>
                    <w:t>经除尘器处理后</w:t>
                  </w:r>
                  <w:r>
                    <w:rPr>
                      <w:rFonts w:hint="default" w:ascii="Times New Roman" w:hAnsi="Times New Roman" w:eastAsia="宋体" w:cs="Times New Roman"/>
                      <w:bCs/>
                      <w:smallCaps w:val="0"/>
                      <w:color w:val="auto"/>
                      <w:spacing w:val="0"/>
                      <w:kern w:val="0"/>
                      <w:position w:val="0"/>
                      <w:sz w:val="21"/>
                      <w:szCs w:val="21"/>
                      <w:lang w:val="en-US" w:eastAsia="zh-CN"/>
                    </w:rPr>
                    <w:t>，在车间内无组织排放，焊接烟尘经移动式焊接烟尘净化器处理，在车间内无组织排放，对周围环境影响较小；本项目无生产废水排放，主要废水为生活污水，接入金坛第二污水处理厂集中处理，污染物总量在污水处理厂内平衡</w:t>
                  </w:r>
                  <w:r>
                    <w:rPr>
                      <w:rFonts w:hint="default" w:ascii="Times New Roman" w:hAnsi="Times New Roman" w:eastAsia="宋体" w:cs="Times New Roman"/>
                      <w:bCs/>
                      <w:smallCaps w:val="0"/>
                      <w:snapToGrid w:val="0"/>
                      <w:color w:val="auto"/>
                      <w:spacing w:val="0"/>
                      <w:kern w:val="0"/>
                      <w:position w:val="0"/>
                      <w:sz w:val="21"/>
                      <w:szCs w:val="21"/>
                      <w:lang w:eastAsia="zh-CN"/>
                    </w:rPr>
                    <w:t>。</w:t>
                  </w:r>
                </w:p>
              </w:tc>
              <w:tc>
                <w:tcPr>
                  <w:tcW w:w="354" w:type="pct"/>
                  <w:tcBorders>
                    <w:tl2br w:val="nil"/>
                    <w:tr2bl w:val="nil"/>
                  </w:tcBorders>
                  <w:noWrap w:val="0"/>
                  <w:vAlign w:val="center"/>
                </w:tcPr>
                <w:p w14:paraId="38E427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lang w:val="en-US" w:eastAsia="zh-CN"/>
                    </w:rPr>
                  </w:pPr>
                  <w:r>
                    <w:rPr>
                      <w:rFonts w:hint="default" w:ascii="Times New Roman" w:hAnsi="Times New Roman" w:eastAsia="宋体" w:cs="Times New Roman"/>
                      <w:smallCaps w:val="0"/>
                      <w:snapToGrid w:val="0"/>
                      <w:color w:val="auto"/>
                      <w:spacing w:val="0"/>
                      <w:kern w:val="0"/>
                      <w:position w:val="0"/>
                      <w:sz w:val="21"/>
                      <w:szCs w:val="21"/>
                      <w:lang w:val="en-US" w:eastAsia="zh-CN"/>
                    </w:rPr>
                    <w:t>相符</w:t>
                  </w:r>
                </w:p>
              </w:tc>
            </w:tr>
            <w:tr w14:paraId="78E4C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38C1E7B0">
                  <w:pPr>
                    <w:widowControl/>
                    <w:jc w:val="center"/>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《江苏省太湖水污染防治条例》（2021年修订）</w:t>
                  </w:r>
                </w:p>
              </w:tc>
              <w:tc>
                <w:tcPr>
                  <w:tcW w:w="2434" w:type="pct"/>
                  <w:tcBorders>
                    <w:tl2br w:val="nil"/>
                    <w:tr2bl w:val="nil"/>
                  </w:tcBorders>
                  <w:noWrap w:val="0"/>
                  <w:vAlign w:val="center"/>
                </w:tcPr>
                <w:p w14:paraId="3EC289B3">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第四十三条太湖流域一、二、三级保护区禁止下列行为：</w:t>
                  </w:r>
                </w:p>
                <w:p w14:paraId="6707E4EC">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①新建、改建、扩建化学制浆造纸、制革、酿造、染料、印染、电镀以及其他排放含磷、氮等污染物的企业和项目，城镇污水集中处理等环境基础设施项目和第四十六条规定的情形除外；</w:t>
                  </w:r>
                </w:p>
                <w:p w14:paraId="13B9C1D9">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②销售、使用含磷洗涤用品；</w:t>
                  </w:r>
                </w:p>
                <w:p w14:paraId="0817855D">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③向水体排放或者倾倒油类、酸液、碱液、剧毒废渣废液、含放射性废渣废液、含病原体污水、工业废渣以及其他废弃物；</w:t>
                  </w:r>
                </w:p>
                <w:p w14:paraId="0EA962EA">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④在水体清洗装贮过油类或者有毒有害污染物的车辆、船舶和容器等；</w:t>
                  </w:r>
                </w:p>
                <w:p w14:paraId="50E73745">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⑤使用农药等有毒物毒杀水生生物；</w:t>
                  </w:r>
                </w:p>
                <w:p w14:paraId="6CE22BA7">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⑥向水体直接排放人畜粪便、倾倒垃圾；</w:t>
                  </w:r>
                </w:p>
                <w:p w14:paraId="12E5C439">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⑦围湖造地；</w:t>
                  </w:r>
                </w:p>
                <w:p w14:paraId="2DDBE2D2">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⑧违法开山采石，或者进行破坏林木、植被、水生生物的活动；</w:t>
                  </w:r>
                </w:p>
                <w:p w14:paraId="67F9A83D">
                  <w:pPr>
                    <w:widowControl/>
                    <w:jc w:val="left"/>
                    <w:rPr>
                      <w:rFonts w:hint="default" w:ascii="Times New Roman" w:hAnsi="Times New Roman" w:eastAsia="宋体" w:cs="Times New Roman"/>
                      <w:color w:val="auto"/>
                    </w:rPr>
                  </w:pPr>
                  <w:r>
                    <w:rPr>
                      <w:rFonts w:hint="default" w:ascii="Times New Roman" w:hAnsi="Times New Roman" w:eastAsia="宋体" w:cs="Times New Roman"/>
                      <w:color w:val="auto"/>
                    </w:rPr>
                    <w:t>⑨法律、法规禁止的其他行为。</w:t>
                  </w:r>
                </w:p>
                <w:p w14:paraId="21A7E902">
                  <w:pPr>
                    <w:widowControl/>
                    <w:jc w:val="left"/>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color w:val="auto"/>
                    </w:rPr>
                    <w:t>第四十六条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p>
              </w:tc>
              <w:tc>
                <w:tcPr>
                  <w:tcW w:w="951" w:type="pct"/>
                  <w:tcBorders>
                    <w:tl2br w:val="nil"/>
                    <w:tr2bl w:val="nil"/>
                  </w:tcBorders>
                  <w:noWrap w:val="0"/>
                  <w:vAlign w:val="center"/>
                </w:tcPr>
                <w:p w14:paraId="068FB6E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lang w:eastAsia="zh-CN"/>
                    </w:rPr>
                  </w:pPr>
                  <w:r>
                    <w:rPr>
                      <w:rFonts w:hint="default" w:ascii="Times New Roman" w:hAnsi="Times New Roman" w:eastAsia="宋体" w:cs="Times New Roman"/>
                      <w:bCs/>
                      <w:smallCaps w:val="0"/>
                      <w:snapToGrid w:val="0"/>
                      <w:color w:val="auto"/>
                      <w:spacing w:val="0"/>
                      <w:kern w:val="0"/>
                      <w:position w:val="0"/>
                      <w:sz w:val="21"/>
                      <w:szCs w:val="21"/>
                    </w:rPr>
                    <w:t>本项目位于太湖流域三级保护区内，为</w:t>
                  </w:r>
                  <w:r>
                    <w:rPr>
                      <w:rFonts w:hint="default" w:ascii="Times New Roman" w:hAnsi="Times New Roman" w:eastAsia="宋体" w:cs="Times New Roman"/>
                      <w:smallCaps w:val="0"/>
                      <w:snapToGrid w:val="0"/>
                      <w:color w:val="auto"/>
                      <w:spacing w:val="0"/>
                      <w:kern w:val="0"/>
                      <w:position w:val="0"/>
                      <w:sz w:val="21"/>
                      <w:szCs w:val="21"/>
                      <w:lang w:eastAsia="zh-CN"/>
                    </w:rPr>
                    <w:t>新建年产2万套信报箱生产项目</w:t>
                  </w:r>
                  <w:r>
                    <w:rPr>
                      <w:rFonts w:hint="default" w:ascii="Times New Roman" w:hAnsi="Times New Roman" w:eastAsia="宋体" w:cs="Times New Roman"/>
                      <w:bCs/>
                      <w:smallCaps w:val="0"/>
                      <w:snapToGrid w:val="0"/>
                      <w:color w:val="auto"/>
                      <w:spacing w:val="0"/>
                      <w:kern w:val="0"/>
                      <w:position w:val="0"/>
                      <w:sz w:val="21"/>
                      <w:szCs w:val="21"/>
                    </w:rPr>
                    <w:t>，不在上述限制和禁止行业范围内；</w:t>
                  </w:r>
                  <w:r>
                    <w:rPr>
                      <w:rFonts w:hint="default" w:ascii="Times New Roman" w:hAnsi="Times New Roman" w:eastAsia="宋体" w:cs="Times New Roman"/>
                      <w:color w:val="auto"/>
                      <w:spacing w:val="0"/>
                      <w:kern w:val="0"/>
                      <w:sz w:val="21"/>
                      <w:szCs w:val="21"/>
                      <w:lang w:val="en-US" w:eastAsia="zh-CN"/>
                    </w:rPr>
                    <w:t>本项目废水主要为</w:t>
                  </w:r>
                  <w:r>
                    <w:rPr>
                      <w:rFonts w:hint="default" w:ascii="Times New Roman" w:hAnsi="Times New Roman" w:eastAsia="宋体" w:cs="Times New Roman"/>
                      <w:snapToGrid w:val="0"/>
                      <w:color w:val="auto"/>
                      <w:spacing w:val="0"/>
                      <w:kern w:val="0"/>
                      <w:lang w:val="en-US" w:eastAsia="zh-CN"/>
                    </w:rPr>
                    <w:t>生活污水，接入金坛第二污水处理厂集中处理</w:t>
                  </w:r>
                  <w:r>
                    <w:rPr>
                      <w:rFonts w:hint="default" w:ascii="Times New Roman" w:hAnsi="Times New Roman" w:eastAsia="宋体" w:cs="Times New Roman"/>
                      <w:bCs/>
                      <w:smallCaps w:val="0"/>
                      <w:snapToGrid w:val="0"/>
                      <w:color w:val="auto"/>
                      <w:spacing w:val="0"/>
                      <w:kern w:val="0"/>
                      <w:position w:val="0"/>
                      <w:sz w:val="21"/>
                      <w:szCs w:val="21"/>
                    </w:rPr>
                    <w:t>；各类固废合理处置，不外排。且本项目不涉及第二十九条、三十条中禁止的行为，因此符合上述文件的要求，因此符合上述文件的要求</w:t>
                  </w:r>
                  <w:r>
                    <w:rPr>
                      <w:rFonts w:hint="default" w:ascii="Times New Roman" w:hAnsi="Times New Roman" w:eastAsia="宋体" w:cs="Times New Roman"/>
                      <w:bCs/>
                      <w:smallCaps w:val="0"/>
                      <w:snapToGrid w:val="0"/>
                      <w:color w:val="auto"/>
                      <w:spacing w:val="0"/>
                      <w:kern w:val="0"/>
                      <w:position w:val="0"/>
                      <w:sz w:val="21"/>
                      <w:szCs w:val="21"/>
                      <w:lang w:eastAsia="zh-CN"/>
                    </w:rPr>
                    <w:t>。</w:t>
                  </w:r>
                </w:p>
              </w:tc>
              <w:tc>
                <w:tcPr>
                  <w:tcW w:w="354" w:type="pct"/>
                  <w:tcBorders>
                    <w:tl2br w:val="nil"/>
                    <w:tr2bl w:val="nil"/>
                  </w:tcBorders>
                  <w:noWrap w:val="0"/>
                  <w:vAlign w:val="center"/>
                </w:tcPr>
                <w:p w14:paraId="5AF9FE5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相符</w:t>
                  </w:r>
                </w:p>
              </w:tc>
            </w:tr>
            <w:tr w14:paraId="053AF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74F62CC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《建设项目环境保护管理条例》</w:t>
                  </w:r>
                </w:p>
              </w:tc>
              <w:tc>
                <w:tcPr>
                  <w:tcW w:w="2434" w:type="pct"/>
                  <w:tcBorders>
                    <w:tl2br w:val="nil"/>
                    <w:tr2bl w:val="nil"/>
                  </w:tcBorders>
                  <w:noWrap w:val="0"/>
                  <w:vAlign w:val="center"/>
                </w:tcPr>
                <w:p w14:paraId="4225DD1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第十一条建设项目有下列情形之一的，环境保护行政主管部门应当对环境影响报告书、环境影响报告表作出不予批准的决定：（一）建设项目类型及其选址、布局、规模等不符合环境保护法律法规和相关法定规划；（二）所在区域环境质量未达到国家或者地方环境质量标准，且建设项目拟采取的措施不能满足区域环境质量改善目标管理要求；（三）建设项目采取的污染防治措施无法确保污染物排放达到国家和地方排放标准，或者未采取必要措施预防和控制生态破坏；（四）改建、扩建和技术改造项目，未针对项目原有环境污染和生态破坏提出有效防治措施；（五）建设项目的环境影响报告书、环境影响报告表的基础资料数据明显不实，内容存在重大缺陷、遗漏，或者环境影响评价结论不明确、不合理。</w:t>
                  </w:r>
                </w:p>
              </w:tc>
              <w:tc>
                <w:tcPr>
                  <w:tcW w:w="951" w:type="pct"/>
                  <w:tcBorders>
                    <w:tl2br w:val="nil"/>
                    <w:tr2bl w:val="nil"/>
                  </w:tcBorders>
                  <w:noWrap w:val="0"/>
                  <w:vAlign w:val="center"/>
                </w:tcPr>
                <w:p w14:paraId="18E2C53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lang w:val="en-US" w:eastAsia="zh-CN"/>
                    </w:rPr>
                  </w:pPr>
                  <w:r>
                    <w:rPr>
                      <w:rFonts w:hint="default" w:ascii="Times New Roman" w:hAnsi="Times New Roman" w:eastAsia="宋体" w:cs="Times New Roman"/>
                      <w:smallCaps w:val="0"/>
                      <w:snapToGrid w:val="0"/>
                      <w:color w:val="auto"/>
                      <w:spacing w:val="0"/>
                      <w:kern w:val="0"/>
                      <w:position w:val="0"/>
                      <w:sz w:val="21"/>
                      <w:szCs w:val="21"/>
                    </w:rPr>
                    <w:t>本项目不属于《建设项目环境保护管理条例》中第十一条中规定的“不予批准”条款之列</w:t>
                  </w:r>
                  <w:r>
                    <w:rPr>
                      <w:rFonts w:hint="default" w:ascii="Times New Roman" w:hAnsi="Times New Roman" w:eastAsia="宋体" w:cs="Times New Roman"/>
                      <w:smallCaps w:val="0"/>
                      <w:snapToGrid w:val="0"/>
                      <w:color w:val="auto"/>
                      <w:spacing w:val="0"/>
                      <w:kern w:val="0"/>
                      <w:position w:val="0"/>
                      <w:sz w:val="21"/>
                      <w:szCs w:val="21"/>
                      <w:lang w:eastAsia="zh-CN"/>
                    </w:rPr>
                    <w:t>。</w:t>
                  </w:r>
                </w:p>
              </w:tc>
              <w:tc>
                <w:tcPr>
                  <w:tcW w:w="354" w:type="pct"/>
                  <w:tcBorders>
                    <w:tl2br w:val="nil"/>
                    <w:tr2bl w:val="nil"/>
                  </w:tcBorders>
                  <w:noWrap w:val="0"/>
                  <w:vAlign w:val="center"/>
                </w:tcPr>
                <w:p w14:paraId="1506514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相符</w:t>
                  </w:r>
                </w:p>
              </w:tc>
            </w:tr>
            <w:tr w14:paraId="2DB34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24FB1C7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《省生态环境厅关于进一步做好建设项目环评审批工作的通知》</w:t>
                  </w:r>
                </w:p>
                <w:p w14:paraId="6788B4C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（苏环办【2019】36号）</w:t>
                  </w:r>
                </w:p>
              </w:tc>
              <w:tc>
                <w:tcPr>
                  <w:tcW w:w="2434" w:type="pct"/>
                  <w:tcBorders>
                    <w:tl2br w:val="nil"/>
                    <w:tr2bl w:val="nil"/>
                  </w:tcBorders>
                  <w:noWrap w:val="0"/>
                  <w:vAlign w:val="center"/>
                </w:tcPr>
                <w:p w14:paraId="1A1C074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根据《省生态环境厅关于进一步做好建设项目环评审批工作的通知》（苏环办【2019】36号）中明确了严格环境准入，落实“五个不批”和“三挂钩”、国家和省生态红线管控要求、污染防治攻坚战意见等法律法规或相关文件要求；并根据《建设项目环评审批要点》等文件列出了“建设项目环评审批要点”。</w:t>
                  </w:r>
                </w:p>
              </w:tc>
              <w:tc>
                <w:tcPr>
                  <w:tcW w:w="951" w:type="pct"/>
                  <w:tcBorders>
                    <w:tl2br w:val="nil"/>
                    <w:tr2bl w:val="nil"/>
                  </w:tcBorders>
                  <w:noWrap w:val="0"/>
                  <w:vAlign w:val="center"/>
                </w:tcPr>
                <w:p w14:paraId="673473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本项目不属于上述条款之列。</w:t>
                  </w:r>
                </w:p>
              </w:tc>
              <w:tc>
                <w:tcPr>
                  <w:tcW w:w="354" w:type="pct"/>
                  <w:tcBorders>
                    <w:tl2br w:val="nil"/>
                    <w:tr2bl w:val="nil"/>
                  </w:tcBorders>
                  <w:noWrap w:val="0"/>
                  <w:vAlign w:val="center"/>
                </w:tcPr>
                <w:p w14:paraId="136F69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相符</w:t>
                  </w:r>
                </w:p>
              </w:tc>
            </w:tr>
            <w:tr w14:paraId="7A510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546A80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《省生态环境厅关于进一步加强建设项目环评审批和服务工作的指导意见》（苏环办〔2020〕225号）</w:t>
                  </w:r>
                </w:p>
              </w:tc>
              <w:tc>
                <w:tcPr>
                  <w:tcW w:w="2434" w:type="pct"/>
                  <w:tcBorders>
                    <w:tl2br w:val="nil"/>
                    <w:tr2bl w:val="nil"/>
                  </w:tcBorders>
                  <w:noWrap w:val="0"/>
                  <w:vAlign w:val="center"/>
                </w:tcPr>
                <w:p w14:paraId="486A1A7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建设项目所在区域环境质量未达到国家或地方环境质量标准，且项目拟采取的污染防治措施不能满足区域环境质量改善目标管理要求的，一律不得审批。严格执行《江苏省长江经济带发展负面清单实施细则（试行）》，禁止在合规园区外新建、扩建钢铁、石化、化工、焦化、建材、有色等行业中的高污染项目。禁止新建燃煤自备电厂。</w:t>
                  </w:r>
                </w:p>
              </w:tc>
              <w:tc>
                <w:tcPr>
                  <w:tcW w:w="951" w:type="pct"/>
                  <w:tcBorders>
                    <w:tl2br w:val="nil"/>
                    <w:tr2bl w:val="nil"/>
                  </w:tcBorders>
                  <w:noWrap w:val="0"/>
                  <w:vAlign w:val="center"/>
                </w:tcPr>
                <w:p w14:paraId="278661D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本项目位于</w:t>
                  </w:r>
                  <w:r>
                    <w:rPr>
                      <w:rFonts w:hint="default" w:ascii="Times New Roman" w:hAnsi="Times New Roman" w:eastAsia="宋体" w:cs="Times New Roman"/>
                      <w:bCs/>
                      <w:smallCaps w:val="0"/>
                      <w:snapToGrid w:val="0"/>
                      <w:color w:val="auto"/>
                      <w:spacing w:val="0"/>
                      <w:kern w:val="0"/>
                      <w:position w:val="0"/>
                      <w:sz w:val="21"/>
                      <w:szCs w:val="21"/>
                      <w:lang w:eastAsia="zh-CN"/>
                    </w:rPr>
                    <w:t>江苏省金坛经济开发区汇福路8号</w:t>
                  </w:r>
                  <w:r>
                    <w:rPr>
                      <w:rFonts w:hint="default" w:ascii="Times New Roman" w:hAnsi="Times New Roman" w:eastAsia="宋体" w:cs="Times New Roman"/>
                      <w:bCs/>
                      <w:smallCaps w:val="0"/>
                      <w:snapToGrid w:val="0"/>
                      <w:color w:val="auto"/>
                      <w:spacing w:val="0"/>
                      <w:kern w:val="0"/>
                      <w:position w:val="0"/>
                      <w:sz w:val="21"/>
                      <w:szCs w:val="21"/>
                    </w:rPr>
                    <w:t>，</w:t>
                  </w:r>
                  <w:r>
                    <w:rPr>
                      <w:rFonts w:hint="default" w:ascii="Times New Roman" w:hAnsi="Times New Roman" w:eastAsia="宋体" w:cs="Times New Roman"/>
                      <w:bCs/>
                      <w:smallCaps w:val="0"/>
                      <w:snapToGrid w:val="0"/>
                      <w:color w:val="auto"/>
                      <w:spacing w:val="0"/>
                      <w:kern w:val="0"/>
                      <w:position w:val="0"/>
                      <w:sz w:val="21"/>
                      <w:szCs w:val="21"/>
                      <w:lang w:val="en-US" w:eastAsia="zh-CN"/>
                    </w:rPr>
                    <w:t>属于新建年产2万套信报箱生产项目，</w:t>
                  </w:r>
                  <w:r>
                    <w:rPr>
                      <w:rFonts w:hint="default" w:ascii="Times New Roman" w:hAnsi="Times New Roman" w:eastAsia="宋体" w:cs="Times New Roman"/>
                      <w:bCs/>
                      <w:smallCaps w:val="0"/>
                      <w:snapToGrid w:val="0"/>
                      <w:color w:val="auto"/>
                      <w:spacing w:val="0"/>
                      <w:kern w:val="0"/>
                      <w:position w:val="0"/>
                      <w:sz w:val="21"/>
                      <w:szCs w:val="21"/>
                    </w:rPr>
                    <w:t>从事邮政专用机械及器材制造。根据现状监测数据，区域环境质量达到地方环境质量标准。同时，</w:t>
                  </w:r>
                  <w:r>
                    <w:rPr>
                      <w:rFonts w:hint="default" w:ascii="Times New Roman" w:hAnsi="Times New Roman" w:eastAsia="宋体" w:cs="Times New Roman"/>
                      <w:color w:val="auto"/>
                      <w:spacing w:val="0"/>
                      <w:kern w:val="0"/>
                      <w:sz w:val="21"/>
                      <w:szCs w:val="21"/>
                      <w:lang w:val="en-US" w:eastAsia="zh-CN"/>
                    </w:rPr>
                    <w:t>本项目废水主要为</w:t>
                  </w:r>
                  <w:r>
                    <w:rPr>
                      <w:rFonts w:hint="default" w:ascii="Times New Roman" w:hAnsi="Times New Roman" w:eastAsia="宋体" w:cs="Times New Roman"/>
                      <w:snapToGrid w:val="0"/>
                      <w:color w:val="auto"/>
                      <w:spacing w:val="0"/>
                      <w:kern w:val="0"/>
                      <w:lang w:val="en-US" w:eastAsia="zh-CN"/>
                    </w:rPr>
                    <w:t>生活污水，接入金坛第二污水处理厂集中处理</w:t>
                  </w:r>
                  <w:r>
                    <w:rPr>
                      <w:rFonts w:hint="default" w:ascii="Times New Roman" w:hAnsi="Times New Roman" w:eastAsia="宋体" w:cs="Times New Roman"/>
                      <w:bCs/>
                      <w:smallCaps w:val="0"/>
                      <w:snapToGrid w:val="0"/>
                      <w:color w:val="auto"/>
                      <w:spacing w:val="0"/>
                      <w:kern w:val="0"/>
                      <w:position w:val="0"/>
                      <w:sz w:val="21"/>
                      <w:szCs w:val="21"/>
                    </w:rPr>
                    <w:t>；生产过程中产生的废气均经处理后排放，各类固废均得到合理有效处置，不外排。与《省生态环境厅关于进一步加强建设项目环评审批和服务工作的指导意见》（苏环办【2020】225号）相符。</w:t>
                  </w:r>
                </w:p>
              </w:tc>
              <w:tc>
                <w:tcPr>
                  <w:tcW w:w="354" w:type="pct"/>
                  <w:tcBorders>
                    <w:tl2br w:val="nil"/>
                    <w:tr2bl w:val="nil"/>
                  </w:tcBorders>
                  <w:noWrap w:val="0"/>
                  <w:vAlign w:val="center"/>
                </w:tcPr>
                <w:p w14:paraId="0BE6FC2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相符</w:t>
                  </w:r>
                </w:p>
              </w:tc>
            </w:tr>
            <w:tr w14:paraId="414A7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2C1FBD1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《关于切实加强产业园区规划环境影响评价工作的通知》（苏环办【2017】140号）</w:t>
                  </w:r>
                </w:p>
              </w:tc>
              <w:tc>
                <w:tcPr>
                  <w:tcW w:w="2434" w:type="pct"/>
                  <w:tcBorders>
                    <w:tl2br w:val="nil"/>
                    <w:tr2bl w:val="nil"/>
                  </w:tcBorders>
                  <w:noWrap w:val="0"/>
                  <w:vAlign w:val="center"/>
                </w:tcPr>
                <w:p w14:paraId="0FEB12B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951" w:type="pct"/>
                  <w:tcBorders>
                    <w:tl2br w:val="nil"/>
                    <w:tr2bl w:val="nil"/>
                  </w:tcBorders>
                  <w:noWrap w:val="0"/>
                  <w:vAlign w:val="center"/>
                </w:tcPr>
                <w:p w14:paraId="7E9BEA36">
                  <w:pPr>
                    <w:pStyle w:val="29"/>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Cs/>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项目位于</w:t>
                  </w:r>
                  <w:r>
                    <w:rPr>
                      <w:rFonts w:hint="default" w:ascii="Times New Roman" w:hAnsi="Times New Roman" w:eastAsia="宋体" w:cs="Times New Roman"/>
                      <w:bCs/>
                      <w:smallCaps w:val="0"/>
                      <w:snapToGrid w:val="0"/>
                      <w:color w:val="auto"/>
                      <w:spacing w:val="0"/>
                      <w:kern w:val="0"/>
                      <w:position w:val="0"/>
                      <w:sz w:val="21"/>
                      <w:szCs w:val="21"/>
                      <w:lang w:eastAsia="zh-CN"/>
                    </w:rPr>
                    <w:t>江苏省金坛经济开发区汇福路8号</w:t>
                  </w:r>
                  <w:r>
                    <w:rPr>
                      <w:rFonts w:hint="default" w:ascii="Times New Roman" w:hAnsi="Times New Roman" w:eastAsia="宋体" w:cs="Times New Roman"/>
                      <w:bCs/>
                      <w:smallCaps w:val="0"/>
                      <w:snapToGrid w:val="0"/>
                      <w:color w:val="auto"/>
                      <w:spacing w:val="0"/>
                      <w:kern w:val="0"/>
                      <w:position w:val="0"/>
                      <w:sz w:val="21"/>
                      <w:szCs w:val="21"/>
                      <w:lang w:val="en-US" w:eastAsia="zh-CN"/>
                    </w:rPr>
                    <w:t>，对照《省政府关于印发江苏省“三线一单”生态环境分区管控方案的通知》（苏政发〔2020〕49号），本项目符合相关管控要求。</w:t>
                  </w:r>
                  <w:r>
                    <w:rPr>
                      <w:rFonts w:hint="default" w:ascii="Times New Roman" w:hAnsi="Times New Roman" w:eastAsia="宋体" w:cs="Times New Roman"/>
                      <w:smallCaps w:val="0"/>
                      <w:color w:val="auto"/>
                      <w:spacing w:val="0"/>
                      <w:kern w:val="0"/>
                      <w:position w:val="0"/>
                      <w:sz w:val="21"/>
                      <w:szCs w:val="21"/>
                    </w:rPr>
                    <w:t>项目位于</w:t>
                  </w:r>
                  <w:r>
                    <w:rPr>
                      <w:rFonts w:hint="default" w:ascii="Times New Roman" w:hAnsi="Times New Roman" w:eastAsia="宋体" w:cs="Times New Roman"/>
                      <w:smallCaps w:val="0"/>
                      <w:color w:val="auto"/>
                      <w:spacing w:val="0"/>
                      <w:kern w:val="0"/>
                      <w:position w:val="0"/>
                      <w:sz w:val="21"/>
                      <w:szCs w:val="21"/>
                      <w:lang w:eastAsia="zh-CN"/>
                    </w:rPr>
                    <w:t>江苏省金坛经济开发区汇福路8号</w:t>
                  </w:r>
                  <w:r>
                    <w:rPr>
                      <w:rFonts w:hint="default" w:ascii="Times New Roman" w:hAnsi="Times New Roman" w:eastAsia="宋体" w:cs="Times New Roman"/>
                      <w:smallCaps w:val="0"/>
                      <w:color w:val="auto"/>
                      <w:spacing w:val="0"/>
                      <w:kern w:val="0"/>
                      <w:position w:val="0"/>
                      <w:sz w:val="21"/>
                      <w:szCs w:val="21"/>
                    </w:rPr>
                    <w:t>，根据</w:t>
                  </w:r>
                  <w:r>
                    <w:rPr>
                      <w:rFonts w:hint="default" w:ascii="Times New Roman" w:hAnsi="Times New Roman" w:eastAsia="宋体" w:cs="Times New Roman"/>
                      <w:smallCaps w:val="0"/>
                      <w:color w:val="auto"/>
                      <w:spacing w:val="0"/>
                      <w:kern w:val="0"/>
                      <w:position w:val="0"/>
                      <w:sz w:val="21"/>
                      <w:szCs w:val="21"/>
                      <w:lang w:val="en-US" w:eastAsia="zh-CN"/>
                    </w:rPr>
                    <w:t>不动产权证（苏（2023）金坛区不动产权证0060646号）</w:t>
                  </w:r>
                  <w:r>
                    <w:rPr>
                      <w:rFonts w:hint="default" w:ascii="Times New Roman" w:hAnsi="Times New Roman" w:eastAsia="宋体" w:cs="Times New Roman"/>
                      <w:smallCaps w:val="0"/>
                      <w:color w:val="auto"/>
                      <w:spacing w:val="0"/>
                      <w:kern w:val="0"/>
                      <w:position w:val="0"/>
                      <w:sz w:val="21"/>
                      <w:szCs w:val="21"/>
                    </w:rPr>
                    <w:t>，项目所在地为工业用地（见附件），根据《金坛经济开发区发展规划报告书》，项目所在地规划为工业用地</w:t>
                  </w:r>
                  <w:r>
                    <w:rPr>
                      <w:rFonts w:hint="default" w:ascii="Times New Roman" w:hAnsi="Times New Roman" w:eastAsia="宋体" w:cs="Times New Roman"/>
                      <w:bCs/>
                      <w:smallCaps w:val="0"/>
                      <w:snapToGrid w:val="0"/>
                      <w:color w:val="auto"/>
                      <w:spacing w:val="0"/>
                      <w:kern w:val="0"/>
                      <w:position w:val="0"/>
                      <w:sz w:val="21"/>
                      <w:szCs w:val="21"/>
                    </w:rPr>
                    <w:t>。</w:t>
                  </w:r>
                </w:p>
              </w:tc>
              <w:tc>
                <w:tcPr>
                  <w:tcW w:w="354" w:type="pct"/>
                  <w:tcBorders>
                    <w:tl2br w:val="nil"/>
                    <w:tr2bl w:val="nil"/>
                  </w:tcBorders>
                  <w:noWrap w:val="0"/>
                  <w:vAlign w:val="center"/>
                </w:tcPr>
                <w:p w14:paraId="431A543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相符</w:t>
                  </w:r>
                </w:p>
              </w:tc>
            </w:tr>
            <w:tr w14:paraId="46447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2141B19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《江苏省大气污染防治条例》</w:t>
                  </w:r>
                </w:p>
              </w:tc>
              <w:tc>
                <w:tcPr>
                  <w:tcW w:w="2434" w:type="pct"/>
                  <w:tcBorders>
                    <w:tl2br w:val="nil"/>
                    <w:tr2bl w:val="nil"/>
                  </w:tcBorders>
                  <w:noWrap w:val="0"/>
                  <w:vAlign w:val="center"/>
                </w:tcPr>
                <w:p w14:paraId="1D6D2C6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条例规定：“新建、改建、扩建的大气重污染工业项目生产过程中排放烟粉尘、硫化物和氮氧化物等大气污染物的，应当配套建设和使用除尘、脱硫、脱硝等减排装置，或者采取其他控制大气污染物排放的措施。”</w:t>
                  </w:r>
                </w:p>
              </w:tc>
              <w:tc>
                <w:tcPr>
                  <w:tcW w:w="951" w:type="pct"/>
                  <w:tcBorders>
                    <w:tl2br w:val="nil"/>
                    <w:tr2bl w:val="nil"/>
                  </w:tcBorders>
                  <w:noWrap w:val="0"/>
                  <w:vAlign w:val="center"/>
                </w:tcPr>
                <w:p w14:paraId="20B0315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lang w:val="en-US" w:eastAsia="zh-CN"/>
                    </w:rPr>
                  </w:pPr>
                  <w:r>
                    <w:rPr>
                      <w:rFonts w:hint="default" w:ascii="Times New Roman" w:hAnsi="Times New Roman" w:eastAsia="宋体" w:cs="Times New Roman"/>
                      <w:smallCaps w:val="0"/>
                      <w:snapToGrid w:val="0"/>
                      <w:color w:val="auto"/>
                      <w:spacing w:val="0"/>
                      <w:kern w:val="0"/>
                      <w:position w:val="0"/>
                      <w:sz w:val="21"/>
                      <w:szCs w:val="21"/>
                    </w:rPr>
                    <w:t>本项目为</w:t>
                  </w:r>
                  <w:r>
                    <w:rPr>
                      <w:rFonts w:hint="default" w:ascii="Times New Roman" w:hAnsi="Times New Roman" w:eastAsia="宋体" w:cs="Times New Roman"/>
                      <w:smallCaps w:val="0"/>
                      <w:snapToGrid w:val="0"/>
                      <w:color w:val="auto"/>
                      <w:spacing w:val="0"/>
                      <w:kern w:val="0"/>
                      <w:position w:val="0"/>
                      <w:sz w:val="21"/>
                      <w:szCs w:val="21"/>
                      <w:lang w:eastAsia="zh-CN"/>
                    </w:rPr>
                    <w:t>新建年产2万套信报箱生产项目</w:t>
                  </w:r>
                  <w:r>
                    <w:rPr>
                      <w:rFonts w:hint="default" w:ascii="Times New Roman" w:hAnsi="Times New Roman" w:eastAsia="宋体" w:cs="Times New Roman"/>
                      <w:bCs/>
                      <w:smallCaps w:val="0"/>
                      <w:snapToGrid w:val="0"/>
                      <w:color w:val="auto"/>
                      <w:spacing w:val="0"/>
                      <w:kern w:val="0"/>
                      <w:position w:val="0"/>
                      <w:sz w:val="21"/>
                      <w:szCs w:val="21"/>
                    </w:rPr>
                    <w:t>，</w:t>
                  </w:r>
                  <w:r>
                    <w:rPr>
                      <w:rFonts w:hint="default" w:ascii="Times New Roman" w:hAnsi="Times New Roman" w:eastAsia="宋体" w:cs="Times New Roman"/>
                      <w:bCs/>
                      <w:smallCaps w:val="0"/>
                      <w:snapToGrid w:val="0"/>
                      <w:color w:val="auto"/>
                      <w:spacing w:val="0"/>
                      <w:kern w:val="0"/>
                      <w:position w:val="0"/>
                      <w:sz w:val="21"/>
                      <w:szCs w:val="21"/>
                      <w:lang w:eastAsia="zh-CN"/>
                    </w:rPr>
                    <w:t>本项目不属于高耗能项目，</w:t>
                  </w:r>
                  <w:r>
                    <w:rPr>
                      <w:rFonts w:hint="default" w:ascii="Times New Roman" w:hAnsi="Times New Roman" w:eastAsia="宋体" w:cs="Times New Roman"/>
                      <w:bCs/>
                      <w:smallCaps w:val="0"/>
                      <w:color w:val="auto"/>
                      <w:spacing w:val="0"/>
                      <w:kern w:val="0"/>
                      <w:position w:val="0"/>
                      <w:sz w:val="21"/>
                      <w:szCs w:val="21"/>
                      <w:lang w:val="en-US" w:eastAsia="zh-CN"/>
                    </w:rPr>
                    <w:t>本项目废气主要为印刷废气、切割废气和焊接废气，其中UV油墨使用量极小，产生的非甲烷总烃量</w:t>
                  </w:r>
                  <w:r>
                    <w:rPr>
                      <w:rFonts w:hint="eastAsia" w:cs="Times New Roman"/>
                      <w:bCs/>
                      <w:smallCaps w:val="0"/>
                      <w:color w:val="auto"/>
                      <w:spacing w:val="0"/>
                      <w:kern w:val="0"/>
                      <w:position w:val="0"/>
                      <w:sz w:val="21"/>
                      <w:szCs w:val="21"/>
                      <w:lang w:val="en-US" w:eastAsia="zh-CN"/>
                    </w:rPr>
                    <w:t>极少</w:t>
                  </w:r>
                  <w:r>
                    <w:rPr>
                      <w:rFonts w:hint="default" w:ascii="Times New Roman" w:hAnsi="Times New Roman" w:eastAsia="宋体" w:cs="Times New Roman"/>
                      <w:bCs/>
                      <w:smallCaps w:val="0"/>
                      <w:color w:val="auto"/>
                      <w:spacing w:val="0"/>
                      <w:kern w:val="0"/>
                      <w:position w:val="0"/>
                      <w:sz w:val="21"/>
                      <w:szCs w:val="21"/>
                      <w:lang w:val="en-US" w:eastAsia="zh-CN"/>
                    </w:rPr>
                    <w:t>，不进行定量分析，切割废气</w:t>
                  </w:r>
                  <w:r>
                    <w:rPr>
                      <w:rFonts w:hint="eastAsia" w:cs="Times New Roman"/>
                      <w:bCs/>
                      <w:smallCaps w:val="0"/>
                      <w:color w:val="auto"/>
                      <w:spacing w:val="0"/>
                      <w:kern w:val="0"/>
                      <w:position w:val="0"/>
                      <w:sz w:val="21"/>
                      <w:szCs w:val="21"/>
                      <w:lang w:val="en-US" w:eastAsia="zh-CN"/>
                    </w:rPr>
                    <w:t>经除尘器处理后</w:t>
                  </w:r>
                  <w:r>
                    <w:rPr>
                      <w:rFonts w:hint="default" w:ascii="Times New Roman" w:hAnsi="Times New Roman" w:eastAsia="宋体" w:cs="Times New Roman"/>
                      <w:bCs/>
                      <w:smallCaps w:val="0"/>
                      <w:color w:val="auto"/>
                      <w:spacing w:val="0"/>
                      <w:kern w:val="0"/>
                      <w:position w:val="0"/>
                      <w:sz w:val="21"/>
                      <w:szCs w:val="21"/>
                      <w:lang w:val="en-US" w:eastAsia="zh-CN"/>
                    </w:rPr>
                    <w:t>，在车间内无组织排放，焊接烟尘经移动式焊接烟尘净化器处理，在车间内无组织排放，对周围环境影响较小</w:t>
                  </w:r>
                  <w:r>
                    <w:rPr>
                      <w:rFonts w:hint="default" w:ascii="Times New Roman" w:hAnsi="Times New Roman" w:eastAsia="宋体" w:cs="Times New Roman"/>
                      <w:smallCaps w:val="0"/>
                      <w:snapToGrid w:val="0"/>
                      <w:color w:val="auto"/>
                      <w:spacing w:val="0"/>
                      <w:kern w:val="0"/>
                      <w:position w:val="0"/>
                      <w:sz w:val="21"/>
                      <w:szCs w:val="21"/>
                      <w:lang w:val="en-US" w:eastAsia="zh-CN"/>
                    </w:rPr>
                    <w:t>。</w:t>
                  </w:r>
                </w:p>
              </w:tc>
              <w:tc>
                <w:tcPr>
                  <w:tcW w:w="354" w:type="pct"/>
                  <w:tcBorders>
                    <w:tl2br w:val="nil"/>
                    <w:tr2bl w:val="nil"/>
                  </w:tcBorders>
                  <w:noWrap w:val="0"/>
                  <w:vAlign w:val="center"/>
                </w:tcPr>
                <w:p w14:paraId="554953F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相符</w:t>
                  </w:r>
                </w:p>
              </w:tc>
            </w:tr>
            <w:tr w14:paraId="12728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9" w:type="pct"/>
                  <w:tcBorders>
                    <w:tl2br w:val="nil"/>
                    <w:tr2bl w:val="nil"/>
                  </w:tcBorders>
                  <w:noWrap w:val="0"/>
                  <w:vAlign w:val="center"/>
                </w:tcPr>
                <w:p w14:paraId="6E30CE7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《关于印发&lt;长江经济带发展负面清单指南&gt;江苏省实施细则（试行）的通知》（苏长江办发〔2019〕136号）</w:t>
                  </w:r>
                </w:p>
              </w:tc>
              <w:tc>
                <w:tcPr>
                  <w:tcW w:w="2434" w:type="pct"/>
                  <w:tcBorders>
                    <w:tl2br w:val="nil"/>
                    <w:tr2bl w:val="nil"/>
                  </w:tcBorders>
                  <w:noWrap w:val="0"/>
                  <w:vAlign w:val="center"/>
                </w:tcPr>
                <w:p w14:paraId="463A2489">
                  <w:pPr>
                    <w:pStyle w:val="7"/>
                    <w:keepNext w:val="0"/>
                    <w:keepLines w:val="0"/>
                    <w:pageBreakBefore w:val="0"/>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tc>
              <w:tc>
                <w:tcPr>
                  <w:tcW w:w="951" w:type="pct"/>
                  <w:tcBorders>
                    <w:tl2br w:val="nil"/>
                    <w:tr2bl w:val="nil"/>
                  </w:tcBorders>
                  <w:noWrap w:val="0"/>
                  <w:vAlign w:val="center"/>
                </w:tcPr>
                <w:p w14:paraId="3BCF3344">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bCs/>
                      <w:smallCaps w:val="0"/>
                      <w:snapToGrid w:val="0"/>
                      <w:color w:val="auto"/>
                      <w:spacing w:val="0"/>
                      <w:kern w:val="0"/>
                      <w:position w:val="0"/>
                      <w:sz w:val="21"/>
                      <w:szCs w:val="21"/>
                    </w:rPr>
                    <w:t>本项目为</w:t>
                  </w:r>
                  <w:r>
                    <w:rPr>
                      <w:rFonts w:hint="default" w:ascii="Times New Roman" w:hAnsi="Times New Roman" w:eastAsia="宋体" w:cs="Times New Roman"/>
                      <w:bCs/>
                      <w:smallCaps w:val="0"/>
                      <w:snapToGrid w:val="0"/>
                      <w:color w:val="auto"/>
                      <w:spacing w:val="0"/>
                      <w:kern w:val="0"/>
                      <w:position w:val="0"/>
                      <w:sz w:val="21"/>
                      <w:szCs w:val="21"/>
                      <w:lang w:eastAsia="zh-CN"/>
                    </w:rPr>
                    <w:t>新建年产2万套信报箱生产项目</w:t>
                  </w:r>
                  <w:r>
                    <w:rPr>
                      <w:rFonts w:hint="default" w:ascii="Times New Roman" w:hAnsi="Times New Roman" w:eastAsia="宋体" w:cs="Times New Roman"/>
                      <w:bCs/>
                      <w:smallCaps w:val="0"/>
                      <w:snapToGrid w:val="0"/>
                      <w:color w:val="auto"/>
                      <w:spacing w:val="0"/>
                      <w:kern w:val="0"/>
                      <w:position w:val="0"/>
                      <w:sz w:val="21"/>
                      <w:szCs w:val="21"/>
                    </w:rPr>
                    <w:t>，本项目不属于《关于印发&lt;长江经济带发展负面清单指南&gt;江苏省实施细则（试行）的通知》（苏长江办发〔2019〕136号）中“禁止类”项目。</w:t>
                  </w:r>
                </w:p>
              </w:tc>
              <w:tc>
                <w:tcPr>
                  <w:tcW w:w="354" w:type="pct"/>
                  <w:tcBorders>
                    <w:tl2br w:val="nil"/>
                    <w:tr2bl w:val="nil"/>
                  </w:tcBorders>
                  <w:noWrap w:val="0"/>
                  <w:vAlign w:val="center"/>
                </w:tcPr>
                <w:p w14:paraId="29382FBE">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mallCaps w:val="0"/>
                      <w:snapToGrid w:val="0"/>
                      <w:color w:val="auto"/>
                      <w:spacing w:val="0"/>
                      <w:kern w:val="0"/>
                      <w:position w:val="0"/>
                      <w:sz w:val="21"/>
                      <w:szCs w:val="21"/>
                    </w:rPr>
                  </w:pPr>
                  <w:r>
                    <w:rPr>
                      <w:rFonts w:hint="default" w:ascii="Times New Roman" w:hAnsi="Times New Roman" w:eastAsia="宋体" w:cs="Times New Roman"/>
                      <w:smallCaps w:val="0"/>
                      <w:snapToGrid w:val="0"/>
                      <w:color w:val="auto"/>
                      <w:spacing w:val="0"/>
                      <w:kern w:val="0"/>
                      <w:position w:val="0"/>
                      <w:sz w:val="21"/>
                      <w:szCs w:val="21"/>
                    </w:rPr>
                    <w:t>相符</w:t>
                  </w:r>
                </w:p>
              </w:tc>
            </w:tr>
          </w:tbl>
          <w:p w14:paraId="428BD2CD">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rPr>
              <w:t>与《江苏省挥发性有机物污染防治管理办法》（省政府令第119号）、《“十三五”挥发性有机物污染防治工作方案》</w:t>
            </w:r>
            <w:r>
              <w:rPr>
                <w:rFonts w:hint="eastAsia" w:cs="Times New Roman"/>
                <w:smallCaps w:val="0"/>
                <w:color w:val="auto"/>
                <w:spacing w:val="0"/>
                <w:kern w:val="0"/>
                <w:position w:val="0"/>
                <w:sz w:val="24"/>
                <w:lang w:val="en-US" w:eastAsia="zh-CN"/>
              </w:rPr>
              <w:t>和关于印发《2022年常州市金坛区深入打好污染防治攻坚战工作方案》的通知（坛政发〔2022〕54号）</w:t>
            </w:r>
            <w:r>
              <w:rPr>
                <w:rFonts w:hint="default" w:ascii="Times New Roman" w:hAnsi="Times New Roman" w:eastAsia="宋体" w:cs="Times New Roman"/>
                <w:smallCaps w:val="0"/>
                <w:color w:val="auto"/>
                <w:spacing w:val="0"/>
                <w:kern w:val="0"/>
                <w:position w:val="0"/>
                <w:sz w:val="24"/>
                <w:lang w:val="en-US" w:eastAsia="zh-CN"/>
              </w:rPr>
              <w:t>等挥发性有机物污染防治</w:t>
            </w:r>
            <w:r>
              <w:rPr>
                <w:rFonts w:hint="default" w:ascii="Times New Roman" w:hAnsi="Times New Roman" w:eastAsia="宋体" w:cs="Times New Roman"/>
                <w:bCs/>
                <w:smallCaps w:val="0"/>
                <w:color w:val="auto"/>
                <w:spacing w:val="0"/>
                <w:kern w:val="0"/>
                <w:position w:val="0"/>
                <w:sz w:val="24"/>
                <w:lang w:val="en-US" w:eastAsia="zh-CN"/>
              </w:rPr>
              <w:t>措施</w:t>
            </w:r>
            <w:r>
              <w:rPr>
                <w:rFonts w:hint="default" w:ascii="Times New Roman" w:hAnsi="Times New Roman" w:eastAsia="宋体" w:cs="Times New Roman"/>
                <w:bCs/>
                <w:smallCaps w:val="0"/>
                <w:color w:val="auto"/>
                <w:spacing w:val="0"/>
                <w:kern w:val="0"/>
                <w:position w:val="0"/>
                <w:sz w:val="24"/>
              </w:rPr>
              <w:t>的符性分析具体见表1-</w:t>
            </w:r>
            <w:r>
              <w:rPr>
                <w:rFonts w:hint="eastAsia" w:cs="Times New Roman"/>
                <w:bCs/>
                <w:smallCaps w:val="0"/>
                <w:color w:val="auto"/>
                <w:spacing w:val="0"/>
                <w:kern w:val="0"/>
                <w:position w:val="0"/>
                <w:sz w:val="24"/>
                <w:lang w:val="en-US" w:eastAsia="zh-CN"/>
              </w:rPr>
              <w:t>9</w:t>
            </w:r>
            <w:r>
              <w:rPr>
                <w:rFonts w:hint="default" w:ascii="Times New Roman" w:hAnsi="Times New Roman" w:eastAsia="宋体" w:cs="Times New Roman"/>
                <w:bCs/>
                <w:smallCaps w:val="0"/>
                <w:color w:val="auto"/>
                <w:spacing w:val="0"/>
                <w:kern w:val="0"/>
                <w:position w:val="0"/>
                <w:sz w:val="24"/>
              </w:rPr>
              <w:t>。</w:t>
            </w:r>
          </w:p>
          <w:p w14:paraId="23B6C2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表1-</w:t>
            </w:r>
            <w:r>
              <w:rPr>
                <w:rFonts w:hint="eastAsia" w:cs="Times New Roman"/>
                <w:b/>
                <w:bCs/>
                <w:smallCaps w:val="0"/>
                <w:color w:val="auto"/>
                <w:spacing w:val="0"/>
                <w:kern w:val="0"/>
                <w:position w:val="0"/>
                <w:szCs w:val="21"/>
                <w:lang w:val="en-US" w:eastAsia="zh-CN"/>
              </w:rPr>
              <w:t>9</w:t>
            </w:r>
            <w:r>
              <w:rPr>
                <w:rFonts w:hint="default" w:ascii="Times New Roman" w:hAnsi="Times New Roman" w:eastAsia="宋体" w:cs="Times New Roman"/>
                <w:b/>
                <w:bCs/>
                <w:smallCaps w:val="0"/>
                <w:color w:val="auto"/>
                <w:spacing w:val="0"/>
                <w:kern w:val="0"/>
                <w:position w:val="0"/>
                <w:szCs w:val="21"/>
              </w:rPr>
              <w:t>与</w:t>
            </w:r>
            <w:r>
              <w:rPr>
                <w:rFonts w:hint="default" w:ascii="Times New Roman" w:hAnsi="Times New Roman" w:eastAsia="宋体" w:cs="Times New Roman"/>
                <w:b/>
                <w:bCs/>
                <w:smallCaps w:val="0"/>
                <w:color w:val="auto"/>
                <w:spacing w:val="0"/>
                <w:kern w:val="0"/>
                <w:position w:val="0"/>
                <w:szCs w:val="21"/>
                <w:lang w:val="en-US" w:eastAsia="zh-CN"/>
              </w:rPr>
              <w:t>挥发性有机物污染防治措施</w:t>
            </w:r>
            <w:r>
              <w:rPr>
                <w:rFonts w:hint="default" w:ascii="Times New Roman" w:hAnsi="Times New Roman" w:eastAsia="宋体" w:cs="Times New Roman"/>
                <w:b/>
                <w:bCs/>
                <w:smallCaps w:val="0"/>
                <w:color w:val="auto"/>
                <w:spacing w:val="0"/>
                <w:kern w:val="0"/>
                <w:position w:val="0"/>
                <w:szCs w:val="21"/>
              </w:rPr>
              <w:t>文件相符性一览表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988"/>
              <w:gridCol w:w="6544"/>
              <w:gridCol w:w="3585"/>
              <w:gridCol w:w="857"/>
            </w:tblGrid>
            <w:tr w14:paraId="5C92A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tcBorders>
                    <w:bottom w:val="single" w:color="auto" w:sz="12" w:space="0"/>
                  </w:tcBorders>
                  <w:noWrap w:val="0"/>
                  <w:vAlign w:val="center"/>
                </w:tcPr>
                <w:p w14:paraId="05B4C9AC">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类别</w:t>
                  </w:r>
                </w:p>
              </w:tc>
              <w:tc>
                <w:tcPr>
                  <w:tcW w:w="2521" w:type="pct"/>
                  <w:tcBorders>
                    <w:bottom w:val="single" w:color="auto" w:sz="12" w:space="0"/>
                  </w:tcBorders>
                  <w:noWrap w:val="0"/>
                  <w:vAlign w:val="center"/>
                </w:tcPr>
                <w:p w14:paraId="3B2AD454">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文件要求（建设项目环评审批要点）</w:t>
                  </w:r>
                </w:p>
              </w:tc>
              <w:tc>
                <w:tcPr>
                  <w:tcW w:w="1381" w:type="pct"/>
                  <w:tcBorders>
                    <w:bottom w:val="single" w:color="auto" w:sz="12" w:space="0"/>
                  </w:tcBorders>
                  <w:noWrap w:val="0"/>
                  <w:vAlign w:val="center"/>
                </w:tcPr>
                <w:p w14:paraId="356CB8D0">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本项目</w:t>
                  </w:r>
                </w:p>
              </w:tc>
              <w:tc>
                <w:tcPr>
                  <w:tcW w:w="330" w:type="pct"/>
                  <w:tcBorders>
                    <w:bottom w:val="single" w:color="auto" w:sz="12" w:space="0"/>
                  </w:tcBorders>
                  <w:noWrap w:val="0"/>
                  <w:vAlign w:val="center"/>
                </w:tcPr>
                <w:p w14:paraId="48F334D5">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pacing w:val="0"/>
                      <w:kern w:val="0"/>
                      <w:sz w:val="21"/>
                      <w:szCs w:val="21"/>
                    </w:rPr>
                  </w:pPr>
                  <w:r>
                    <w:rPr>
                      <w:rFonts w:hint="default" w:ascii="Times New Roman" w:hAnsi="Times New Roman" w:eastAsia="宋体" w:cs="Times New Roman"/>
                      <w:b/>
                      <w:color w:val="auto"/>
                      <w:spacing w:val="0"/>
                      <w:kern w:val="0"/>
                      <w:sz w:val="21"/>
                      <w:szCs w:val="21"/>
                    </w:rPr>
                    <w:t>是否相符</w:t>
                  </w:r>
                </w:p>
              </w:tc>
            </w:tr>
            <w:tr w14:paraId="7E94F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noWrap w:val="0"/>
                  <w:vAlign w:val="center"/>
                </w:tcPr>
                <w:p w14:paraId="1F496DF8">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《江苏省挥发性有机物污染防治管理办法》（省政府令第119号）、《“十三五”挥发性有机物污染防治工作方案》</w:t>
                  </w:r>
                </w:p>
              </w:tc>
              <w:tc>
                <w:tcPr>
                  <w:tcW w:w="2521" w:type="pct"/>
                  <w:noWrap w:val="0"/>
                  <w:vAlign w:val="center"/>
                </w:tcPr>
                <w:p w14:paraId="2FA13E61">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①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p w14:paraId="6119365E">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381" w:type="pct"/>
                  <w:vMerge w:val="restart"/>
                  <w:noWrap w:val="0"/>
                  <w:vAlign w:val="center"/>
                </w:tcPr>
                <w:p w14:paraId="7E651104">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本项目使用UV油墨，对照《油墨中可挥发性有机化合物(VOCs)含量的限值（GB38507-2020）》，属于能量固化油墨-喷墨印刷油墨，对照企业提供的检测报告（报告编号：EY210528025VC007），施工状态中VOC检出结果为0.55%，满足《油墨中可挥发性有机化合物(VOCs)含量的限值（GB38507-2020）》相关限值（≤10%）的要求。</w:t>
                  </w:r>
                  <w:r>
                    <w:rPr>
                      <w:rFonts w:hint="default" w:ascii="Times New Roman" w:hAnsi="Times New Roman" w:eastAsia="宋体" w:cs="Times New Roman"/>
                      <w:bCs/>
                      <w:smallCaps w:val="0"/>
                      <w:snapToGrid w:val="0"/>
                      <w:color w:val="auto"/>
                      <w:spacing w:val="0"/>
                      <w:kern w:val="0"/>
                      <w:position w:val="0"/>
                      <w:sz w:val="21"/>
                      <w:szCs w:val="21"/>
                    </w:rPr>
                    <w:t>本项目废气主要为印刷废气，UV油墨使用量极小，产生的非甲烷总烃不定量分析，在车间内无组织排放，对周围环境影响较小</w:t>
                  </w:r>
                  <w:r>
                    <w:rPr>
                      <w:rFonts w:hint="default" w:ascii="Times New Roman" w:hAnsi="Times New Roman" w:eastAsia="宋体" w:cs="Times New Roman"/>
                      <w:smallCaps w:val="0"/>
                      <w:snapToGrid w:val="0"/>
                      <w:color w:val="auto"/>
                      <w:spacing w:val="0"/>
                      <w:kern w:val="0"/>
                      <w:position w:val="0"/>
                      <w:sz w:val="21"/>
                      <w:szCs w:val="21"/>
                      <w:lang w:val="en-US" w:eastAsia="zh-CN"/>
                    </w:rPr>
                    <w:t>。</w:t>
                  </w:r>
                </w:p>
              </w:tc>
              <w:tc>
                <w:tcPr>
                  <w:tcW w:w="330" w:type="pct"/>
                  <w:vMerge w:val="restart"/>
                  <w:noWrap w:val="0"/>
                  <w:vAlign w:val="center"/>
                </w:tcPr>
                <w:p w14:paraId="51DD571A">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符合</w:t>
                  </w:r>
                </w:p>
              </w:tc>
            </w:tr>
            <w:tr w14:paraId="462A5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noWrap w:val="0"/>
                  <w:vAlign w:val="center"/>
                </w:tcPr>
                <w:p w14:paraId="353C92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《关于印发江苏省重点行业挥发性有机物污染控制指南的通知》（苏环办【2014】128号）</w:t>
                  </w:r>
                </w:p>
              </w:tc>
              <w:tc>
                <w:tcPr>
                  <w:tcW w:w="2521" w:type="pct"/>
                  <w:noWrap w:val="0"/>
                  <w:vAlign w:val="center"/>
                </w:tcPr>
                <w:p w14:paraId="56E87443">
                  <w:pPr>
                    <w:pStyle w:val="7"/>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指南规定：“①所有产生有机废气污染的企业，应优先采用环保型原辅料、生产工艺和装备，对相应生产单元或设施进行密闭，从源头控制VOCs的产生，减少废气污染物排放。②鼓励对排放的VOCs进行回收利用，并优先在生产系统内回用。对浓度、性状差异较大的废气应分类收集，并采用适宜的方式进行有效处理，确保VOCs总去除率满足管理要求，其中有机化工、医药化工、橡胶和塑料制品(有机溶剂浸胶工艺溶剂型涂料表面涂装、包装印刷业的VOCs总收集、净化处理率均不低于90%，其他行业原则上不低于75%”。</w:t>
                  </w:r>
                </w:p>
              </w:tc>
              <w:tc>
                <w:tcPr>
                  <w:tcW w:w="1381" w:type="pct"/>
                  <w:vMerge w:val="continue"/>
                  <w:noWrap w:val="0"/>
                  <w:vAlign w:val="center"/>
                </w:tcPr>
                <w:p w14:paraId="28E51421">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30" w:type="pct"/>
                  <w:vMerge w:val="continue"/>
                  <w:noWrap w:val="0"/>
                  <w:vAlign w:val="center"/>
                </w:tcPr>
                <w:p w14:paraId="3D54AAFA">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p>
              </w:tc>
            </w:tr>
            <w:tr w14:paraId="521D3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noWrap w:val="0"/>
                  <w:vAlign w:val="center"/>
                </w:tcPr>
                <w:p w14:paraId="4A50FC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《关于印发&lt;重点行业挥发性有机物综合治理方案&gt;的通知》（环大气【2019】53号）</w:t>
                  </w:r>
                </w:p>
              </w:tc>
              <w:tc>
                <w:tcPr>
                  <w:tcW w:w="2521" w:type="pct"/>
                  <w:noWrap w:val="0"/>
                  <w:vAlign w:val="center"/>
                </w:tcPr>
                <w:p w14:paraId="21DCE0B4">
                  <w:pPr>
                    <w:pStyle w:val="7"/>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加快推进石化行业、化工行业、工业涂装、包装印刷行业、油品储运销、工业园区和产业集群6个重点行业的治理任务；加大源头替代力度，减少VOCs产生；含VOCs物料生产和使用过程，应采取有效收集措施或在密闭空间中操作。</w:t>
                  </w:r>
                </w:p>
              </w:tc>
              <w:tc>
                <w:tcPr>
                  <w:tcW w:w="1381" w:type="pct"/>
                  <w:vMerge w:val="continue"/>
                  <w:noWrap w:val="0"/>
                  <w:vAlign w:val="center"/>
                </w:tcPr>
                <w:p w14:paraId="27460B58">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30" w:type="pct"/>
                  <w:vMerge w:val="continue"/>
                  <w:noWrap w:val="0"/>
                  <w:vAlign w:val="center"/>
                </w:tcPr>
                <w:p w14:paraId="4C84194D">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p>
              </w:tc>
            </w:tr>
            <w:tr w14:paraId="3AF35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noWrap w:val="0"/>
                  <w:vAlign w:val="center"/>
                </w:tcPr>
                <w:p w14:paraId="705EAA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《挥发性有机物无组织排放控制标准》（GB37822-2019）</w:t>
                  </w:r>
                </w:p>
              </w:tc>
              <w:tc>
                <w:tcPr>
                  <w:tcW w:w="2521" w:type="pct"/>
                  <w:noWrap w:val="0"/>
                  <w:vAlign w:val="center"/>
                </w:tcPr>
                <w:p w14:paraId="5BBDC48C">
                  <w:pPr>
                    <w:pStyle w:val="7"/>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“VOCs占比大于等于10%的含VOCs产品，其使用过程应采用密闭设备或在密闭空间内操作，废气应排放至VOCs废气收集处理系统；无法密闭的，应采取局部气体收集措施，废气应排放至VOCs废气收集处理系统”。</w:t>
                  </w:r>
                </w:p>
              </w:tc>
              <w:tc>
                <w:tcPr>
                  <w:tcW w:w="1381" w:type="pct"/>
                  <w:vMerge w:val="continue"/>
                  <w:noWrap w:val="0"/>
                  <w:vAlign w:val="center"/>
                </w:tcPr>
                <w:p w14:paraId="21BEAFDD">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30" w:type="pct"/>
                  <w:vMerge w:val="continue"/>
                  <w:noWrap w:val="0"/>
                  <w:vAlign w:val="center"/>
                </w:tcPr>
                <w:p w14:paraId="12CD6758">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p>
              </w:tc>
            </w:tr>
            <w:tr w14:paraId="5E66B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noWrap w:val="0"/>
                  <w:vAlign w:val="center"/>
                </w:tcPr>
                <w:p w14:paraId="578E3F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《关于印发常州市挥发性有机物清洁原料替代工作方案的通知》（常污防攻坚指办[2021]32号）</w:t>
                  </w:r>
                </w:p>
              </w:tc>
              <w:tc>
                <w:tcPr>
                  <w:tcW w:w="2521" w:type="pct"/>
                  <w:noWrap w:val="0"/>
                  <w:vAlign w:val="center"/>
                </w:tcPr>
                <w:p w14:paraId="251B2641">
                  <w:pPr>
                    <w:pStyle w:val="7"/>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一）明确替代要求。以工业涂装、包装印刷、木材加工、纺织等行业为重点，按照省大气办《关于印发江苏省挥发性有机物清洁原料替代工作方案的通知》中源头替代具体要求，加快推进182家企业清洁原料替代工作。（二）严格准入条件。禁止建设生产和使用高VOCs含量的涂料、油墨、胶黏剂等项目。（三）强化排查整治。（四）建立正面清单。其他行业企业涉VOCs相关工序，要使用符合《低挥发性有机化合物含量涂料产品技术要求》（GB/T38597-2020）规定的末、水性、无溶剂、辐射固化涂料产品。</w:t>
                  </w:r>
                </w:p>
              </w:tc>
              <w:tc>
                <w:tcPr>
                  <w:tcW w:w="1381" w:type="pct"/>
                  <w:vMerge w:val="continue"/>
                  <w:noWrap w:val="0"/>
                  <w:vAlign w:val="center"/>
                </w:tcPr>
                <w:p w14:paraId="6D565EF8">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30" w:type="pct"/>
                  <w:vMerge w:val="continue"/>
                  <w:noWrap w:val="0"/>
                  <w:vAlign w:val="center"/>
                </w:tcPr>
                <w:p w14:paraId="39FCC926">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p>
              </w:tc>
            </w:tr>
            <w:tr w14:paraId="2DDFA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noWrap w:val="0"/>
                  <w:vAlign w:val="center"/>
                </w:tcPr>
                <w:p w14:paraId="1DBEDD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关于印发《2020年挥发性有机物治理攻坚方案》的通知（环大气[2020]33号）</w:t>
                  </w:r>
                </w:p>
              </w:tc>
              <w:tc>
                <w:tcPr>
                  <w:tcW w:w="2521" w:type="pct"/>
                  <w:noWrap w:val="0"/>
                  <w:vAlign w:val="center"/>
                </w:tcPr>
                <w:p w14:paraId="519FEE11">
                  <w:pPr>
                    <w:pStyle w:val="7"/>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smallCaps w:val="0"/>
                      <w:snapToGrid w:val="0"/>
                      <w:color w:val="auto"/>
                      <w:spacing w:val="0"/>
                      <w:kern w:val="0"/>
                      <w:sz w:val="21"/>
                      <w:szCs w:val="21"/>
                    </w:rPr>
                  </w:pPr>
                  <w:r>
                    <w:rPr>
                      <w:rFonts w:hint="default" w:ascii="Times New Roman" w:hAnsi="Times New Roman" w:eastAsia="宋体" w:cs="Times New Roman"/>
                      <w:smallCaps w:val="0"/>
                      <w:snapToGrid w:val="0"/>
                      <w:color w:val="auto"/>
                      <w:spacing w:val="0"/>
                      <w:kern w:val="0"/>
                      <w:sz w:val="21"/>
                      <w:szCs w:val="21"/>
                    </w:rPr>
                    <w:t>一、大力推进源头替代，有效减少VOCs产生：严格落实国家和地方产品VOCs含量限值标准。大力推进低（无）VOCs含量原辅材料替代。</w:t>
                  </w:r>
                </w:p>
                <w:p w14:paraId="7B8DF63A">
                  <w:pPr>
                    <w:pStyle w:val="7"/>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smallCaps w:val="0"/>
                      <w:snapToGrid w:val="0"/>
                      <w:color w:val="auto"/>
                      <w:spacing w:val="0"/>
                      <w:kern w:val="0"/>
                      <w:sz w:val="21"/>
                      <w:szCs w:val="21"/>
                    </w:rPr>
                  </w:pPr>
                  <w:r>
                    <w:rPr>
                      <w:rFonts w:hint="default" w:ascii="Times New Roman" w:hAnsi="Times New Roman" w:eastAsia="宋体" w:cs="Times New Roman"/>
                      <w:smallCaps w:val="0"/>
                      <w:snapToGrid w:val="0"/>
                      <w:color w:val="auto"/>
                      <w:spacing w:val="0"/>
                      <w:kern w:val="0"/>
                      <w:sz w:val="21"/>
                      <w:szCs w:val="21"/>
                    </w:rPr>
                    <w:t>二、全面落实标准要求，强化无组织排放控制：全面执行《挥发性有机物无组织排放控制标准》，重点区域应落实无组织排放特别控制要求。在保证安全的前提下，加强含VOCs物料全方位、全链条、全环节密闭管理。</w:t>
                  </w:r>
                </w:p>
                <w:p w14:paraId="4BF91F94">
                  <w:pPr>
                    <w:pStyle w:val="7"/>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smallCaps w:val="0"/>
                      <w:snapToGrid w:val="0"/>
                      <w:color w:val="auto"/>
                      <w:spacing w:val="0"/>
                      <w:kern w:val="0"/>
                      <w:sz w:val="21"/>
                      <w:szCs w:val="21"/>
                      <w:lang w:val="en" w:eastAsia="zh-CN" w:bidi="ar-SA"/>
                    </w:rPr>
                  </w:pPr>
                  <w:r>
                    <w:rPr>
                      <w:rFonts w:hint="default" w:ascii="Times New Roman" w:hAnsi="Times New Roman" w:eastAsia="宋体" w:cs="Times New Roman"/>
                      <w:smallCaps w:val="0"/>
                      <w:snapToGrid w:val="0"/>
                      <w:color w:val="auto"/>
                      <w:spacing w:val="0"/>
                      <w:kern w:val="0"/>
                      <w:sz w:val="21"/>
                      <w:szCs w:val="21"/>
                      <w:lang w:val="en"/>
                    </w:rPr>
                    <w:t>三、聚焦治污设施“三率”，提升综合治理效率：对达不到要求的VOCs收集、治理设施进行更换或升级改造，确保实现达标排放。按照“应收尽收”的原则提升废气收集率。四、深化园区和集群整治，促进产业绿色发展。</w:t>
                  </w:r>
                </w:p>
              </w:tc>
              <w:tc>
                <w:tcPr>
                  <w:tcW w:w="1381" w:type="pct"/>
                  <w:vMerge w:val="continue"/>
                  <w:noWrap w:val="0"/>
                  <w:vAlign w:val="center"/>
                </w:tcPr>
                <w:p w14:paraId="404C4267">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30" w:type="pct"/>
                  <w:vMerge w:val="continue"/>
                  <w:noWrap w:val="0"/>
                  <w:vAlign w:val="center"/>
                </w:tcPr>
                <w:p w14:paraId="79D8FFE4">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p>
              </w:tc>
            </w:tr>
            <w:tr w14:paraId="19D91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noWrap w:val="0"/>
                  <w:vAlign w:val="center"/>
                </w:tcPr>
                <w:p w14:paraId="76018B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auto"/>
                      <w:spacing w:val="0"/>
                      <w:kern w:val="0"/>
                      <w:sz w:val="21"/>
                      <w:szCs w:val="21"/>
                    </w:rPr>
                  </w:pPr>
                  <w:r>
                    <w:rPr>
                      <w:rFonts w:hint="default" w:ascii="Times New Roman" w:hAnsi="Times New Roman" w:eastAsia="宋体" w:cs="Times New Roman"/>
                      <w:smallCaps w:val="0"/>
                      <w:snapToGrid w:val="0"/>
                      <w:color w:val="auto"/>
                      <w:spacing w:val="0"/>
                      <w:kern w:val="0"/>
                      <w:sz w:val="21"/>
                      <w:szCs w:val="21"/>
                    </w:rPr>
                    <w:t>《2022年常州市金坛区深入打好污染防治攻坚战工作方案》的通知（坛政发〔2022〕54号）</w:t>
                  </w:r>
                </w:p>
              </w:tc>
              <w:tc>
                <w:tcPr>
                  <w:tcW w:w="2521" w:type="pct"/>
                  <w:noWrap w:val="0"/>
                  <w:vAlign w:val="center"/>
                </w:tcPr>
                <w:p w14:paraId="17B192D5">
                  <w:pPr>
                    <w:pStyle w:val="7"/>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smallCaps w:val="0"/>
                      <w:snapToGrid w:val="0"/>
                      <w:color w:val="auto"/>
                      <w:spacing w:val="0"/>
                      <w:kern w:val="0"/>
                      <w:sz w:val="21"/>
                      <w:szCs w:val="21"/>
                      <w:lang w:val="en" w:eastAsia="zh-CN"/>
                    </w:rPr>
                  </w:pPr>
                  <w:r>
                    <w:rPr>
                      <w:rFonts w:hint="default" w:ascii="Times New Roman" w:hAnsi="Times New Roman" w:eastAsia="宋体" w:cs="Times New Roman"/>
                      <w:smallCaps w:val="0"/>
                      <w:snapToGrid w:val="0"/>
                      <w:color w:val="auto"/>
                      <w:spacing w:val="0"/>
                      <w:kern w:val="0"/>
                      <w:sz w:val="21"/>
                      <w:szCs w:val="21"/>
                      <w:lang w:val="en"/>
                    </w:rPr>
                    <w:t>(1)大力推进低(无)VOCs含量原辅材料替代。对照国家产品质量标准，加大对各类涂料、油墨、胶黏剂、清洗剂等产品生产、销售、使用环节的监督管理。以化工、涂装、医药、包装印刷、油品储运销等行业领域为重点，实施原辅材料和产品源头替代工程。完成12家重点企业VOCs清洁原料替代，优先推动使用溶剂型原辅材料且治理设施低效的企业先行开展清洁原料替代;对替代技术尚不成熟的，推动开展论证核实，并加强现场监管，确保VOCs无组织排放有效控制，废气排放口达标排放。结合产业特点，培育2家以上源头替代示范型企业。推动钢结构、包装印刷行业实施低(无)VOCs含量的涂料、油墨、胶粘剂等原辅材料源头替代。(2)实施“夏病冬治”。完成对10个有机储罐分类深度治理对涉VOCs企业集群的20家企业，按照“标杆建设一批、改造提升一批、优化整合一批、淘汰退出一批”的要求，开展排查及分类治理，5月底前完成排查整治并建立管理合账。(3)强化装卸废气收集治理。汽车罐车按照标准采用适宜的装载方式，鼓励开展汽车罐车及船舶油舱的清洗、压舱过程废气收集治理。推进汽油等装船作业码头安装油气回收系统，加强油品运输船舶油气回收工作</w:t>
                  </w:r>
                  <w:r>
                    <w:rPr>
                      <w:rFonts w:hint="eastAsia" w:cs="Times New Roman"/>
                      <w:smallCaps w:val="0"/>
                      <w:snapToGrid w:val="0"/>
                      <w:color w:val="auto"/>
                      <w:spacing w:val="0"/>
                      <w:kern w:val="0"/>
                      <w:sz w:val="21"/>
                      <w:szCs w:val="21"/>
                      <w:lang w:val="en" w:eastAsia="zh-CN"/>
                    </w:rPr>
                    <w:t>。(4)强化VOCs全流程、全环节综合治理。在确保安全等前提下，加强含VOCs物料全方位、全链条、全环节密闭管理。督促指导企业对照标准要求开展含VOCs物料储存、转移和输送设备与管线组件泄露、敞开液面逸散以及工艺过程等无组织排放环节排查整治。推进合成树脂等企业严格按要求开展泄漏检测与修复(LDAR)。对达不到要求的VOCs收集、治理设施进行更换或升级改造，确保稳定达标排放;对治理难度大、单一治理工艺难以稳定达标的，推进采用多种技术的组合工艺治理。推动取消废气排放系统旁路，因安全生产等原因必须保留的，应将保留旁路清单报生态环境部门。旁路在非紧急情况下保持关闭，并通过铅封、安装自动监控设施、流量计等方式加强监管，开启后应及时向生态环境部门报告，做好台账记录。引导化工、制药、农药等行业企业合理安排停检修计划，减少非正常工况VOCs排放:加强启停机期间以及清洗、退料、吹扫、放空、晾干等环节VOCs排放管控,确保达到安全生产和污染物排放标准要求。完成VOCs综合治理项目20项，完成VOCs无组织排放治理项目35项。</w:t>
                  </w:r>
                </w:p>
              </w:tc>
              <w:tc>
                <w:tcPr>
                  <w:tcW w:w="1381" w:type="pct"/>
                  <w:vMerge w:val="continue"/>
                  <w:noWrap w:val="0"/>
                  <w:vAlign w:val="center"/>
                </w:tcPr>
                <w:p w14:paraId="2CD5706D">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c>
                <w:tcPr>
                  <w:tcW w:w="330" w:type="pct"/>
                  <w:vMerge w:val="continue"/>
                  <w:noWrap w:val="0"/>
                  <w:vAlign w:val="center"/>
                </w:tcPr>
                <w:p w14:paraId="1EFBCE72">
                  <w:pPr>
                    <w:pStyle w:val="4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pacing w:val="0"/>
                      <w:kern w:val="0"/>
                      <w:sz w:val="21"/>
                      <w:szCs w:val="21"/>
                    </w:rPr>
                  </w:pPr>
                </w:p>
              </w:tc>
            </w:tr>
          </w:tbl>
          <w:p w14:paraId="6F0E50E9">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rPr>
            </w:pPr>
            <w:r>
              <w:rPr>
                <w:rFonts w:hint="default" w:ascii="Times New Roman" w:hAnsi="Times New Roman" w:eastAsia="宋体" w:cs="Times New Roman"/>
                <w:b/>
                <w:bCs/>
                <w:smallCaps w:val="0"/>
                <w:color w:val="auto"/>
                <w:spacing w:val="0"/>
                <w:kern w:val="0"/>
                <w:position w:val="0"/>
                <w:sz w:val="24"/>
              </w:rPr>
              <w:t>4、生态环境保护规划的相符性分析</w:t>
            </w:r>
          </w:p>
          <w:p w14:paraId="4B80C8F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根据《省政府关于印发江苏省生态空间管控区域保护规划的通知》（苏政发[2020]1号），常州市共有陆域生态空间保护区域面积942.83km</w:t>
            </w:r>
            <w:r>
              <w:rPr>
                <w:rFonts w:hint="default" w:ascii="Times New Roman" w:hAnsi="Times New Roman" w:eastAsia="宋体" w:cs="Times New Roman"/>
                <w:smallCaps w:val="0"/>
                <w:color w:val="auto"/>
                <w:spacing w:val="0"/>
                <w:kern w:val="0"/>
                <w:position w:val="0"/>
                <w:sz w:val="24"/>
                <w:vertAlign w:val="superscript"/>
              </w:rPr>
              <w:t>2</w:t>
            </w:r>
            <w:r>
              <w:rPr>
                <w:rFonts w:hint="default" w:ascii="Times New Roman" w:hAnsi="Times New Roman" w:eastAsia="宋体" w:cs="Times New Roman"/>
                <w:smallCaps w:val="0"/>
                <w:color w:val="auto"/>
                <w:spacing w:val="0"/>
                <w:kern w:val="0"/>
                <w:position w:val="0"/>
                <w:sz w:val="24"/>
              </w:rPr>
              <w:t>，其中国家级生态保护红线311.02km</w:t>
            </w:r>
            <w:r>
              <w:rPr>
                <w:rFonts w:hint="default" w:ascii="Times New Roman" w:hAnsi="Times New Roman" w:eastAsia="宋体" w:cs="Times New Roman"/>
                <w:smallCaps w:val="0"/>
                <w:color w:val="auto"/>
                <w:spacing w:val="0"/>
                <w:kern w:val="0"/>
                <w:position w:val="0"/>
                <w:sz w:val="24"/>
                <w:vertAlign w:val="superscript"/>
              </w:rPr>
              <w:t>2</w:t>
            </w:r>
            <w:r>
              <w:rPr>
                <w:rFonts w:hint="default" w:ascii="Times New Roman" w:hAnsi="Times New Roman" w:eastAsia="宋体" w:cs="Times New Roman"/>
                <w:smallCaps w:val="0"/>
                <w:color w:val="auto"/>
                <w:spacing w:val="0"/>
                <w:kern w:val="0"/>
                <w:position w:val="0"/>
                <w:sz w:val="24"/>
              </w:rPr>
              <w:t>，生态空间管控区域面积937.68km</w:t>
            </w:r>
            <w:r>
              <w:rPr>
                <w:rFonts w:hint="default" w:ascii="Times New Roman" w:hAnsi="Times New Roman" w:eastAsia="宋体" w:cs="Times New Roman"/>
                <w:smallCaps w:val="0"/>
                <w:color w:val="auto"/>
                <w:spacing w:val="0"/>
                <w:kern w:val="0"/>
                <w:position w:val="0"/>
                <w:sz w:val="24"/>
                <w:vertAlign w:val="superscript"/>
              </w:rPr>
              <w:t>2</w:t>
            </w:r>
            <w:r>
              <w:rPr>
                <w:rFonts w:hint="default" w:ascii="Times New Roman" w:hAnsi="Times New Roman" w:eastAsia="宋体" w:cs="Times New Roman"/>
                <w:smallCaps w:val="0"/>
                <w:color w:val="auto"/>
                <w:spacing w:val="0"/>
                <w:kern w:val="0"/>
                <w:position w:val="0"/>
                <w:sz w:val="24"/>
              </w:rPr>
              <w:t>。本项目所在地不在常州市陆域生态空间保护区域内。</w:t>
            </w:r>
          </w:p>
          <w:p w14:paraId="29150A61">
            <w:pPr>
              <w:pStyle w:val="7"/>
              <w:keepNext w:val="0"/>
              <w:keepLines w:val="0"/>
              <w:pageBreakBefore w:val="0"/>
              <w:kinsoku/>
              <w:wordWrap/>
              <w:overflowPunct/>
              <w:topLinePunct w:val="0"/>
              <w:autoSpaceDE/>
              <w:autoSpaceDN/>
              <w:bidi w:val="0"/>
              <w:adjustRightInd w:val="0"/>
              <w:snapToGrid w:val="0"/>
              <w:spacing w:before="0" w:after="0" w:line="440" w:lineRule="exact"/>
              <w:ind w:right="0"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因此，本工程的建设与《江苏省生态红线区域保护规划》及《省政府关于印发江苏省生态空间管控区域规划的通知》（苏政发[2020]1号）相符。</w:t>
            </w:r>
          </w:p>
          <w:p w14:paraId="5BA91EC3">
            <w:pPr>
              <w:pStyle w:val="7"/>
              <w:keepNext w:val="0"/>
              <w:keepLines w:val="0"/>
              <w:pageBreakBefore w:val="0"/>
              <w:kinsoku/>
              <w:wordWrap/>
              <w:overflowPunct/>
              <w:topLinePunct w:val="0"/>
              <w:autoSpaceDE/>
              <w:autoSpaceDN/>
              <w:bidi w:val="0"/>
              <w:adjustRightInd w:val="0"/>
              <w:snapToGrid w:val="0"/>
              <w:spacing w:before="0" w:after="0" w:line="440" w:lineRule="exact"/>
              <w:ind w:right="0"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综上所述，本项目与规划相符，符合国家及地方产业政策，符合“三线一单”（即生态保护红线、环境质量底线、资源利用上线、环境准入负面清单）管理机制的要求，符合相关法律法规政策要求。项目选址与生态红线区域保护规划相符。本项目不在《江苏省生态空间管控区域规划》中规定的生态空间保护区域内，不属于《省政府办公厅关于印发江苏省生态空间管控区域调整管理办法的通知》（苏政办发〔2021〕3号）生态空间管控区域，污染物均达标排放，与文件相符。</w:t>
            </w:r>
          </w:p>
          <w:p w14:paraId="1DA46EFA">
            <w:pPr>
              <w:pStyle w:val="5"/>
              <w:spacing w:before="72" w:beforeLines="30" w:line="440" w:lineRule="exact"/>
              <w:ind w:firstLine="480" w:firstLineChars="200"/>
              <w:jc w:val="left"/>
              <w:rPr>
                <w:rFonts w:hint="default" w:ascii="Times New Roman" w:hAnsi="Times New Roman" w:eastAsia="宋体" w:cs="Times New Roman"/>
                <w:smallCaps w:val="0"/>
                <w:color w:val="auto"/>
                <w:spacing w:val="0"/>
                <w:kern w:val="0"/>
                <w:position w:val="0"/>
              </w:rPr>
            </w:pPr>
          </w:p>
        </w:tc>
      </w:tr>
    </w:tbl>
    <w:p w14:paraId="4D07AB58">
      <w:pPr>
        <w:pStyle w:val="16"/>
        <w:spacing w:before="60" w:after="60"/>
        <w:jc w:val="center"/>
        <w:outlineLvl w:val="0"/>
        <w:rPr>
          <w:rFonts w:hint="default" w:ascii="Times New Roman" w:hAnsi="Times New Roman" w:eastAsia="宋体" w:cs="Times New Roman"/>
          <w:smallCaps w:val="0"/>
          <w:snapToGrid w:val="0"/>
          <w:color w:val="auto"/>
          <w:spacing w:val="0"/>
          <w:kern w:val="0"/>
          <w:position w:val="0"/>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663DDE2D">
      <w:pPr>
        <w:pStyle w:val="16"/>
        <w:spacing w:before="60" w:after="60"/>
        <w:jc w:val="center"/>
        <w:outlineLvl w:val="0"/>
        <w:rPr>
          <w:rFonts w:hint="default" w:ascii="Times New Roman" w:hAnsi="Times New Roman" w:eastAsia="宋体" w:cs="Times New Roman"/>
          <w:smallCaps w:val="0"/>
          <w:snapToGrid w:val="0"/>
          <w:color w:val="auto"/>
          <w:spacing w:val="0"/>
          <w:kern w:val="0"/>
          <w:position w:val="0"/>
          <w:sz w:val="30"/>
          <w:szCs w:val="30"/>
        </w:rPr>
      </w:pPr>
      <w:r>
        <w:rPr>
          <w:rFonts w:hint="default" w:ascii="Times New Roman" w:hAnsi="Times New Roman" w:eastAsia="宋体" w:cs="Times New Roman"/>
          <w:smallCaps w:val="0"/>
          <w:snapToGrid w:val="0"/>
          <w:color w:val="auto"/>
          <w:spacing w:val="0"/>
          <w:kern w:val="0"/>
          <w:position w:val="0"/>
          <w:sz w:val="30"/>
          <w:szCs w:val="30"/>
        </w:rPr>
        <w:t>二、建设项目工程分析</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26"/>
      </w:tblGrid>
      <w:tr w14:paraId="39F9E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3" w:hRule="atLeast"/>
          <w:jc w:val="center"/>
        </w:trPr>
        <w:tc>
          <w:tcPr>
            <w:tcW w:w="534" w:type="dxa"/>
            <w:noWrap w:val="0"/>
            <w:vAlign w:val="center"/>
          </w:tcPr>
          <w:p w14:paraId="62D389D5">
            <w:pPr>
              <w:pStyle w:val="16"/>
              <w:adjustRightInd w:val="0"/>
              <w:snapToGrid w:val="0"/>
              <w:spacing w:before="0" w:beforeAutospacing="0" w:after="0" w:afterAutospacing="0"/>
              <w:jc w:val="center"/>
              <w:rPr>
                <w:rFonts w:hint="default" w:ascii="Times New Roman" w:hAnsi="Times New Roman" w:eastAsia="宋体" w:cs="Times New Roman"/>
                <w:b/>
                <w:smallCaps w:val="0"/>
                <w:color w:val="auto"/>
                <w:spacing w:val="0"/>
                <w:kern w:val="0"/>
                <w:position w:val="0"/>
                <w:szCs w:val="24"/>
              </w:rPr>
            </w:pPr>
            <w:r>
              <w:rPr>
                <w:rFonts w:hint="default" w:ascii="Times New Roman" w:hAnsi="Times New Roman" w:eastAsia="宋体" w:cs="Times New Roman"/>
                <w:b/>
                <w:smallCaps w:val="0"/>
                <w:color w:val="auto"/>
                <w:spacing w:val="0"/>
                <w:kern w:val="0"/>
                <w:position w:val="0"/>
                <w:szCs w:val="24"/>
              </w:rPr>
              <w:t>建设内容</w:t>
            </w:r>
          </w:p>
        </w:tc>
        <w:tc>
          <w:tcPr>
            <w:tcW w:w="8526" w:type="dxa"/>
            <w:noWrap w:val="0"/>
            <w:vAlign w:val="top"/>
          </w:tcPr>
          <w:p w14:paraId="18C9ED7C">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rPr>
            </w:pPr>
            <w:r>
              <w:rPr>
                <w:rFonts w:hint="default" w:ascii="Times New Roman" w:hAnsi="Times New Roman" w:eastAsia="宋体" w:cs="Times New Roman"/>
                <w:b/>
                <w:bCs/>
                <w:smallCaps w:val="0"/>
                <w:color w:val="auto"/>
                <w:spacing w:val="0"/>
                <w:kern w:val="0"/>
                <w:position w:val="0"/>
                <w:sz w:val="24"/>
              </w:rPr>
              <w:t>1、项目概况</w:t>
            </w:r>
          </w:p>
          <w:p w14:paraId="4938094B">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 w:val="24"/>
                <w:lang w:eastAsia="zh-CN"/>
              </w:rPr>
            </w:pPr>
            <w:r>
              <w:rPr>
                <w:rFonts w:hint="default" w:ascii="Times New Roman" w:hAnsi="Times New Roman" w:eastAsia="宋体" w:cs="Times New Roman"/>
                <w:smallCaps w:val="0"/>
                <w:color w:val="auto"/>
                <w:spacing w:val="0"/>
                <w:kern w:val="0"/>
                <w:position w:val="0"/>
                <w:sz w:val="24"/>
                <w:lang w:eastAsia="zh-CN"/>
              </w:rPr>
              <w:t>常州市诚迅金属制品有限公司（</w:t>
            </w:r>
            <w:r>
              <w:rPr>
                <w:rFonts w:hint="default" w:ascii="Times New Roman" w:hAnsi="Times New Roman" w:eastAsia="宋体" w:cs="Times New Roman"/>
                <w:smallCaps w:val="0"/>
                <w:color w:val="auto"/>
                <w:spacing w:val="0"/>
                <w:kern w:val="0"/>
                <w:position w:val="0"/>
                <w:sz w:val="24"/>
                <w:lang w:val="en-US" w:eastAsia="zh-CN"/>
              </w:rPr>
              <w:t>以下简称</w:t>
            </w:r>
            <w:r>
              <w:rPr>
                <w:rFonts w:hint="default" w:ascii="Times New Roman" w:hAnsi="Times New Roman" w:eastAsia="宋体" w:cs="Times New Roman"/>
                <w:smallCaps w:val="0"/>
                <w:color w:val="auto"/>
                <w:spacing w:val="0"/>
                <w:kern w:val="0"/>
                <w:position w:val="0"/>
                <w:sz w:val="24"/>
                <w:lang w:eastAsia="zh-CN"/>
              </w:rPr>
              <w:t>“</w:t>
            </w:r>
            <w:r>
              <w:rPr>
                <w:rFonts w:hint="default" w:ascii="Times New Roman" w:hAnsi="Times New Roman" w:eastAsia="宋体" w:cs="Times New Roman"/>
                <w:smallCaps w:val="0"/>
                <w:color w:val="auto"/>
                <w:spacing w:val="0"/>
                <w:kern w:val="0"/>
                <w:position w:val="0"/>
                <w:sz w:val="24"/>
                <w:lang w:val="en-US" w:eastAsia="zh-CN"/>
              </w:rPr>
              <w:t>诚迅金属制品</w:t>
            </w:r>
            <w:r>
              <w:rPr>
                <w:rFonts w:hint="default" w:ascii="Times New Roman" w:hAnsi="Times New Roman" w:eastAsia="宋体" w:cs="Times New Roman"/>
                <w:smallCaps w:val="0"/>
                <w:color w:val="auto"/>
                <w:spacing w:val="0"/>
                <w:kern w:val="0"/>
                <w:position w:val="0"/>
                <w:sz w:val="24"/>
                <w:lang w:eastAsia="zh-CN"/>
              </w:rPr>
              <w:t>”）成立于</w:t>
            </w:r>
            <w:r>
              <w:rPr>
                <w:rFonts w:hint="default" w:ascii="Times New Roman" w:hAnsi="Times New Roman" w:eastAsia="宋体" w:cs="Times New Roman"/>
                <w:smallCaps w:val="0"/>
                <w:color w:val="auto"/>
                <w:spacing w:val="0"/>
                <w:kern w:val="0"/>
                <w:position w:val="0"/>
                <w:sz w:val="24"/>
                <w:lang w:val="en-US" w:eastAsia="zh-CN"/>
              </w:rPr>
              <w:t>1989</w:t>
            </w:r>
            <w:r>
              <w:rPr>
                <w:rFonts w:hint="default" w:ascii="Times New Roman" w:hAnsi="Times New Roman" w:eastAsia="宋体" w:cs="Times New Roman"/>
                <w:smallCaps w:val="0"/>
                <w:color w:val="auto"/>
                <w:spacing w:val="0"/>
                <w:kern w:val="0"/>
                <w:position w:val="0"/>
                <w:sz w:val="24"/>
                <w:lang w:eastAsia="zh-CN"/>
              </w:rPr>
              <w:t>年0</w:t>
            </w:r>
            <w:r>
              <w:rPr>
                <w:rFonts w:hint="default" w:ascii="Times New Roman" w:hAnsi="Times New Roman" w:eastAsia="宋体" w:cs="Times New Roman"/>
                <w:smallCaps w:val="0"/>
                <w:color w:val="auto"/>
                <w:spacing w:val="0"/>
                <w:kern w:val="0"/>
                <w:position w:val="0"/>
                <w:sz w:val="24"/>
                <w:lang w:val="en-US" w:eastAsia="zh-CN"/>
              </w:rPr>
              <w:t>1</w:t>
            </w:r>
            <w:r>
              <w:rPr>
                <w:rFonts w:hint="default" w:ascii="Times New Roman" w:hAnsi="Times New Roman" w:eastAsia="宋体" w:cs="Times New Roman"/>
                <w:smallCaps w:val="0"/>
                <w:color w:val="auto"/>
                <w:spacing w:val="0"/>
                <w:kern w:val="0"/>
                <w:position w:val="0"/>
                <w:sz w:val="24"/>
                <w:lang w:eastAsia="zh-CN"/>
              </w:rPr>
              <w:t>月</w:t>
            </w:r>
            <w:r>
              <w:rPr>
                <w:rFonts w:hint="default" w:ascii="Times New Roman" w:hAnsi="Times New Roman" w:eastAsia="宋体" w:cs="Times New Roman"/>
                <w:smallCaps w:val="0"/>
                <w:color w:val="auto"/>
                <w:spacing w:val="0"/>
                <w:kern w:val="0"/>
                <w:position w:val="0"/>
                <w:sz w:val="24"/>
                <w:lang w:val="en-US" w:eastAsia="zh-CN"/>
              </w:rPr>
              <w:t>09</w:t>
            </w:r>
            <w:r>
              <w:rPr>
                <w:rFonts w:hint="default" w:ascii="Times New Roman" w:hAnsi="Times New Roman" w:eastAsia="宋体" w:cs="Times New Roman"/>
                <w:smallCaps w:val="0"/>
                <w:color w:val="auto"/>
                <w:spacing w:val="0"/>
                <w:kern w:val="0"/>
                <w:position w:val="0"/>
                <w:sz w:val="24"/>
                <w:lang w:eastAsia="zh-CN"/>
              </w:rPr>
              <w:t>日，注册地位于江苏省金坛经济开发区汇福路8号。</w:t>
            </w:r>
            <w:r>
              <w:rPr>
                <w:rFonts w:hint="default" w:ascii="Times New Roman" w:hAnsi="Times New Roman" w:eastAsia="宋体" w:cs="Times New Roman"/>
                <w:smallCaps w:val="0"/>
                <w:color w:val="auto"/>
                <w:spacing w:val="0"/>
                <w:kern w:val="0"/>
                <w:position w:val="0"/>
                <w:sz w:val="24"/>
                <w:lang w:val="en-US" w:eastAsia="zh-CN"/>
              </w:rPr>
              <w:t>公司</w:t>
            </w:r>
            <w:r>
              <w:rPr>
                <w:rFonts w:hint="default" w:ascii="Times New Roman" w:hAnsi="Times New Roman" w:eastAsia="宋体" w:cs="Times New Roman"/>
                <w:smallCaps w:val="0"/>
                <w:color w:val="auto"/>
                <w:spacing w:val="0"/>
                <w:kern w:val="0"/>
                <w:position w:val="0"/>
                <w:sz w:val="24"/>
                <w:lang w:eastAsia="zh-CN"/>
              </w:rPr>
              <w:t>经营范围包括：五金工具、金属丝绳及其制品制造，模具、冲压件加工。（依法须经批准的项目,经相关部门批准后方可开展经营活动）。</w:t>
            </w:r>
          </w:p>
          <w:p w14:paraId="14ADE91D">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诚迅金属制品前期主要从事金属零部件贸易。</w:t>
            </w:r>
          </w:p>
          <w:p w14:paraId="60A35645">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为适应市场发展，诚迅金属制品投资300万元，利用现有标准厂房2026.31m</w:t>
            </w:r>
            <w:r>
              <w:rPr>
                <w:rFonts w:hint="default" w:ascii="Times New Roman" w:hAnsi="Times New Roman" w:eastAsia="宋体" w:cs="Times New Roman"/>
                <w:smallCaps w:val="0"/>
                <w:color w:val="auto"/>
                <w:spacing w:val="0"/>
                <w:kern w:val="0"/>
                <w:position w:val="0"/>
                <w:sz w:val="24"/>
                <w:vertAlign w:val="superscript"/>
                <w:lang w:val="en-US" w:eastAsia="zh-CN"/>
              </w:rPr>
              <w:t>2</w:t>
            </w:r>
            <w:r>
              <w:rPr>
                <w:rFonts w:hint="default" w:ascii="Times New Roman" w:hAnsi="Times New Roman" w:eastAsia="宋体" w:cs="Times New Roman"/>
                <w:smallCaps w:val="0"/>
                <w:color w:val="auto"/>
                <w:spacing w:val="0"/>
                <w:kern w:val="0"/>
                <w:position w:val="0"/>
                <w:sz w:val="24"/>
                <w:lang w:val="en-US" w:eastAsia="zh-CN"/>
              </w:rPr>
              <w:t>，购置折边机、剪板机、冲床等设备，建立信报箱生产线1条，形成年产2万套信报箱的生产能力。</w:t>
            </w:r>
          </w:p>
          <w:p w14:paraId="6551BD93">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本项目已于202</w:t>
            </w:r>
            <w:r>
              <w:rPr>
                <w:rFonts w:hint="default" w:ascii="Times New Roman" w:hAnsi="Times New Roman" w:eastAsia="宋体" w:cs="Times New Roman"/>
                <w:bCs/>
                <w:smallCaps w:val="0"/>
                <w:color w:val="auto"/>
                <w:spacing w:val="0"/>
                <w:kern w:val="0"/>
                <w:position w:val="0"/>
                <w:sz w:val="24"/>
                <w:szCs w:val="24"/>
                <w:lang w:val="en-US" w:eastAsia="zh-CN"/>
              </w:rPr>
              <w:t>5</w:t>
            </w:r>
            <w:r>
              <w:rPr>
                <w:rFonts w:hint="default" w:ascii="Times New Roman" w:hAnsi="Times New Roman" w:eastAsia="宋体" w:cs="Times New Roman"/>
                <w:bCs/>
                <w:smallCaps w:val="0"/>
                <w:color w:val="auto"/>
                <w:spacing w:val="0"/>
                <w:kern w:val="0"/>
                <w:position w:val="0"/>
                <w:sz w:val="24"/>
                <w:szCs w:val="24"/>
              </w:rPr>
              <w:t>年</w:t>
            </w:r>
            <w:r>
              <w:rPr>
                <w:rFonts w:hint="default" w:ascii="Times New Roman" w:hAnsi="Times New Roman" w:eastAsia="宋体" w:cs="Times New Roman"/>
                <w:bCs/>
                <w:smallCaps w:val="0"/>
                <w:color w:val="auto"/>
                <w:spacing w:val="0"/>
                <w:kern w:val="0"/>
                <w:position w:val="0"/>
                <w:sz w:val="24"/>
                <w:szCs w:val="24"/>
                <w:lang w:val="en-US" w:eastAsia="zh-CN"/>
              </w:rPr>
              <w:t>01月16日</w:t>
            </w:r>
            <w:r>
              <w:rPr>
                <w:rFonts w:hint="default" w:ascii="Times New Roman" w:hAnsi="Times New Roman" w:eastAsia="宋体" w:cs="Times New Roman"/>
                <w:bCs/>
                <w:smallCaps w:val="0"/>
                <w:color w:val="auto"/>
                <w:spacing w:val="0"/>
                <w:kern w:val="0"/>
                <w:position w:val="0"/>
                <w:sz w:val="24"/>
                <w:szCs w:val="24"/>
              </w:rPr>
              <w:t>取得</w:t>
            </w:r>
            <w:r>
              <w:rPr>
                <w:rFonts w:hint="default" w:ascii="Times New Roman" w:hAnsi="Times New Roman" w:eastAsia="宋体" w:cs="Times New Roman"/>
                <w:bCs/>
                <w:smallCaps w:val="0"/>
                <w:color w:val="auto"/>
                <w:spacing w:val="0"/>
                <w:kern w:val="0"/>
                <w:position w:val="0"/>
                <w:sz w:val="24"/>
                <w:szCs w:val="24"/>
                <w:lang w:eastAsia="zh-CN"/>
              </w:rPr>
              <w:t>江苏金坛经济开发区经济发展局</w:t>
            </w:r>
            <w:r>
              <w:rPr>
                <w:rFonts w:hint="default" w:ascii="Times New Roman" w:hAnsi="Times New Roman" w:eastAsia="宋体" w:cs="Times New Roman"/>
                <w:bCs/>
                <w:smallCaps w:val="0"/>
                <w:color w:val="auto"/>
                <w:spacing w:val="0"/>
                <w:kern w:val="0"/>
                <w:position w:val="0"/>
                <w:sz w:val="24"/>
                <w:szCs w:val="24"/>
              </w:rPr>
              <w:t>出具的《江苏省投资项目备案证》，备案证号：</w:t>
            </w:r>
            <w:r>
              <w:rPr>
                <w:rFonts w:hint="default" w:ascii="Times New Roman" w:hAnsi="Times New Roman" w:eastAsia="宋体" w:cs="Times New Roman"/>
                <w:bCs/>
                <w:smallCaps w:val="0"/>
                <w:color w:val="auto"/>
                <w:spacing w:val="0"/>
                <w:kern w:val="0"/>
                <w:position w:val="0"/>
                <w:sz w:val="24"/>
                <w:szCs w:val="24"/>
                <w:lang w:eastAsia="zh-CN"/>
              </w:rPr>
              <w:t>坛开经发备字[2025]11号</w:t>
            </w:r>
            <w:r>
              <w:rPr>
                <w:rFonts w:hint="default" w:ascii="Times New Roman" w:hAnsi="Times New Roman" w:eastAsia="宋体" w:cs="Times New Roman"/>
                <w:bCs/>
                <w:smallCaps w:val="0"/>
                <w:color w:val="auto"/>
                <w:spacing w:val="0"/>
                <w:kern w:val="0"/>
                <w:position w:val="0"/>
                <w:sz w:val="24"/>
                <w:szCs w:val="24"/>
              </w:rPr>
              <w:t>，项目代码</w:t>
            </w:r>
            <w:r>
              <w:rPr>
                <w:rFonts w:hint="default" w:ascii="Times New Roman" w:hAnsi="Times New Roman" w:eastAsia="宋体" w:cs="Times New Roman"/>
                <w:bCs/>
                <w:smallCaps w:val="0"/>
                <w:color w:val="auto"/>
                <w:spacing w:val="0"/>
                <w:kern w:val="0"/>
                <w:position w:val="0"/>
                <w:sz w:val="24"/>
                <w:szCs w:val="24"/>
                <w:lang w:eastAsia="zh-CN"/>
              </w:rPr>
              <w:t>2501-320458--89-01-338691</w:t>
            </w:r>
            <w:r>
              <w:rPr>
                <w:rFonts w:hint="default" w:ascii="Times New Roman" w:hAnsi="Times New Roman" w:eastAsia="宋体" w:cs="Times New Roman"/>
                <w:bCs/>
                <w:smallCaps w:val="0"/>
                <w:color w:val="auto"/>
                <w:spacing w:val="0"/>
                <w:kern w:val="0"/>
                <w:position w:val="0"/>
                <w:sz w:val="24"/>
                <w:szCs w:val="24"/>
              </w:rPr>
              <w:t>。</w:t>
            </w:r>
          </w:p>
          <w:p w14:paraId="6369AC5B">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本次</w:t>
            </w:r>
            <w:r>
              <w:rPr>
                <w:rFonts w:hint="default" w:ascii="Times New Roman" w:hAnsi="Times New Roman" w:eastAsia="宋体" w:cs="Times New Roman"/>
                <w:smallCaps w:val="0"/>
                <w:color w:val="auto"/>
                <w:spacing w:val="0"/>
                <w:kern w:val="0"/>
                <w:position w:val="0"/>
                <w:sz w:val="24"/>
                <w:lang w:val="en-US" w:eastAsia="zh-CN"/>
              </w:rPr>
              <w:t>新增</w:t>
            </w:r>
            <w:r>
              <w:rPr>
                <w:rFonts w:hint="default" w:ascii="Times New Roman" w:hAnsi="Times New Roman" w:eastAsia="宋体" w:cs="Times New Roman"/>
                <w:smallCaps w:val="0"/>
                <w:color w:val="auto"/>
                <w:spacing w:val="0"/>
                <w:kern w:val="0"/>
                <w:position w:val="0"/>
                <w:sz w:val="24"/>
              </w:rPr>
              <w:t>定员</w:t>
            </w:r>
            <w:r>
              <w:rPr>
                <w:rFonts w:hint="default" w:ascii="Times New Roman" w:hAnsi="Times New Roman" w:eastAsia="宋体" w:cs="Times New Roman"/>
                <w:smallCaps w:val="0"/>
                <w:color w:val="auto"/>
                <w:spacing w:val="0"/>
                <w:kern w:val="0"/>
                <w:position w:val="0"/>
                <w:sz w:val="24"/>
                <w:lang w:val="en-US" w:eastAsia="zh-CN"/>
              </w:rPr>
              <w:t>10</w:t>
            </w:r>
            <w:r>
              <w:rPr>
                <w:rFonts w:hint="default" w:ascii="Times New Roman" w:hAnsi="Times New Roman" w:eastAsia="宋体" w:cs="Times New Roman"/>
                <w:smallCaps w:val="0"/>
                <w:color w:val="auto"/>
                <w:spacing w:val="0"/>
                <w:kern w:val="0"/>
                <w:position w:val="0"/>
                <w:sz w:val="24"/>
              </w:rPr>
              <w:t>人，年工作天数300天，为</w:t>
            </w:r>
            <w:r>
              <w:rPr>
                <w:rFonts w:hint="default" w:ascii="Times New Roman" w:hAnsi="Times New Roman" w:eastAsia="宋体" w:cs="Times New Roman"/>
                <w:smallCaps w:val="0"/>
                <w:color w:val="auto"/>
                <w:spacing w:val="0"/>
                <w:kern w:val="0"/>
                <w:position w:val="0"/>
                <w:sz w:val="24"/>
                <w:lang w:val="en-US" w:eastAsia="zh-CN"/>
              </w:rPr>
              <w:t>单班8h制</w:t>
            </w:r>
            <w:r>
              <w:rPr>
                <w:rFonts w:hint="default" w:ascii="Times New Roman" w:hAnsi="Times New Roman" w:eastAsia="宋体" w:cs="Times New Roman"/>
                <w:smallCaps w:val="0"/>
                <w:color w:val="auto"/>
                <w:spacing w:val="0"/>
                <w:kern w:val="0"/>
                <w:position w:val="0"/>
                <w:sz w:val="24"/>
              </w:rPr>
              <w:t>，年工作时间为</w:t>
            </w:r>
            <w:r>
              <w:rPr>
                <w:rFonts w:hint="default" w:ascii="Times New Roman" w:hAnsi="Times New Roman" w:eastAsia="宋体" w:cs="Times New Roman"/>
                <w:smallCaps w:val="0"/>
                <w:color w:val="auto"/>
                <w:spacing w:val="0"/>
                <w:kern w:val="0"/>
                <w:position w:val="0"/>
                <w:sz w:val="24"/>
                <w:lang w:val="en-US" w:eastAsia="zh-CN"/>
              </w:rPr>
              <w:t>24</w:t>
            </w:r>
            <w:r>
              <w:rPr>
                <w:rFonts w:hint="default" w:ascii="Times New Roman" w:hAnsi="Times New Roman" w:eastAsia="宋体" w:cs="Times New Roman"/>
                <w:smallCaps w:val="0"/>
                <w:color w:val="auto"/>
                <w:spacing w:val="0"/>
                <w:kern w:val="0"/>
                <w:position w:val="0"/>
                <w:sz w:val="24"/>
              </w:rPr>
              <w:t>00h。</w:t>
            </w:r>
          </w:p>
          <w:p w14:paraId="20814D33">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rPr>
              <w:t>根据《中华人民共和国环境保护法》、《中华人民共和国环境影响评价法》和《建设项目环境保护管理条例》（2017年修订）的有关要求，本项目应当进行环境影响评价工作，以论证该项目在环境保护方面的可行性。经查《建设项目环境影响评价分类管理名录》（2021版），本项目属于“三十二、专业设备制造业35-70环保、邮政、社会公共服务及其他专用设备制造359”</w:t>
            </w:r>
            <w:r>
              <w:rPr>
                <w:rFonts w:hint="default" w:ascii="Times New Roman" w:hAnsi="Times New Roman" w:eastAsia="宋体" w:cs="Times New Roman"/>
                <w:smallCaps w:val="0"/>
                <w:color w:val="auto"/>
                <w:spacing w:val="0"/>
                <w:kern w:val="0"/>
                <w:position w:val="0"/>
                <w:sz w:val="24"/>
                <w:lang w:val="en-US" w:eastAsia="zh-CN"/>
              </w:rPr>
              <w:t>中“其他（仅分割、焊接、组装的除外；年用非溶剂型低VOCs含量涂料10吨以下的除外）”</w:t>
            </w:r>
            <w:r>
              <w:rPr>
                <w:rFonts w:hint="default" w:ascii="Times New Roman" w:hAnsi="Times New Roman" w:eastAsia="宋体" w:cs="Times New Roman"/>
                <w:smallCaps w:val="0"/>
                <w:color w:val="auto"/>
                <w:spacing w:val="0"/>
                <w:kern w:val="0"/>
                <w:position w:val="0"/>
                <w:sz w:val="24"/>
              </w:rPr>
              <w:t>，</w:t>
            </w:r>
            <w:r>
              <w:rPr>
                <w:rFonts w:hint="default" w:ascii="Times New Roman" w:hAnsi="Times New Roman" w:eastAsia="宋体" w:cs="Times New Roman"/>
                <w:smallCaps w:val="0"/>
                <w:color w:val="auto"/>
                <w:spacing w:val="0"/>
                <w:kern w:val="0"/>
                <w:position w:val="0"/>
                <w:sz w:val="24"/>
                <w:lang w:val="en-US" w:eastAsia="zh-CN"/>
              </w:rPr>
              <w:t>本项目含清洗工段，应编制环境影响报告表；受</w:t>
            </w:r>
            <w:r>
              <w:rPr>
                <w:rFonts w:hint="default" w:ascii="Times New Roman" w:hAnsi="Times New Roman" w:eastAsia="宋体" w:cs="Times New Roman"/>
                <w:smallCaps w:val="0"/>
                <w:color w:val="auto"/>
                <w:spacing w:val="0"/>
                <w:kern w:val="0"/>
                <w:position w:val="0"/>
                <w:sz w:val="24"/>
                <w:lang w:eastAsia="zh-CN"/>
              </w:rPr>
              <w:t>诚迅金属制品</w:t>
            </w:r>
            <w:r>
              <w:rPr>
                <w:rFonts w:hint="default" w:ascii="Times New Roman" w:hAnsi="Times New Roman" w:eastAsia="宋体" w:cs="Times New Roman"/>
                <w:smallCaps w:val="0"/>
                <w:color w:val="auto"/>
                <w:spacing w:val="0"/>
                <w:kern w:val="0"/>
                <w:position w:val="0"/>
                <w:sz w:val="24"/>
                <w:lang w:val="en-US" w:eastAsia="zh-CN"/>
              </w:rPr>
              <w:t>委托，我单位承担该项目的编制工作，经过现场勘查及工程分析，依据《建设项目环境影响报告表编制技术指南（污染影响类）（试行）》的要求，编制了该项目的环境影响报告表。</w:t>
            </w:r>
          </w:p>
          <w:p w14:paraId="3889DDC2">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2"/>
              <w:textAlignment w:val="auto"/>
              <w:rPr>
                <w:rStyle w:val="20"/>
                <w:rFonts w:hint="default" w:ascii="Times New Roman" w:hAnsi="Times New Roman" w:eastAsia="宋体" w:cs="Times New Roman"/>
                <w:bCs w:val="0"/>
                <w:smallCaps w:val="0"/>
                <w:color w:val="auto"/>
                <w:spacing w:val="0"/>
                <w:kern w:val="0"/>
                <w:position w:val="0"/>
                <w:sz w:val="24"/>
              </w:rPr>
            </w:pPr>
            <w:r>
              <w:rPr>
                <w:rStyle w:val="20"/>
                <w:rFonts w:hint="default" w:ascii="Times New Roman" w:hAnsi="Times New Roman" w:eastAsia="宋体" w:cs="Times New Roman"/>
                <w:bCs w:val="0"/>
                <w:smallCaps w:val="0"/>
                <w:color w:val="auto"/>
                <w:spacing w:val="0"/>
                <w:kern w:val="0"/>
                <w:position w:val="0"/>
                <w:sz w:val="24"/>
              </w:rPr>
              <w:t>2、主体工程及产品方案</w:t>
            </w:r>
          </w:p>
          <w:p w14:paraId="3CFE16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p>
          <w:p w14:paraId="30E8BD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lang w:val="en-US" w:eastAsia="zh-CN"/>
              </w:rPr>
            </w:pPr>
            <w:r>
              <w:rPr>
                <w:rFonts w:hint="default" w:ascii="Times New Roman" w:hAnsi="Times New Roman" w:eastAsia="宋体" w:cs="Times New Roman"/>
                <w:b/>
                <w:bCs/>
                <w:smallCaps w:val="0"/>
                <w:color w:val="auto"/>
                <w:spacing w:val="0"/>
                <w:kern w:val="0"/>
                <w:position w:val="0"/>
                <w:sz w:val="21"/>
                <w:szCs w:val="24"/>
              </w:rPr>
              <w:t>表2-1建设项目</w:t>
            </w:r>
            <w:r>
              <w:rPr>
                <w:rFonts w:hint="default" w:ascii="Times New Roman" w:hAnsi="Times New Roman" w:eastAsia="宋体" w:cs="Times New Roman"/>
                <w:b/>
                <w:bCs/>
                <w:smallCaps w:val="0"/>
                <w:color w:val="auto"/>
                <w:spacing w:val="0"/>
                <w:kern w:val="0"/>
                <w:position w:val="0"/>
                <w:sz w:val="21"/>
                <w:szCs w:val="24"/>
                <w:lang w:val="en-US" w:eastAsia="zh-CN"/>
              </w:rPr>
              <w:t>主体工程</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1217"/>
              <w:gridCol w:w="1667"/>
              <w:gridCol w:w="3266"/>
            </w:tblGrid>
            <w:tr w14:paraId="11DD0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shd w:val="clear" w:color="auto" w:fill="auto"/>
                  <w:noWrap w:val="0"/>
                  <w:vAlign w:val="center"/>
                </w:tcPr>
                <w:p w14:paraId="5B3776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Cs w:val="21"/>
                      <w:lang w:val="en-US" w:eastAsia="zh-CN"/>
                    </w:rPr>
                    <w:t>生产线名称</w:t>
                  </w:r>
                </w:p>
              </w:tc>
              <w:tc>
                <w:tcPr>
                  <w:tcW w:w="732" w:type="pct"/>
                  <w:noWrap w:val="0"/>
                  <w:vAlign w:val="center"/>
                </w:tcPr>
                <w:p w14:paraId="4A4461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Cs w:val="21"/>
                      <w:lang w:val="en-US" w:eastAsia="zh-CN"/>
                    </w:rPr>
                    <w:t>层数</w:t>
                  </w:r>
                </w:p>
              </w:tc>
              <w:tc>
                <w:tcPr>
                  <w:tcW w:w="1003" w:type="pct"/>
                  <w:noWrap w:val="0"/>
                  <w:vAlign w:val="center"/>
                </w:tcPr>
                <w:p w14:paraId="5F129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Cs w:val="21"/>
                      <w:lang w:val="en-US" w:eastAsia="zh-CN"/>
                    </w:rPr>
                    <w:t>建筑面积</w:t>
                  </w:r>
                </w:p>
              </w:tc>
              <w:tc>
                <w:tcPr>
                  <w:tcW w:w="1965" w:type="pct"/>
                  <w:noWrap w:val="0"/>
                  <w:vAlign w:val="center"/>
                </w:tcPr>
                <w:p w14:paraId="0B27B1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lang w:val="en-US" w:eastAsia="zh-CN" w:bidi="ar-SA"/>
                    </w:rPr>
                    <w:t>功能</w:t>
                  </w:r>
                </w:p>
              </w:tc>
            </w:tr>
            <w:tr w14:paraId="7F578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pct"/>
                  <w:shd w:val="clear" w:color="auto" w:fill="auto"/>
                  <w:noWrap w:val="0"/>
                  <w:vAlign w:val="center"/>
                </w:tcPr>
                <w:p w14:paraId="78BC3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bidi="ar-SA"/>
                    </w:rPr>
                  </w:pPr>
                  <w:r>
                    <w:rPr>
                      <w:rFonts w:hint="default" w:ascii="Times New Roman" w:hAnsi="Times New Roman" w:eastAsia="宋体" w:cs="Times New Roman"/>
                      <w:bCs/>
                      <w:smallCaps w:val="0"/>
                      <w:color w:val="auto"/>
                      <w:spacing w:val="0"/>
                      <w:kern w:val="0"/>
                      <w:position w:val="0"/>
                      <w:szCs w:val="21"/>
                      <w:lang w:val="en-US" w:eastAsia="zh-CN"/>
                    </w:rPr>
                    <w:t>信报箱加工生产线</w:t>
                  </w:r>
                </w:p>
              </w:tc>
              <w:tc>
                <w:tcPr>
                  <w:tcW w:w="732" w:type="pct"/>
                  <w:noWrap w:val="0"/>
                  <w:vAlign w:val="center"/>
                </w:tcPr>
                <w:p w14:paraId="25633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1</w:t>
                  </w:r>
                </w:p>
              </w:tc>
              <w:tc>
                <w:tcPr>
                  <w:tcW w:w="1003" w:type="pct"/>
                  <w:noWrap w:val="0"/>
                  <w:vAlign w:val="center"/>
                </w:tcPr>
                <w:p w14:paraId="2882E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2026.31m</w:t>
                  </w:r>
                  <w:r>
                    <w:rPr>
                      <w:rFonts w:hint="default" w:ascii="Times New Roman" w:hAnsi="Times New Roman" w:eastAsia="宋体" w:cs="Times New Roman"/>
                      <w:bCs/>
                      <w:smallCaps w:val="0"/>
                      <w:color w:val="auto"/>
                      <w:spacing w:val="0"/>
                      <w:kern w:val="0"/>
                      <w:position w:val="0"/>
                      <w:szCs w:val="21"/>
                      <w:vertAlign w:val="superscript"/>
                      <w:lang w:val="en-US" w:eastAsia="zh-CN"/>
                    </w:rPr>
                    <w:t>2</w:t>
                  </w:r>
                </w:p>
              </w:tc>
              <w:tc>
                <w:tcPr>
                  <w:tcW w:w="1965" w:type="pct"/>
                  <w:noWrap w:val="0"/>
                  <w:vAlign w:val="center"/>
                </w:tcPr>
                <w:p w14:paraId="14287A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生产车间二</w:t>
                  </w:r>
                </w:p>
                <w:p w14:paraId="7B1F95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新建年产2万套信报箱生产项目</w:t>
                  </w:r>
                </w:p>
              </w:tc>
            </w:tr>
          </w:tbl>
          <w:p w14:paraId="61E97C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p>
          <w:p w14:paraId="4EE95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p>
          <w:p w14:paraId="588EFF1D">
            <w:pPr>
              <w:pStyle w:val="7"/>
              <w:rPr>
                <w:rFonts w:hint="default"/>
                <w:color w:val="auto"/>
              </w:rPr>
            </w:pPr>
          </w:p>
          <w:p w14:paraId="10BBEE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r>
              <w:rPr>
                <w:rFonts w:hint="default" w:ascii="Times New Roman" w:hAnsi="Times New Roman" w:eastAsia="宋体" w:cs="Times New Roman"/>
                <w:b/>
                <w:bCs/>
                <w:smallCaps w:val="0"/>
                <w:color w:val="auto"/>
                <w:spacing w:val="0"/>
                <w:kern w:val="0"/>
                <w:position w:val="0"/>
                <w:sz w:val="21"/>
                <w:szCs w:val="24"/>
              </w:rPr>
              <w:t>表2-</w:t>
            </w:r>
            <w:r>
              <w:rPr>
                <w:rFonts w:hint="default" w:ascii="Times New Roman" w:hAnsi="Times New Roman" w:eastAsia="宋体" w:cs="Times New Roman"/>
                <w:b/>
                <w:bCs/>
                <w:smallCaps w:val="0"/>
                <w:color w:val="auto"/>
                <w:spacing w:val="0"/>
                <w:kern w:val="0"/>
                <w:position w:val="0"/>
                <w:sz w:val="21"/>
                <w:szCs w:val="24"/>
                <w:lang w:val="en-US" w:eastAsia="zh-CN"/>
              </w:rPr>
              <w:t>2本项目</w:t>
            </w:r>
            <w:r>
              <w:rPr>
                <w:rFonts w:hint="default" w:ascii="Times New Roman" w:hAnsi="Times New Roman" w:eastAsia="宋体" w:cs="Times New Roman"/>
                <w:b/>
                <w:bCs/>
                <w:smallCaps w:val="0"/>
                <w:color w:val="auto"/>
                <w:spacing w:val="0"/>
                <w:kern w:val="0"/>
                <w:position w:val="0"/>
                <w:sz w:val="21"/>
                <w:szCs w:val="24"/>
              </w:rPr>
              <w:t>产品方案</w:t>
            </w:r>
          </w:p>
          <w:tbl>
            <w:tblPr>
              <w:tblStyle w:val="17"/>
              <w:tblW w:w="83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112"/>
              <w:gridCol w:w="1438"/>
              <w:gridCol w:w="1538"/>
              <w:gridCol w:w="1994"/>
              <w:gridCol w:w="1617"/>
            </w:tblGrid>
            <w:tr w14:paraId="27161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noWrap w:val="0"/>
                  <w:vAlign w:val="center"/>
                </w:tcPr>
                <w:p w14:paraId="78B9B9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序号</w:t>
                  </w:r>
                </w:p>
              </w:tc>
              <w:tc>
                <w:tcPr>
                  <w:tcW w:w="1526" w:type="pct"/>
                  <w:gridSpan w:val="2"/>
                  <w:shd w:val="clear" w:color="auto" w:fill="auto"/>
                  <w:noWrap w:val="0"/>
                  <w:vAlign w:val="center"/>
                </w:tcPr>
                <w:p w14:paraId="35C4FC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Cs w:val="21"/>
                    </w:rPr>
                    <w:t>产品名称</w:t>
                  </w:r>
                </w:p>
              </w:tc>
              <w:tc>
                <w:tcPr>
                  <w:tcW w:w="920" w:type="pct"/>
                  <w:noWrap w:val="0"/>
                  <w:vAlign w:val="center"/>
                </w:tcPr>
                <w:p w14:paraId="00A12C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Cs w:val="21"/>
                      <w:lang w:val="en-US" w:eastAsia="zh-CN"/>
                    </w:rPr>
                  </w:pPr>
                  <w:r>
                    <w:rPr>
                      <w:rFonts w:hint="default" w:ascii="Times New Roman" w:hAnsi="Times New Roman" w:eastAsia="宋体" w:cs="Times New Roman"/>
                      <w:b/>
                      <w:bCs/>
                      <w:smallCaps w:val="0"/>
                      <w:color w:val="auto"/>
                      <w:spacing w:val="0"/>
                      <w:kern w:val="0"/>
                      <w:position w:val="0"/>
                      <w:szCs w:val="21"/>
                      <w:lang w:val="en-US" w:eastAsia="zh-CN"/>
                    </w:rPr>
                    <w:t>型号规格</w:t>
                  </w:r>
                </w:p>
              </w:tc>
              <w:tc>
                <w:tcPr>
                  <w:tcW w:w="1193" w:type="pct"/>
                  <w:noWrap w:val="0"/>
                  <w:vAlign w:val="center"/>
                </w:tcPr>
                <w:p w14:paraId="6E79A3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Cs w:val="21"/>
                      <w:lang w:eastAsia="zh-CN"/>
                    </w:rPr>
                  </w:pPr>
                  <w:r>
                    <w:rPr>
                      <w:rFonts w:hint="default" w:ascii="Times New Roman" w:hAnsi="Times New Roman" w:eastAsia="宋体" w:cs="Times New Roman"/>
                      <w:b/>
                      <w:bCs/>
                      <w:smallCaps w:val="0"/>
                      <w:color w:val="auto"/>
                      <w:spacing w:val="0"/>
                      <w:kern w:val="0"/>
                      <w:position w:val="0"/>
                      <w:szCs w:val="21"/>
                    </w:rPr>
                    <w:t>设计能力</w:t>
                  </w:r>
                  <w:r>
                    <w:rPr>
                      <w:rFonts w:hint="default" w:ascii="Times New Roman" w:hAnsi="Times New Roman" w:eastAsia="宋体" w:cs="Times New Roman"/>
                      <w:b/>
                      <w:bCs/>
                      <w:smallCaps w:val="0"/>
                      <w:color w:val="auto"/>
                      <w:spacing w:val="0"/>
                      <w:kern w:val="0"/>
                      <w:position w:val="0"/>
                      <w:szCs w:val="21"/>
                      <w:lang w:eastAsia="zh-CN"/>
                    </w:rPr>
                    <w:t>（</w:t>
                  </w:r>
                  <w:r>
                    <w:rPr>
                      <w:rFonts w:hint="default" w:ascii="Times New Roman" w:hAnsi="Times New Roman" w:eastAsia="宋体" w:cs="Times New Roman"/>
                      <w:b/>
                      <w:bCs/>
                      <w:smallCaps w:val="0"/>
                      <w:color w:val="auto"/>
                      <w:spacing w:val="0"/>
                      <w:kern w:val="0"/>
                      <w:position w:val="0"/>
                      <w:szCs w:val="21"/>
                      <w:lang w:val="en-US" w:eastAsia="zh-CN"/>
                    </w:rPr>
                    <w:t>套/a</w:t>
                  </w:r>
                  <w:r>
                    <w:rPr>
                      <w:rFonts w:hint="default" w:ascii="Times New Roman" w:hAnsi="Times New Roman" w:eastAsia="宋体" w:cs="Times New Roman"/>
                      <w:b/>
                      <w:bCs/>
                      <w:smallCaps w:val="0"/>
                      <w:color w:val="auto"/>
                      <w:spacing w:val="0"/>
                      <w:kern w:val="0"/>
                      <w:position w:val="0"/>
                      <w:szCs w:val="21"/>
                      <w:lang w:eastAsia="zh-CN"/>
                    </w:rPr>
                    <w:t>）</w:t>
                  </w:r>
                </w:p>
              </w:tc>
              <w:tc>
                <w:tcPr>
                  <w:tcW w:w="967" w:type="pct"/>
                  <w:noWrap w:val="0"/>
                  <w:vAlign w:val="center"/>
                </w:tcPr>
                <w:p w14:paraId="7F22B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年运行时数（h）</w:t>
                  </w:r>
                </w:p>
              </w:tc>
            </w:tr>
            <w:tr w14:paraId="17F16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restart"/>
                  <w:noWrap w:val="0"/>
                  <w:vAlign w:val="center"/>
                </w:tcPr>
                <w:p w14:paraId="5830F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1</w:t>
                  </w:r>
                </w:p>
              </w:tc>
              <w:tc>
                <w:tcPr>
                  <w:tcW w:w="665" w:type="pct"/>
                  <w:vMerge w:val="restart"/>
                  <w:shd w:val="clear" w:color="auto" w:fill="auto"/>
                  <w:noWrap w:val="0"/>
                  <w:vAlign w:val="center"/>
                </w:tcPr>
                <w:p w14:paraId="1DDB18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信报箱加工生产线</w:t>
                  </w:r>
                </w:p>
              </w:tc>
              <w:tc>
                <w:tcPr>
                  <w:tcW w:w="860" w:type="pct"/>
                  <w:shd w:val="clear" w:color="auto" w:fill="auto"/>
                  <w:noWrap w:val="0"/>
                  <w:vAlign w:val="center"/>
                </w:tcPr>
                <w:p w14:paraId="51E189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bidi="ar-SA"/>
                    </w:rPr>
                  </w:pPr>
                  <w:r>
                    <w:rPr>
                      <w:rFonts w:hint="default" w:ascii="Times New Roman" w:hAnsi="Times New Roman" w:eastAsia="宋体" w:cs="Times New Roman"/>
                      <w:bCs/>
                      <w:smallCaps w:val="0"/>
                      <w:color w:val="auto"/>
                      <w:spacing w:val="0"/>
                      <w:kern w:val="0"/>
                      <w:position w:val="0"/>
                      <w:szCs w:val="21"/>
                      <w:lang w:val="en-US" w:eastAsia="zh-CN"/>
                    </w:rPr>
                    <w:t>智能信报箱</w:t>
                  </w:r>
                </w:p>
              </w:tc>
              <w:tc>
                <w:tcPr>
                  <w:tcW w:w="920" w:type="pct"/>
                  <w:noWrap w:val="0"/>
                  <w:vAlign w:val="center"/>
                </w:tcPr>
                <w:p w14:paraId="76BA8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0.25*0.1*0.25</w:t>
                  </w:r>
                </w:p>
              </w:tc>
              <w:tc>
                <w:tcPr>
                  <w:tcW w:w="1193" w:type="pct"/>
                  <w:noWrap w:val="0"/>
                  <w:vAlign w:val="center"/>
                </w:tcPr>
                <w:p w14:paraId="4BE1DB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bidi="ar-SA"/>
                    </w:rPr>
                  </w:pPr>
                  <w:r>
                    <w:rPr>
                      <w:rFonts w:hint="default" w:ascii="Times New Roman" w:hAnsi="Times New Roman" w:eastAsia="宋体" w:cs="Times New Roman"/>
                      <w:bCs/>
                      <w:smallCaps w:val="0"/>
                      <w:color w:val="auto"/>
                      <w:spacing w:val="0"/>
                      <w:kern w:val="0"/>
                      <w:position w:val="0"/>
                      <w:sz w:val="21"/>
                      <w:szCs w:val="21"/>
                      <w:lang w:val="en-US" w:eastAsia="zh-CN" w:bidi="ar-SA"/>
                    </w:rPr>
                    <w:t>10000</w:t>
                  </w:r>
                </w:p>
              </w:tc>
              <w:tc>
                <w:tcPr>
                  <w:tcW w:w="967" w:type="pct"/>
                  <w:noWrap w:val="0"/>
                  <w:vAlign w:val="center"/>
                </w:tcPr>
                <w:p w14:paraId="1C8690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2400</w:t>
                  </w:r>
                </w:p>
              </w:tc>
            </w:tr>
            <w:tr w14:paraId="0C8AB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2" w:type="pct"/>
                  <w:vMerge w:val="continue"/>
                  <w:noWrap w:val="0"/>
                  <w:vAlign w:val="center"/>
                </w:tcPr>
                <w:p w14:paraId="4CE23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p>
              </w:tc>
              <w:tc>
                <w:tcPr>
                  <w:tcW w:w="665" w:type="pct"/>
                  <w:vMerge w:val="continue"/>
                  <w:shd w:val="clear" w:color="auto" w:fill="auto"/>
                  <w:noWrap w:val="0"/>
                  <w:vAlign w:val="center"/>
                </w:tcPr>
                <w:p w14:paraId="4BE8B7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p>
              </w:tc>
              <w:tc>
                <w:tcPr>
                  <w:tcW w:w="860" w:type="pct"/>
                  <w:shd w:val="clear" w:color="auto" w:fill="auto"/>
                  <w:noWrap w:val="0"/>
                  <w:vAlign w:val="center"/>
                </w:tcPr>
                <w:p w14:paraId="4EDBD9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 w:val="21"/>
                      <w:szCs w:val="21"/>
                      <w:lang w:val="en-US" w:eastAsia="zh-CN" w:bidi="ar-SA"/>
                    </w:rPr>
                  </w:pPr>
                  <w:r>
                    <w:rPr>
                      <w:rFonts w:hint="default" w:ascii="Times New Roman" w:hAnsi="Times New Roman" w:eastAsia="宋体" w:cs="Times New Roman"/>
                      <w:bCs/>
                      <w:smallCaps w:val="0"/>
                      <w:color w:val="auto"/>
                      <w:spacing w:val="0"/>
                      <w:kern w:val="0"/>
                      <w:position w:val="0"/>
                      <w:szCs w:val="21"/>
                      <w:lang w:val="en-US" w:eastAsia="zh-CN"/>
                    </w:rPr>
                    <w:t>普通信报箱</w:t>
                  </w:r>
                </w:p>
              </w:tc>
              <w:tc>
                <w:tcPr>
                  <w:tcW w:w="920" w:type="pct"/>
                  <w:noWrap w:val="0"/>
                  <w:vAlign w:val="center"/>
                </w:tcPr>
                <w:p w14:paraId="42D636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0.25*0.1*0.25</w:t>
                  </w:r>
                </w:p>
              </w:tc>
              <w:tc>
                <w:tcPr>
                  <w:tcW w:w="1193" w:type="pct"/>
                  <w:noWrap w:val="0"/>
                  <w:vAlign w:val="center"/>
                </w:tcPr>
                <w:p w14:paraId="7BA56B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10000</w:t>
                  </w:r>
                </w:p>
              </w:tc>
              <w:tc>
                <w:tcPr>
                  <w:tcW w:w="967" w:type="pct"/>
                  <w:noWrap w:val="0"/>
                  <w:vAlign w:val="center"/>
                </w:tcPr>
                <w:p w14:paraId="198F4B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2400</w:t>
                  </w:r>
                </w:p>
              </w:tc>
            </w:tr>
          </w:tbl>
          <w:p w14:paraId="05F6753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smallCaps w:val="0"/>
                <w:color w:val="auto"/>
                <w:spacing w:val="0"/>
                <w:sz w:val="21"/>
                <w:szCs w:val="24"/>
                <w:lang w:eastAsia="zh-CN"/>
              </w:rPr>
            </w:pPr>
            <w:r>
              <w:rPr>
                <w:rFonts w:hint="default" w:ascii="Times New Roman" w:hAnsi="Times New Roman" w:eastAsia="宋体" w:cs="Times New Roman"/>
                <w:b/>
                <w:bCs/>
                <w:smallCaps w:val="0"/>
                <w:color w:val="auto"/>
                <w:spacing w:val="0"/>
                <w:sz w:val="21"/>
                <w:szCs w:val="24"/>
                <w:lang w:val="en-US" w:eastAsia="zh-CN"/>
              </w:rPr>
              <w:t>注：本项目主要为信报箱</w:t>
            </w:r>
            <w:r>
              <w:rPr>
                <w:rFonts w:hint="default" w:ascii="Times New Roman" w:hAnsi="Times New Roman" w:eastAsia="宋体" w:cs="Times New Roman"/>
                <w:b/>
                <w:bCs/>
                <w:smallCaps w:val="0"/>
                <w:color w:val="auto"/>
                <w:spacing w:val="0"/>
                <w:sz w:val="21"/>
                <w:szCs w:val="24"/>
              </w:rPr>
              <w:t>规格一般为定制产品，非标</w:t>
            </w:r>
            <w:r>
              <w:rPr>
                <w:rFonts w:hint="default" w:ascii="Times New Roman" w:hAnsi="Times New Roman" w:eastAsia="宋体" w:cs="Times New Roman"/>
                <w:b/>
                <w:bCs/>
                <w:smallCaps w:val="0"/>
                <w:color w:val="auto"/>
                <w:spacing w:val="0"/>
                <w:sz w:val="21"/>
                <w:szCs w:val="24"/>
                <w:lang w:eastAsia="zh-CN"/>
              </w:rPr>
              <w:t>。</w:t>
            </w:r>
          </w:p>
          <w:tbl>
            <w:tblPr>
              <w:tblStyle w:val="17"/>
              <w:tblW w:w="502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6"/>
              <w:gridCol w:w="4176"/>
            </w:tblGrid>
            <w:tr w14:paraId="06466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noWrap w:val="0"/>
                  <w:vAlign w:val="center"/>
                </w:tcPr>
                <w:p w14:paraId="27702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mallCaps w:val="0"/>
                      <w:color w:val="auto"/>
                      <w:spacing w:val="0"/>
                      <w:kern w:val="0"/>
                      <w:position w:val="0"/>
                      <w:szCs w:val="21"/>
                      <w:lang w:eastAsia="zh-CN"/>
                    </w:rPr>
                  </w:pPr>
                  <w:r>
                    <w:rPr>
                      <w:rFonts w:hint="default" w:ascii="Times New Roman" w:hAnsi="Times New Roman" w:eastAsia="宋体" w:cs="Times New Roman"/>
                      <w:color w:val="auto"/>
                    </w:rPr>
                    <w:drawing>
                      <wp:inline distT="0" distB="0" distL="114300" distR="114300">
                        <wp:extent cx="2513330" cy="2134235"/>
                        <wp:effectExtent l="0" t="0" r="1270"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2513330" cy="2134235"/>
                                </a:xfrm>
                                <a:prstGeom prst="rect">
                                  <a:avLst/>
                                </a:prstGeom>
                                <a:noFill/>
                                <a:ln>
                                  <a:noFill/>
                                </a:ln>
                              </pic:spPr>
                            </pic:pic>
                          </a:graphicData>
                        </a:graphic>
                      </wp:inline>
                    </w:drawing>
                  </w:r>
                </w:p>
              </w:tc>
              <w:tc>
                <w:tcPr>
                  <w:tcW w:w="2500" w:type="pct"/>
                  <w:noWrap w:val="0"/>
                  <w:vAlign w:val="center"/>
                </w:tcPr>
                <w:p w14:paraId="597B1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color w:val="auto"/>
                    </w:rPr>
                    <w:drawing>
                      <wp:inline distT="0" distB="0" distL="114300" distR="114300">
                        <wp:extent cx="2171700" cy="219075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2171700" cy="2190750"/>
                                </a:xfrm>
                                <a:prstGeom prst="rect">
                                  <a:avLst/>
                                </a:prstGeom>
                                <a:noFill/>
                                <a:ln>
                                  <a:noFill/>
                                </a:ln>
                              </pic:spPr>
                            </pic:pic>
                          </a:graphicData>
                        </a:graphic>
                      </wp:inline>
                    </w:drawing>
                  </w:r>
                </w:p>
              </w:tc>
            </w:tr>
          </w:tbl>
          <w:p w14:paraId="6E3ACB1B">
            <w:pPr>
              <w:autoSpaceDE w:val="0"/>
              <w:autoSpaceDN w:val="0"/>
              <w:adjustRightInd w:val="0"/>
              <w:snapToGrid w:val="0"/>
              <w:spacing w:line="440" w:lineRule="exact"/>
              <w:ind w:firstLine="482" w:firstLineChars="200"/>
              <w:rPr>
                <w:rStyle w:val="20"/>
                <w:rFonts w:hint="default" w:ascii="Times New Roman" w:hAnsi="Times New Roman" w:eastAsia="宋体" w:cs="Times New Roman"/>
                <w:smallCaps w:val="0"/>
                <w:color w:val="auto"/>
                <w:spacing w:val="0"/>
                <w:kern w:val="0"/>
                <w:position w:val="0"/>
              </w:rPr>
            </w:pPr>
            <w:r>
              <w:rPr>
                <w:rStyle w:val="20"/>
                <w:rFonts w:hint="default" w:ascii="Times New Roman" w:hAnsi="Times New Roman" w:eastAsia="宋体" w:cs="Times New Roman"/>
                <w:smallCaps w:val="0"/>
                <w:color w:val="auto"/>
                <w:spacing w:val="0"/>
                <w:kern w:val="0"/>
                <w:position w:val="0"/>
                <w:sz w:val="24"/>
              </w:rPr>
              <w:t>3、公用</w:t>
            </w:r>
            <w:r>
              <w:rPr>
                <w:rStyle w:val="20"/>
                <w:rFonts w:hint="default" w:ascii="Times New Roman" w:hAnsi="Times New Roman" w:eastAsia="宋体" w:cs="Times New Roman"/>
                <w:smallCaps w:val="0"/>
                <w:color w:val="auto"/>
                <w:spacing w:val="0"/>
                <w:kern w:val="0"/>
                <w:position w:val="0"/>
                <w:sz w:val="24"/>
                <w:lang w:eastAsia="zh-CN"/>
              </w:rPr>
              <w:t>、</w:t>
            </w:r>
            <w:r>
              <w:rPr>
                <w:rStyle w:val="20"/>
                <w:rFonts w:hint="default" w:ascii="Times New Roman" w:hAnsi="Times New Roman" w:eastAsia="宋体" w:cs="Times New Roman"/>
                <w:smallCaps w:val="0"/>
                <w:color w:val="auto"/>
                <w:spacing w:val="0"/>
                <w:kern w:val="0"/>
                <w:position w:val="0"/>
                <w:sz w:val="24"/>
              </w:rPr>
              <w:t>辅助</w:t>
            </w:r>
            <w:r>
              <w:rPr>
                <w:rStyle w:val="20"/>
                <w:rFonts w:hint="default" w:ascii="Times New Roman" w:hAnsi="Times New Roman" w:eastAsia="宋体" w:cs="Times New Roman"/>
                <w:smallCaps w:val="0"/>
                <w:color w:val="auto"/>
                <w:spacing w:val="0"/>
                <w:kern w:val="0"/>
                <w:position w:val="0"/>
                <w:sz w:val="24"/>
                <w:lang w:eastAsia="zh-CN"/>
              </w:rPr>
              <w:t>、</w:t>
            </w:r>
            <w:r>
              <w:rPr>
                <w:rStyle w:val="20"/>
                <w:rFonts w:hint="default" w:ascii="Times New Roman" w:hAnsi="Times New Roman" w:eastAsia="宋体" w:cs="Times New Roman"/>
                <w:smallCaps w:val="0"/>
                <w:color w:val="auto"/>
                <w:spacing w:val="0"/>
                <w:kern w:val="0"/>
                <w:position w:val="0"/>
                <w:sz w:val="24"/>
                <w:lang w:val="en-US" w:eastAsia="zh-CN"/>
              </w:rPr>
              <w:t>环保及依托</w:t>
            </w:r>
            <w:r>
              <w:rPr>
                <w:rStyle w:val="20"/>
                <w:rFonts w:hint="default" w:ascii="Times New Roman" w:hAnsi="Times New Roman" w:eastAsia="宋体" w:cs="Times New Roman"/>
                <w:smallCaps w:val="0"/>
                <w:color w:val="auto"/>
                <w:spacing w:val="0"/>
                <w:kern w:val="0"/>
                <w:position w:val="0"/>
                <w:sz w:val="24"/>
              </w:rPr>
              <w:t>工程</w:t>
            </w:r>
          </w:p>
          <w:p w14:paraId="7DAB45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r>
              <w:rPr>
                <w:rFonts w:hint="default" w:ascii="Times New Roman" w:hAnsi="Times New Roman" w:eastAsia="宋体" w:cs="Times New Roman"/>
                <w:b/>
                <w:bCs/>
                <w:smallCaps w:val="0"/>
                <w:color w:val="auto"/>
                <w:spacing w:val="0"/>
                <w:kern w:val="0"/>
                <w:position w:val="0"/>
                <w:sz w:val="21"/>
                <w:szCs w:val="24"/>
              </w:rPr>
              <w:t>表2-</w:t>
            </w:r>
            <w:r>
              <w:rPr>
                <w:rFonts w:hint="default" w:ascii="Times New Roman" w:hAnsi="Times New Roman" w:eastAsia="宋体" w:cs="Times New Roman"/>
                <w:b/>
                <w:bCs/>
                <w:smallCaps w:val="0"/>
                <w:color w:val="auto"/>
                <w:spacing w:val="0"/>
                <w:kern w:val="0"/>
                <w:position w:val="0"/>
                <w:sz w:val="21"/>
                <w:szCs w:val="24"/>
                <w:lang w:val="en-US" w:eastAsia="zh-CN"/>
              </w:rPr>
              <w:t>3</w:t>
            </w:r>
            <w:r>
              <w:rPr>
                <w:rFonts w:hint="default" w:ascii="Times New Roman" w:hAnsi="Times New Roman" w:eastAsia="宋体" w:cs="Times New Roman"/>
                <w:b/>
                <w:bCs/>
                <w:smallCaps w:val="0"/>
                <w:color w:val="auto"/>
                <w:spacing w:val="0"/>
                <w:kern w:val="0"/>
                <w:position w:val="0"/>
                <w:sz w:val="21"/>
                <w:szCs w:val="24"/>
              </w:rPr>
              <w:t>项目公用及辅助工程</w:t>
            </w:r>
          </w:p>
          <w:tbl>
            <w:tblPr>
              <w:tblStyle w:val="31"/>
              <w:tblW w:w="8349" w:type="dxa"/>
              <w:tblInd w:w="-5" w:type="dxa"/>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Layout w:type="fixed"/>
              <w:tblCellMar>
                <w:top w:w="0" w:type="dxa"/>
                <w:left w:w="0" w:type="dxa"/>
                <w:bottom w:w="0" w:type="dxa"/>
                <w:right w:w="0" w:type="dxa"/>
              </w:tblCellMar>
            </w:tblPr>
            <w:tblGrid>
              <w:gridCol w:w="1121"/>
              <w:gridCol w:w="954"/>
              <w:gridCol w:w="1310"/>
              <w:gridCol w:w="2398"/>
              <w:gridCol w:w="2566"/>
            </w:tblGrid>
            <w:tr w14:paraId="2D922363">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tcBorders>
                    <w:tl2br w:val="nil"/>
                    <w:tr2bl w:val="nil"/>
                  </w:tcBorders>
                  <w:noWrap w:val="0"/>
                  <w:vAlign w:val="center"/>
                </w:tcPr>
                <w:p w14:paraId="54431B60">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工程名称</w:t>
                  </w:r>
                </w:p>
              </w:tc>
              <w:tc>
                <w:tcPr>
                  <w:tcW w:w="1355" w:type="pct"/>
                  <w:gridSpan w:val="2"/>
                  <w:tcBorders>
                    <w:tl2br w:val="nil"/>
                    <w:tr2bl w:val="nil"/>
                  </w:tcBorders>
                  <w:noWrap w:val="0"/>
                  <w:vAlign w:val="center"/>
                </w:tcPr>
                <w:p w14:paraId="026F0778">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项目名称</w:t>
                  </w:r>
                </w:p>
              </w:tc>
              <w:tc>
                <w:tcPr>
                  <w:tcW w:w="1436" w:type="pct"/>
                  <w:tcBorders>
                    <w:tl2br w:val="nil"/>
                    <w:tr2bl w:val="nil"/>
                  </w:tcBorders>
                  <w:noWrap w:val="0"/>
                  <w:vAlign w:val="center"/>
                </w:tcPr>
                <w:p w14:paraId="759820E7">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rPr>
                  </w:pPr>
                  <w:r>
                    <w:rPr>
                      <w:rFonts w:hint="default" w:ascii="Times New Roman" w:hAnsi="Times New Roman" w:eastAsia="宋体" w:cs="Times New Roman"/>
                      <w:b/>
                      <w:bCs/>
                      <w:smallCaps w:val="0"/>
                      <w:color w:val="auto"/>
                      <w:spacing w:val="0"/>
                      <w:kern w:val="0"/>
                      <w:position w:val="0"/>
                      <w:sz w:val="21"/>
                      <w:szCs w:val="21"/>
                      <w:lang w:val="en-US" w:eastAsia="zh-CN"/>
                    </w:rPr>
                    <w:t>设计能力</w:t>
                  </w:r>
                </w:p>
              </w:tc>
              <w:tc>
                <w:tcPr>
                  <w:tcW w:w="1536" w:type="pct"/>
                  <w:tcBorders>
                    <w:tl2br w:val="nil"/>
                    <w:tr2bl w:val="nil"/>
                  </w:tcBorders>
                  <w:noWrap w:val="0"/>
                  <w:vAlign w:val="center"/>
                </w:tcPr>
                <w:p w14:paraId="2EC11E2A">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lang w:val="en-US" w:eastAsia="zh-CN"/>
                    </w:rPr>
                    <w:t>备注</w:t>
                  </w:r>
                </w:p>
              </w:tc>
            </w:tr>
            <w:tr w14:paraId="35C09109">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tcBorders>
                    <w:tl2br w:val="nil"/>
                    <w:tr2bl w:val="nil"/>
                  </w:tcBorders>
                  <w:noWrap w:val="0"/>
                  <w:vAlign w:val="center"/>
                </w:tcPr>
                <w:p w14:paraId="08C26BFF">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主体工程</w:t>
                  </w:r>
                </w:p>
              </w:tc>
              <w:tc>
                <w:tcPr>
                  <w:tcW w:w="1355" w:type="pct"/>
                  <w:gridSpan w:val="2"/>
                  <w:tcBorders>
                    <w:tl2br w:val="nil"/>
                    <w:tr2bl w:val="nil"/>
                  </w:tcBorders>
                  <w:noWrap w:val="0"/>
                  <w:vAlign w:val="center"/>
                </w:tcPr>
                <w:p w14:paraId="1A702BFF">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生产车间</w:t>
                  </w:r>
                  <w:r>
                    <w:rPr>
                      <w:rFonts w:hint="eastAsia" w:ascii="Times New Roman" w:hAnsi="Times New Roman" w:cs="Times New Roman"/>
                      <w:smallCaps w:val="0"/>
                      <w:color w:val="auto"/>
                      <w:spacing w:val="0"/>
                      <w:kern w:val="0"/>
                      <w:position w:val="0"/>
                      <w:sz w:val="21"/>
                      <w:szCs w:val="21"/>
                      <w:lang w:val="en-US" w:eastAsia="zh-CN"/>
                    </w:rPr>
                    <w:t>二</w:t>
                  </w:r>
                </w:p>
              </w:tc>
              <w:tc>
                <w:tcPr>
                  <w:tcW w:w="1436" w:type="pct"/>
                  <w:tcBorders>
                    <w:tl2br w:val="nil"/>
                    <w:tr2bl w:val="nil"/>
                  </w:tcBorders>
                  <w:noWrap w:val="0"/>
                  <w:vAlign w:val="center"/>
                </w:tcPr>
                <w:p w14:paraId="5DD325AF">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占地2026.31m</w:t>
                  </w:r>
                  <w:r>
                    <w:rPr>
                      <w:rFonts w:hint="default" w:ascii="Times New Roman" w:hAnsi="Times New Roman" w:eastAsia="宋体" w:cs="Times New Roman"/>
                      <w:smallCaps w:val="0"/>
                      <w:color w:val="auto"/>
                      <w:spacing w:val="0"/>
                      <w:kern w:val="0"/>
                      <w:position w:val="0"/>
                      <w:sz w:val="21"/>
                      <w:szCs w:val="21"/>
                      <w:vertAlign w:val="superscript"/>
                      <w:lang w:val="en-US" w:eastAsia="zh-CN"/>
                    </w:rPr>
                    <w:t>3</w:t>
                  </w:r>
                </w:p>
              </w:tc>
              <w:tc>
                <w:tcPr>
                  <w:tcW w:w="1536" w:type="pct"/>
                  <w:tcBorders>
                    <w:tl2br w:val="nil"/>
                    <w:tr2bl w:val="nil"/>
                  </w:tcBorders>
                  <w:noWrap w:val="0"/>
                  <w:vAlign w:val="center"/>
                </w:tcPr>
                <w:p w14:paraId="6B5D094C">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cs="Times New Roman"/>
                      <w:smallCaps w:val="0"/>
                      <w:color w:val="auto"/>
                      <w:spacing w:val="0"/>
                      <w:kern w:val="0"/>
                      <w:position w:val="0"/>
                      <w:sz w:val="21"/>
                      <w:szCs w:val="21"/>
                      <w:lang w:val="en-US" w:eastAsia="zh-CN"/>
                    </w:rPr>
                    <w:t>本项目所在车间</w:t>
                  </w:r>
                </w:p>
              </w:tc>
            </w:tr>
            <w:tr w14:paraId="1AEF4326">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restart"/>
                  <w:tcBorders>
                    <w:tl2br w:val="nil"/>
                    <w:tr2bl w:val="nil"/>
                  </w:tcBorders>
                  <w:noWrap w:val="0"/>
                  <w:vAlign w:val="center"/>
                </w:tcPr>
                <w:p w14:paraId="204C0F75">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贮运工程</w:t>
                  </w:r>
                </w:p>
              </w:tc>
              <w:tc>
                <w:tcPr>
                  <w:tcW w:w="1355" w:type="pct"/>
                  <w:gridSpan w:val="2"/>
                  <w:tcBorders>
                    <w:tl2br w:val="nil"/>
                    <w:tr2bl w:val="nil"/>
                  </w:tcBorders>
                  <w:noWrap w:val="0"/>
                  <w:vAlign w:val="center"/>
                </w:tcPr>
                <w:p w14:paraId="5FCC84F0">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成品仓库</w:t>
                  </w:r>
                </w:p>
              </w:tc>
              <w:tc>
                <w:tcPr>
                  <w:tcW w:w="1436" w:type="pct"/>
                  <w:tcBorders>
                    <w:tl2br w:val="nil"/>
                    <w:tr2bl w:val="nil"/>
                  </w:tcBorders>
                  <w:noWrap w:val="0"/>
                  <w:vAlign w:val="center"/>
                </w:tcPr>
                <w:p w14:paraId="0838733D">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占地20m</w:t>
                  </w:r>
                  <w:r>
                    <w:rPr>
                      <w:rFonts w:hint="default" w:ascii="Times New Roman" w:hAnsi="Times New Roman" w:eastAsia="宋体" w:cs="Times New Roman"/>
                      <w:smallCaps w:val="0"/>
                      <w:color w:val="auto"/>
                      <w:spacing w:val="0"/>
                      <w:kern w:val="0"/>
                      <w:position w:val="0"/>
                      <w:sz w:val="21"/>
                      <w:szCs w:val="21"/>
                      <w:vertAlign w:val="superscript"/>
                      <w:lang w:val="en-US" w:eastAsia="zh-CN"/>
                    </w:rPr>
                    <w:t>3</w:t>
                  </w:r>
                </w:p>
              </w:tc>
              <w:tc>
                <w:tcPr>
                  <w:tcW w:w="1536" w:type="pct"/>
                  <w:tcBorders>
                    <w:tl2br w:val="nil"/>
                    <w:tr2bl w:val="nil"/>
                  </w:tcBorders>
                  <w:noWrap w:val="0"/>
                  <w:vAlign w:val="center"/>
                </w:tcPr>
                <w:p w14:paraId="04265555">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生产车间</w:t>
                  </w:r>
                  <w:r>
                    <w:rPr>
                      <w:rFonts w:hint="eastAsia" w:ascii="Times New Roman" w:hAnsi="Times New Roman" w:cs="Times New Roman"/>
                      <w:smallCaps w:val="0"/>
                      <w:color w:val="auto"/>
                      <w:spacing w:val="0"/>
                      <w:kern w:val="0"/>
                      <w:position w:val="0"/>
                      <w:sz w:val="21"/>
                      <w:szCs w:val="21"/>
                      <w:lang w:val="en-US" w:eastAsia="zh-CN"/>
                    </w:rPr>
                    <w:t>二</w:t>
                  </w:r>
                  <w:r>
                    <w:rPr>
                      <w:rFonts w:hint="default" w:ascii="Times New Roman" w:hAnsi="Times New Roman" w:eastAsia="宋体" w:cs="Times New Roman"/>
                      <w:smallCaps w:val="0"/>
                      <w:color w:val="auto"/>
                      <w:spacing w:val="0"/>
                      <w:kern w:val="0"/>
                      <w:position w:val="0"/>
                      <w:sz w:val="21"/>
                      <w:szCs w:val="21"/>
                      <w:lang w:val="en-US" w:eastAsia="zh-CN"/>
                    </w:rPr>
                    <w:t>东侧</w:t>
                  </w:r>
                </w:p>
              </w:tc>
            </w:tr>
            <w:tr w14:paraId="05D8F2F8">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2F2E056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p>
              </w:tc>
              <w:tc>
                <w:tcPr>
                  <w:tcW w:w="1355" w:type="pct"/>
                  <w:gridSpan w:val="2"/>
                  <w:tcBorders>
                    <w:tl2br w:val="nil"/>
                    <w:tr2bl w:val="nil"/>
                  </w:tcBorders>
                  <w:noWrap w:val="0"/>
                  <w:vAlign w:val="center"/>
                </w:tcPr>
                <w:p w14:paraId="725FC3A1">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原料仓库</w:t>
                  </w:r>
                </w:p>
              </w:tc>
              <w:tc>
                <w:tcPr>
                  <w:tcW w:w="1436" w:type="pct"/>
                  <w:tcBorders>
                    <w:tl2br w:val="nil"/>
                    <w:tr2bl w:val="nil"/>
                  </w:tcBorders>
                  <w:noWrap w:val="0"/>
                  <w:vAlign w:val="center"/>
                </w:tcPr>
                <w:p w14:paraId="3C72A9DB">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占地20m</w:t>
                  </w:r>
                  <w:r>
                    <w:rPr>
                      <w:rFonts w:hint="default" w:ascii="Times New Roman" w:hAnsi="Times New Roman" w:eastAsia="宋体" w:cs="Times New Roman"/>
                      <w:smallCaps w:val="0"/>
                      <w:color w:val="auto"/>
                      <w:spacing w:val="0"/>
                      <w:kern w:val="0"/>
                      <w:position w:val="0"/>
                      <w:sz w:val="21"/>
                      <w:szCs w:val="21"/>
                      <w:vertAlign w:val="superscript"/>
                      <w:lang w:val="en-US" w:eastAsia="zh-CN"/>
                    </w:rPr>
                    <w:t>3</w:t>
                  </w:r>
                </w:p>
              </w:tc>
              <w:tc>
                <w:tcPr>
                  <w:tcW w:w="1536" w:type="pct"/>
                  <w:tcBorders>
                    <w:tl2br w:val="nil"/>
                    <w:tr2bl w:val="nil"/>
                  </w:tcBorders>
                  <w:noWrap w:val="0"/>
                  <w:vAlign w:val="center"/>
                </w:tcPr>
                <w:p w14:paraId="4F0E2B62">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生产车间</w:t>
                  </w:r>
                  <w:r>
                    <w:rPr>
                      <w:rFonts w:hint="eastAsia" w:ascii="Times New Roman" w:hAnsi="Times New Roman" w:cs="Times New Roman"/>
                      <w:smallCaps w:val="0"/>
                      <w:color w:val="auto"/>
                      <w:spacing w:val="0"/>
                      <w:kern w:val="0"/>
                      <w:position w:val="0"/>
                      <w:sz w:val="21"/>
                      <w:szCs w:val="21"/>
                      <w:lang w:val="en-US" w:eastAsia="zh-CN"/>
                    </w:rPr>
                    <w:t>二</w:t>
                  </w:r>
                  <w:r>
                    <w:rPr>
                      <w:rFonts w:hint="default" w:ascii="Times New Roman" w:hAnsi="Times New Roman" w:eastAsia="宋体" w:cs="Times New Roman"/>
                      <w:smallCaps w:val="0"/>
                      <w:color w:val="auto"/>
                      <w:spacing w:val="0"/>
                      <w:kern w:val="0"/>
                      <w:position w:val="0"/>
                      <w:sz w:val="21"/>
                      <w:szCs w:val="21"/>
                      <w:lang w:val="en-US" w:eastAsia="zh-CN"/>
                    </w:rPr>
                    <w:t>西侧</w:t>
                  </w:r>
                </w:p>
              </w:tc>
            </w:tr>
            <w:tr w14:paraId="3AF5FDD1">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restart"/>
                  <w:tcBorders>
                    <w:tl2br w:val="nil"/>
                    <w:tr2bl w:val="nil"/>
                  </w:tcBorders>
                  <w:noWrap w:val="0"/>
                  <w:vAlign w:val="center"/>
                </w:tcPr>
                <w:p w14:paraId="02E36BCB">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公辅工程</w:t>
                  </w:r>
                </w:p>
              </w:tc>
              <w:tc>
                <w:tcPr>
                  <w:tcW w:w="1355" w:type="pct"/>
                  <w:gridSpan w:val="2"/>
                  <w:tcBorders>
                    <w:tl2br w:val="nil"/>
                    <w:tr2bl w:val="nil"/>
                  </w:tcBorders>
                  <w:noWrap w:val="0"/>
                  <w:vAlign w:val="center"/>
                </w:tcPr>
                <w:p w14:paraId="0BB34C83">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供电系统</w:t>
                  </w:r>
                </w:p>
              </w:tc>
              <w:tc>
                <w:tcPr>
                  <w:tcW w:w="1436" w:type="pct"/>
                  <w:tcBorders>
                    <w:tl2br w:val="nil"/>
                    <w:tr2bl w:val="nil"/>
                  </w:tcBorders>
                  <w:noWrap w:val="0"/>
                  <w:vAlign w:val="center"/>
                </w:tcPr>
                <w:p w14:paraId="3216E51D">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3万kwh</w:t>
                  </w:r>
                </w:p>
              </w:tc>
              <w:tc>
                <w:tcPr>
                  <w:tcW w:w="1536" w:type="pct"/>
                  <w:tcBorders>
                    <w:tl2br w:val="nil"/>
                    <w:tr2bl w:val="nil"/>
                  </w:tcBorders>
                  <w:noWrap w:val="0"/>
                  <w:vAlign w:val="center"/>
                </w:tcPr>
                <w:p w14:paraId="68164FAA">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市政供电</w:t>
                  </w:r>
                </w:p>
              </w:tc>
            </w:tr>
            <w:tr w14:paraId="75C13EA9">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4397C1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1355" w:type="pct"/>
                  <w:gridSpan w:val="2"/>
                  <w:tcBorders>
                    <w:tl2br w:val="nil"/>
                    <w:tr2bl w:val="nil"/>
                  </w:tcBorders>
                  <w:noWrap w:val="0"/>
                  <w:vAlign w:val="center"/>
                </w:tcPr>
                <w:p w14:paraId="4F7F825F">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供水系统</w:t>
                  </w:r>
                </w:p>
              </w:tc>
              <w:tc>
                <w:tcPr>
                  <w:tcW w:w="1436" w:type="pct"/>
                  <w:tcBorders>
                    <w:tl2br w:val="nil"/>
                    <w:tr2bl w:val="nil"/>
                  </w:tcBorders>
                  <w:noWrap w:val="0"/>
                  <w:vAlign w:val="center"/>
                </w:tcPr>
                <w:p w14:paraId="28F37B85">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cs="Times New Roman"/>
                      <w:smallCaps w:val="0"/>
                      <w:color w:val="auto"/>
                      <w:spacing w:val="0"/>
                      <w:kern w:val="0"/>
                      <w:position w:val="0"/>
                      <w:sz w:val="21"/>
                      <w:szCs w:val="21"/>
                      <w:lang w:val="en-US" w:eastAsia="zh-CN"/>
                    </w:rPr>
                    <w:t>160.8</w:t>
                  </w:r>
                  <w:r>
                    <w:rPr>
                      <w:rFonts w:hint="default" w:ascii="Times New Roman" w:hAnsi="Times New Roman" w:eastAsia="宋体" w:cs="Times New Roman"/>
                      <w:smallCaps w:val="0"/>
                      <w:color w:val="auto"/>
                      <w:spacing w:val="0"/>
                      <w:kern w:val="0"/>
                      <w:position w:val="0"/>
                      <w:sz w:val="21"/>
                      <w:szCs w:val="21"/>
                      <w:lang w:val="en-US" w:eastAsia="zh-CN"/>
                    </w:rPr>
                    <w:t>t/a</w:t>
                  </w:r>
                </w:p>
              </w:tc>
              <w:tc>
                <w:tcPr>
                  <w:tcW w:w="1536" w:type="pct"/>
                  <w:tcBorders>
                    <w:tl2br w:val="nil"/>
                    <w:tr2bl w:val="nil"/>
                  </w:tcBorders>
                  <w:noWrap w:val="0"/>
                  <w:vAlign w:val="center"/>
                </w:tcPr>
                <w:p w14:paraId="6169CA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市政供水</w:t>
                  </w:r>
                </w:p>
              </w:tc>
            </w:tr>
            <w:tr w14:paraId="17E36263">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4BB3CD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1355" w:type="pct"/>
                  <w:gridSpan w:val="2"/>
                  <w:tcBorders>
                    <w:tl2br w:val="nil"/>
                    <w:tr2bl w:val="nil"/>
                  </w:tcBorders>
                  <w:noWrap w:val="0"/>
                  <w:vAlign w:val="center"/>
                </w:tcPr>
                <w:p w14:paraId="18AE06EC">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排水系统</w:t>
                  </w:r>
                </w:p>
              </w:tc>
              <w:tc>
                <w:tcPr>
                  <w:tcW w:w="1436" w:type="pct"/>
                  <w:tcBorders>
                    <w:tl2br w:val="nil"/>
                    <w:tr2bl w:val="nil"/>
                  </w:tcBorders>
                  <w:noWrap w:val="0"/>
                  <w:vAlign w:val="center"/>
                </w:tcPr>
                <w:p w14:paraId="43A2BD3A">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120t/a</w:t>
                  </w:r>
                </w:p>
              </w:tc>
              <w:tc>
                <w:tcPr>
                  <w:tcW w:w="1536" w:type="pct"/>
                  <w:tcBorders>
                    <w:tl2br w:val="nil"/>
                    <w:tr2bl w:val="nil"/>
                  </w:tcBorders>
                  <w:noWrap w:val="0"/>
                  <w:vAlign w:val="center"/>
                </w:tcPr>
                <w:p w14:paraId="436765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接管至金坛第二污水处理厂集中处理</w:t>
                  </w:r>
                </w:p>
              </w:tc>
            </w:tr>
            <w:tr w14:paraId="4A825837">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0CB16A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571" w:type="pct"/>
                  <w:tcBorders>
                    <w:tl2br w:val="nil"/>
                    <w:tr2bl w:val="nil"/>
                  </w:tcBorders>
                  <w:noWrap w:val="0"/>
                  <w:vAlign w:val="center"/>
                </w:tcPr>
                <w:p w14:paraId="6D5182D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废水处理</w:t>
                  </w:r>
                </w:p>
              </w:tc>
              <w:tc>
                <w:tcPr>
                  <w:tcW w:w="784" w:type="pct"/>
                  <w:tcBorders>
                    <w:tl2br w:val="nil"/>
                    <w:tr2bl w:val="nil"/>
                  </w:tcBorders>
                  <w:noWrap w:val="0"/>
                  <w:vAlign w:val="center"/>
                </w:tcPr>
                <w:p w14:paraId="50BB96B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生活污水</w:t>
                  </w:r>
                </w:p>
              </w:tc>
              <w:tc>
                <w:tcPr>
                  <w:tcW w:w="1436" w:type="pct"/>
                  <w:tcBorders>
                    <w:tl2br w:val="nil"/>
                    <w:tr2bl w:val="nil"/>
                  </w:tcBorders>
                  <w:noWrap w:val="0"/>
                  <w:vAlign w:val="center"/>
                </w:tcPr>
                <w:p w14:paraId="1611181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生活污水</w:t>
                  </w:r>
                  <w:r>
                    <w:rPr>
                      <w:rFonts w:hint="default" w:ascii="Times New Roman" w:hAnsi="Times New Roman" w:eastAsia="宋体" w:cs="Times New Roman"/>
                      <w:smallCaps w:val="0"/>
                      <w:color w:val="auto"/>
                      <w:spacing w:val="0"/>
                      <w:kern w:val="0"/>
                      <w:position w:val="0"/>
                      <w:sz w:val="21"/>
                      <w:szCs w:val="21"/>
                      <w:lang w:val="en-US" w:eastAsia="zh-CN" w:bidi="ar-SA"/>
                    </w:rPr>
                    <w:t>接管至金坛第二污水处理厂集中处理</w:t>
                  </w:r>
                  <w:r>
                    <w:rPr>
                      <w:rFonts w:hint="default" w:ascii="Times New Roman" w:hAnsi="Times New Roman" w:eastAsia="宋体" w:cs="Times New Roman"/>
                      <w:smallCaps w:val="0"/>
                      <w:color w:val="auto"/>
                      <w:spacing w:val="0"/>
                      <w:kern w:val="0"/>
                      <w:position w:val="0"/>
                      <w:sz w:val="21"/>
                      <w:szCs w:val="21"/>
                      <w:lang w:val="en-US" w:eastAsia="zh-CN"/>
                    </w:rPr>
                    <w:t>，尾水最终排入尧塘河</w:t>
                  </w:r>
                </w:p>
              </w:tc>
              <w:tc>
                <w:tcPr>
                  <w:tcW w:w="1536" w:type="pct"/>
                  <w:tcBorders>
                    <w:tl2br w:val="nil"/>
                    <w:tr2bl w:val="nil"/>
                  </w:tcBorders>
                  <w:noWrap w:val="0"/>
                  <w:vAlign w:val="center"/>
                </w:tcPr>
                <w:p w14:paraId="10373534">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达标处理</w:t>
                  </w:r>
                </w:p>
              </w:tc>
            </w:tr>
            <w:tr w14:paraId="2B279243">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5AB963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571" w:type="pct"/>
                  <w:vMerge w:val="restart"/>
                  <w:tcBorders>
                    <w:tl2br w:val="nil"/>
                    <w:tr2bl w:val="nil"/>
                  </w:tcBorders>
                  <w:noWrap w:val="0"/>
                  <w:vAlign w:val="center"/>
                </w:tcPr>
                <w:p w14:paraId="042A5D84">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废气治理措施</w:t>
                  </w:r>
                </w:p>
              </w:tc>
              <w:tc>
                <w:tcPr>
                  <w:tcW w:w="784" w:type="pct"/>
                  <w:tcBorders>
                    <w:tl2br w:val="nil"/>
                    <w:tr2bl w:val="nil"/>
                  </w:tcBorders>
                  <w:noWrap w:val="0"/>
                  <w:vAlign w:val="center"/>
                </w:tcPr>
                <w:p w14:paraId="7D07AE1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切割废气</w:t>
                  </w:r>
                </w:p>
              </w:tc>
              <w:tc>
                <w:tcPr>
                  <w:tcW w:w="1436" w:type="pct"/>
                  <w:tcBorders>
                    <w:tl2br w:val="nil"/>
                    <w:tr2bl w:val="nil"/>
                  </w:tcBorders>
                  <w:noWrap w:val="0"/>
                  <w:vAlign w:val="center"/>
                </w:tcPr>
                <w:p w14:paraId="76888C46">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cs="Times New Roman"/>
                      <w:smallCaps w:val="0"/>
                      <w:color w:val="auto"/>
                      <w:spacing w:val="0"/>
                      <w:kern w:val="0"/>
                      <w:position w:val="0"/>
                      <w:sz w:val="21"/>
                      <w:szCs w:val="21"/>
                      <w:lang w:val="en-US" w:eastAsia="zh-CN"/>
                    </w:rPr>
                    <w:t>经除尘器处理</w:t>
                  </w:r>
                </w:p>
              </w:tc>
              <w:tc>
                <w:tcPr>
                  <w:tcW w:w="1536" w:type="pct"/>
                  <w:tcBorders>
                    <w:tl2br w:val="nil"/>
                    <w:tr2bl w:val="nil"/>
                  </w:tcBorders>
                  <w:noWrap w:val="0"/>
                  <w:vAlign w:val="center"/>
                </w:tcPr>
                <w:p w14:paraId="7135B0F9">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在车间内无组织排放</w:t>
                  </w:r>
                </w:p>
              </w:tc>
            </w:tr>
            <w:tr w14:paraId="5138B4F2">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20E532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571" w:type="pct"/>
                  <w:vMerge w:val="continue"/>
                  <w:tcBorders>
                    <w:tl2br w:val="nil"/>
                    <w:tr2bl w:val="nil"/>
                  </w:tcBorders>
                  <w:noWrap w:val="0"/>
                  <w:vAlign w:val="center"/>
                </w:tcPr>
                <w:p w14:paraId="11E5FCB7">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p>
              </w:tc>
              <w:tc>
                <w:tcPr>
                  <w:tcW w:w="784" w:type="pct"/>
                  <w:tcBorders>
                    <w:tl2br w:val="nil"/>
                    <w:tr2bl w:val="nil"/>
                  </w:tcBorders>
                  <w:noWrap w:val="0"/>
                  <w:vAlign w:val="center"/>
                </w:tcPr>
                <w:p w14:paraId="78746073">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焊接废气</w:t>
                  </w:r>
                </w:p>
              </w:tc>
              <w:tc>
                <w:tcPr>
                  <w:tcW w:w="1436" w:type="pct"/>
                  <w:tcBorders>
                    <w:tl2br w:val="nil"/>
                    <w:tr2bl w:val="nil"/>
                  </w:tcBorders>
                  <w:noWrap w:val="0"/>
                  <w:vAlign w:val="center"/>
                </w:tcPr>
                <w:p w14:paraId="1885A72E">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经移动式焊接烟尘净化器处理</w:t>
                  </w:r>
                </w:p>
              </w:tc>
              <w:tc>
                <w:tcPr>
                  <w:tcW w:w="1536" w:type="pct"/>
                  <w:tcBorders>
                    <w:tl2br w:val="nil"/>
                    <w:tr2bl w:val="nil"/>
                  </w:tcBorders>
                  <w:noWrap w:val="0"/>
                  <w:vAlign w:val="center"/>
                </w:tcPr>
                <w:p w14:paraId="69967711">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在车间内无组织排放</w:t>
                  </w:r>
                </w:p>
              </w:tc>
            </w:tr>
            <w:tr w14:paraId="57B6E5C6">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784451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571" w:type="pct"/>
                  <w:vMerge w:val="continue"/>
                  <w:tcBorders>
                    <w:tl2br w:val="nil"/>
                    <w:tr2bl w:val="nil"/>
                  </w:tcBorders>
                  <w:noWrap w:val="0"/>
                  <w:vAlign w:val="center"/>
                </w:tcPr>
                <w:p w14:paraId="38D24128">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p>
              </w:tc>
              <w:tc>
                <w:tcPr>
                  <w:tcW w:w="784" w:type="pct"/>
                  <w:tcBorders>
                    <w:tl2br w:val="nil"/>
                    <w:tr2bl w:val="nil"/>
                  </w:tcBorders>
                  <w:noWrap w:val="0"/>
                  <w:vAlign w:val="center"/>
                </w:tcPr>
                <w:p w14:paraId="4C7595E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印刷废气</w:t>
                  </w:r>
                </w:p>
              </w:tc>
              <w:tc>
                <w:tcPr>
                  <w:tcW w:w="1436" w:type="pct"/>
                  <w:tcBorders>
                    <w:tl2br w:val="nil"/>
                    <w:tr2bl w:val="nil"/>
                  </w:tcBorders>
                  <w:noWrap w:val="0"/>
                  <w:vAlign w:val="center"/>
                </w:tcPr>
                <w:p w14:paraId="78BA095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w:t>
                  </w:r>
                </w:p>
              </w:tc>
              <w:tc>
                <w:tcPr>
                  <w:tcW w:w="1536" w:type="pct"/>
                  <w:tcBorders>
                    <w:tl2br w:val="nil"/>
                    <w:tr2bl w:val="nil"/>
                  </w:tcBorders>
                  <w:noWrap w:val="0"/>
                  <w:vAlign w:val="center"/>
                </w:tcPr>
                <w:p w14:paraId="688DE7A3">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在车间内无组织排放</w:t>
                  </w:r>
                </w:p>
              </w:tc>
            </w:tr>
            <w:tr w14:paraId="2F649DB8">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04AC10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1355" w:type="pct"/>
                  <w:gridSpan w:val="2"/>
                  <w:tcBorders>
                    <w:tl2br w:val="nil"/>
                    <w:tr2bl w:val="nil"/>
                  </w:tcBorders>
                  <w:noWrap w:val="0"/>
                  <w:vAlign w:val="center"/>
                </w:tcPr>
                <w:p w14:paraId="271A15C4">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噪声处理</w:t>
                  </w:r>
                </w:p>
              </w:tc>
              <w:tc>
                <w:tcPr>
                  <w:tcW w:w="1436" w:type="pct"/>
                  <w:tcBorders>
                    <w:tl2br w:val="nil"/>
                    <w:tr2bl w:val="nil"/>
                  </w:tcBorders>
                  <w:noWrap w:val="0"/>
                  <w:vAlign w:val="center"/>
                </w:tcPr>
                <w:p w14:paraId="073FA900">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合理布局，并设置消声、隔声等相应的隔声降噪措施，厂界设绿化隔离带。</w:t>
                  </w:r>
                </w:p>
              </w:tc>
              <w:tc>
                <w:tcPr>
                  <w:tcW w:w="1536" w:type="pct"/>
                  <w:tcBorders>
                    <w:tl2br w:val="nil"/>
                    <w:tr2bl w:val="nil"/>
                  </w:tcBorders>
                  <w:noWrap w:val="0"/>
                  <w:vAlign w:val="center"/>
                </w:tcPr>
                <w:p w14:paraId="2CE6AF8D">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新建</w:t>
                  </w:r>
                </w:p>
              </w:tc>
            </w:tr>
            <w:tr w14:paraId="5F27516D">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6D00D8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571" w:type="pct"/>
                  <w:vMerge w:val="restart"/>
                  <w:tcBorders>
                    <w:tl2br w:val="nil"/>
                    <w:tr2bl w:val="nil"/>
                  </w:tcBorders>
                  <w:noWrap w:val="0"/>
                  <w:vAlign w:val="center"/>
                </w:tcPr>
                <w:p w14:paraId="789089DD">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固废处理</w:t>
                  </w:r>
                </w:p>
              </w:tc>
              <w:tc>
                <w:tcPr>
                  <w:tcW w:w="784" w:type="pct"/>
                  <w:tcBorders>
                    <w:tl2br w:val="nil"/>
                    <w:tr2bl w:val="nil"/>
                  </w:tcBorders>
                  <w:shd w:val="clear" w:color="auto" w:fill="auto"/>
                  <w:noWrap w:val="0"/>
                  <w:vAlign w:val="center"/>
                </w:tcPr>
                <w:p w14:paraId="68095181">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一般固废仓库</w:t>
                  </w:r>
                </w:p>
              </w:tc>
              <w:tc>
                <w:tcPr>
                  <w:tcW w:w="1436" w:type="pct"/>
                  <w:tcBorders>
                    <w:tl2br w:val="nil"/>
                    <w:tr2bl w:val="nil"/>
                  </w:tcBorders>
                  <w:noWrap w:val="0"/>
                  <w:vAlign w:val="center"/>
                </w:tcPr>
                <w:p w14:paraId="3A179680">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5m</w:t>
                  </w:r>
                  <w:r>
                    <w:rPr>
                      <w:rFonts w:hint="default" w:ascii="Times New Roman" w:hAnsi="Times New Roman" w:eastAsia="宋体" w:cs="Times New Roman"/>
                      <w:smallCaps w:val="0"/>
                      <w:color w:val="auto"/>
                      <w:spacing w:val="0"/>
                      <w:kern w:val="0"/>
                      <w:position w:val="0"/>
                      <w:sz w:val="21"/>
                      <w:szCs w:val="21"/>
                      <w:vertAlign w:val="superscript"/>
                      <w:lang w:val="en-US" w:eastAsia="zh-CN"/>
                    </w:rPr>
                    <w:t>2</w:t>
                  </w:r>
                </w:p>
              </w:tc>
              <w:tc>
                <w:tcPr>
                  <w:tcW w:w="1536" w:type="pct"/>
                  <w:tcBorders>
                    <w:tl2br w:val="nil"/>
                    <w:tr2bl w:val="nil"/>
                  </w:tcBorders>
                  <w:noWrap w:val="0"/>
                  <w:vAlign w:val="center"/>
                </w:tcPr>
                <w:p w14:paraId="0FCCC96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rPr>
                    <w:t>新建</w:t>
                  </w:r>
                </w:p>
              </w:tc>
            </w:tr>
            <w:tr w14:paraId="6263E36D">
              <w:tblPrEx>
                <w:tblBorders>
                  <w:top w:val="single" w:color="000000" w:sz="12" w:space="0"/>
                  <w:left w:val="dotted" w:color="000000" w:sz="4" w:space="0"/>
                  <w:bottom w:val="single" w:color="000000" w:sz="12" w:space="0"/>
                  <w:right w:val="dotted" w:color="000000" w:sz="4"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71" w:type="pct"/>
                  <w:vMerge w:val="continue"/>
                  <w:tcBorders>
                    <w:tl2br w:val="nil"/>
                    <w:tr2bl w:val="nil"/>
                  </w:tcBorders>
                  <w:noWrap w:val="0"/>
                  <w:vAlign w:val="center"/>
                </w:tcPr>
                <w:p w14:paraId="2E5D5B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rPr>
                  </w:pPr>
                </w:p>
              </w:tc>
              <w:tc>
                <w:tcPr>
                  <w:tcW w:w="571" w:type="pct"/>
                  <w:vMerge w:val="continue"/>
                  <w:tcBorders>
                    <w:tl2br w:val="nil"/>
                    <w:tr2bl w:val="nil"/>
                  </w:tcBorders>
                  <w:noWrap w:val="0"/>
                  <w:vAlign w:val="center"/>
                </w:tcPr>
                <w:p w14:paraId="3AD5C67B">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p>
              </w:tc>
              <w:tc>
                <w:tcPr>
                  <w:tcW w:w="784" w:type="pct"/>
                  <w:tcBorders>
                    <w:tl2br w:val="nil"/>
                    <w:tr2bl w:val="nil"/>
                  </w:tcBorders>
                  <w:shd w:val="clear" w:color="auto" w:fill="auto"/>
                  <w:noWrap w:val="0"/>
                  <w:vAlign w:val="center"/>
                </w:tcPr>
                <w:p w14:paraId="2E819AB8">
                  <w:pPr>
                    <w:pStyle w:val="3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危险废物仓库</w:t>
                  </w:r>
                </w:p>
              </w:tc>
              <w:tc>
                <w:tcPr>
                  <w:tcW w:w="1436" w:type="pct"/>
                  <w:tcBorders>
                    <w:tl2br w:val="nil"/>
                    <w:tr2bl w:val="nil"/>
                  </w:tcBorders>
                  <w:noWrap w:val="0"/>
                  <w:vAlign w:val="center"/>
                </w:tcPr>
                <w:p w14:paraId="35939E29">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10m</w:t>
                  </w:r>
                  <w:r>
                    <w:rPr>
                      <w:rFonts w:hint="default" w:ascii="Times New Roman" w:hAnsi="Times New Roman" w:eastAsia="宋体" w:cs="Times New Roman"/>
                      <w:smallCaps w:val="0"/>
                      <w:color w:val="auto"/>
                      <w:spacing w:val="0"/>
                      <w:kern w:val="0"/>
                      <w:position w:val="0"/>
                      <w:sz w:val="21"/>
                      <w:szCs w:val="21"/>
                      <w:vertAlign w:val="superscript"/>
                      <w:lang w:val="en-US" w:eastAsia="zh-CN"/>
                    </w:rPr>
                    <w:t>2</w:t>
                  </w:r>
                </w:p>
              </w:tc>
              <w:tc>
                <w:tcPr>
                  <w:tcW w:w="1536" w:type="pct"/>
                  <w:tcBorders>
                    <w:tl2br w:val="nil"/>
                    <w:tr2bl w:val="nil"/>
                  </w:tcBorders>
                  <w:noWrap w:val="0"/>
                  <w:vAlign w:val="center"/>
                </w:tcPr>
                <w:p w14:paraId="22E3E168">
                  <w:pPr>
                    <w:pStyle w:val="3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新建</w:t>
                  </w:r>
                </w:p>
              </w:tc>
            </w:tr>
          </w:tbl>
          <w:p w14:paraId="1CF5A7E6">
            <w:pPr>
              <w:autoSpaceDE w:val="0"/>
              <w:autoSpaceDN w:val="0"/>
              <w:adjustRightInd w:val="0"/>
              <w:snapToGrid w:val="0"/>
              <w:spacing w:line="440" w:lineRule="exact"/>
              <w:ind w:firstLine="482" w:firstLineChars="200"/>
              <w:rPr>
                <w:rStyle w:val="20"/>
                <w:rFonts w:hint="default" w:ascii="Times New Roman" w:hAnsi="Times New Roman" w:eastAsia="宋体" w:cs="Times New Roman"/>
                <w:smallCaps w:val="0"/>
                <w:color w:val="auto"/>
                <w:spacing w:val="0"/>
                <w:kern w:val="0"/>
                <w:position w:val="0"/>
                <w:sz w:val="24"/>
              </w:rPr>
            </w:pPr>
            <w:r>
              <w:rPr>
                <w:rStyle w:val="20"/>
                <w:rFonts w:hint="default" w:ascii="Times New Roman" w:hAnsi="Times New Roman" w:eastAsia="宋体" w:cs="Times New Roman"/>
                <w:smallCaps w:val="0"/>
                <w:color w:val="auto"/>
                <w:spacing w:val="0"/>
                <w:kern w:val="0"/>
                <w:position w:val="0"/>
                <w:sz w:val="24"/>
              </w:rPr>
              <w:t>4、主要生产设施</w:t>
            </w:r>
          </w:p>
          <w:p w14:paraId="3C086CBB">
            <w:pPr>
              <w:autoSpaceDE w:val="0"/>
              <w:autoSpaceDN w:val="0"/>
              <w:adjustRightInd w:val="0"/>
              <w:snapToGrid w:val="0"/>
              <w:spacing w:line="440" w:lineRule="exact"/>
              <w:ind w:firstLine="480" w:firstLineChars="200"/>
              <w:rPr>
                <w:rFonts w:hint="default" w:ascii="Times New Roman" w:hAnsi="Times New Roman" w:eastAsia="宋体" w:cs="Times New Roman"/>
                <w:b/>
                <w:bCs/>
                <w:smallCaps w:val="0"/>
                <w:color w:val="auto"/>
                <w:spacing w:val="0"/>
                <w:kern w:val="0"/>
                <w:position w:val="0"/>
                <w:sz w:val="24"/>
                <w:szCs w:val="32"/>
              </w:rPr>
            </w:pPr>
            <w:r>
              <w:rPr>
                <w:rFonts w:hint="default" w:ascii="Times New Roman" w:hAnsi="Times New Roman" w:eastAsia="宋体" w:cs="Times New Roman"/>
                <w:bCs/>
                <w:smallCaps w:val="0"/>
                <w:color w:val="auto"/>
                <w:spacing w:val="0"/>
                <w:kern w:val="0"/>
                <w:position w:val="0"/>
                <w:sz w:val="24"/>
              </w:rPr>
              <w:t>本项目主要生产设备及设施见表2</w:t>
            </w:r>
            <w:r>
              <w:rPr>
                <w:rFonts w:hint="default" w:ascii="Times New Roman" w:hAnsi="Times New Roman" w:eastAsia="宋体" w:cs="Times New Roman"/>
                <w:bCs/>
                <w:smallCaps w:val="0"/>
                <w:color w:val="auto"/>
                <w:spacing w:val="0"/>
                <w:kern w:val="0"/>
                <w:position w:val="0"/>
                <w:sz w:val="24"/>
                <w:lang w:val="en-US" w:eastAsia="zh-CN"/>
              </w:rPr>
              <w:t>-4</w:t>
            </w:r>
            <w:r>
              <w:rPr>
                <w:rFonts w:hint="default" w:ascii="Times New Roman" w:hAnsi="Times New Roman" w:eastAsia="宋体" w:cs="Times New Roman"/>
                <w:bCs/>
                <w:smallCaps w:val="0"/>
                <w:color w:val="auto"/>
                <w:spacing w:val="0"/>
                <w:kern w:val="0"/>
                <w:position w:val="0"/>
                <w:sz w:val="24"/>
              </w:rPr>
              <w:t>。</w:t>
            </w:r>
          </w:p>
          <w:p w14:paraId="17BE53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p>
          <w:p w14:paraId="1B4A99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r>
              <w:rPr>
                <w:rFonts w:hint="default" w:ascii="Times New Roman" w:hAnsi="Times New Roman" w:eastAsia="宋体" w:cs="Times New Roman"/>
                <w:b/>
                <w:bCs/>
                <w:smallCaps w:val="0"/>
                <w:color w:val="auto"/>
                <w:spacing w:val="0"/>
                <w:kern w:val="0"/>
                <w:position w:val="0"/>
                <w:sz w:val="21"/>
                <w:szCs w:val="24"/>
              </w:rPr>
              <w:t>表2-</w:t>
            </w:r>
            <w:r>
              <w:rPr>
                <w:rFonts w:hint="default" w:ascii="Times New Roman" w:hAnsi="Times New Roman" w:eastAsia="宋体" w:cs="Times New Roman"/>
                <w:b/>
                <w:bCs/>
                <w:smallCaps w:val="0"/>
                <w:color w:val="auto"/>
                <w:spacing w:val="0"/>
                <w:kern w:val="0"/>
                <w:position w:val="0"/>
                <w:sz w:val="21"/>
                <w:szCs w:val="24"/>
                <w:lang w:val="en-US" w:eastAsia="zh-CN"/>
              </w:rPr>
              <w:t>4</w:t>
            </w:r>
            <w:r>
              <w:rPr>
                <w:rFonts w:hint="default" w:ascii="Times New Roman" w:hAnsi="Times New Roman" w:eastAsia="宋体" w:cs="Times New Roman"/>
                <w:b/>
                <w:bCs/>
                <w:smallCaps w:val="0"/>
                <w:color w:val="auto"/>
                <w:spacing w:val="0"/>
                <w:kern w:val="0"/>
                <w:position w:val="0"/>
                <w:sz w:val="21"/>
                <w:szCs w:val="24"/>
              </w:rPr>
              <w:t>主要设备一览表</w:t>
            </w:r>
          </w:p>
          <w:tbl>
            <w:tblPr>
              <w:tblStyle w:val="17"/>
              <w:tblW w:w="4998"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6"/>
              <w:gridCol w:w="966"/>
              <w:gridCol w:w="1299"/>
              <w:gridCol w:w="2079"/>
              <w:gridCol w:w="1562"/>
              <w:gridCol w:w="1665"/>
            </w:tblGrid>
            <w:tr w14:paraId="33ADA426">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14:paraId="3B1391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smallCaps w:val="0"/>
                      <w:color w:val="auto"/>
                      <w:spacing w:val="0"/>
                      <w:kern w:val="0"/>
                      <w:position w:val="0"/>
                      <w:sz w:val="21"/>
                      <w:szCs w:val="21"/>
                      <w:u w:val="none"/>
                    </w:rPr>
                  </w:pPr>
                  <w:r>
                    <w:rPr>
                      <w:rFonts w:hint="default" w:ascii="Times New Roman" w:hAnsi="Times New Roman" w:eastAsia="宋体" w:cs="Times New Roman"/>
                      <w:b/>
                      <w:bCs/>
                      <w:i w:val="0"/>
                      <w:iCs w:val="0"/>
                      <w:smallCaps w:val="0"/>
                      <w:color w:val="auto"/>
                      <w:spacing w:val="0"/>
                      <w:kern w:val="0"/>
                      <w:position w:val="0"/>
                      <w:sz w:val="21"/>
                      <w:szCs w:val="21"/>
                      <w:u w:val="none"/>
                      <w:lang w:val="en-US" w:eastAsia="zh-CN" w:bidi="ar"/>
                    </w:rPr>
                    <w:t>序号</w:t>
                  </w:r>
                </w:p>
              </w:tc>
              <w:tc>
                <w:tcPr>
                  <w:tcW w:w="1364" w:type="pct"/>
                  <w:gridSpan w:val="2"/>
                  <w:tcBorders>
                    <w:tl2br w:val="nil"/>
                    <w:tr2bl w:val="nil"/>
                  </w:tcBorders>
                  <w:noWrap w:val="0"/>
                  <w:vAlign w:val="center"/>
                </w:tcPr>
                <w:p w14:paraId="3F1829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smallCaps w:val="0"/>
                      <w:color w:val="auto"/>
                      <w:spacing w:val="0"/>
                      <w:kern w:val="0"/>
                      <w:position w:val="0"/>
                      <w:sz w:val="21"/>
                      <w:szCs w:val="21"/>
                      <w:u w:val="none"/>
                    </w:rPr>
                  </w:pPr>
                  <w:r>
                    <w:rPr>
                      <w:rFonts w:hint="default" w:ascii="Times New Roman" w:hAnsi="Times New Roman" w:eastAsia="宋体" w:cs="Times New Roman"/>
                      <w:b/>
                      <w:bCs/>
                      <w:i w:val="0"/>
                      <w:iCs w:val="0"/>
                      <w:smallCaps w:val="0"/>
                      <w:color w:val="auto"/>
                      <w:spacing w:val="0"/>
                      <w:kern w:val="0"/>
                      <w:position w:val="0"/>
                      <w:sz w:val="21"/>
                      <w:szCs w:val="21"/>
                      <w:u w:val="none"/>
                      <w:lang w:val="en-US" w:eastAsia="zh-CN" w:bidi="ar"/>
                    </w:rPr>
                    <w:t>名称</w:t>
                  </w:r>
                </w:p>
              </w:tc>
              <w:tc>
                <w:tcPr>
                  <w:tcW w:w="1252" w:type="pct"/>
                  <w:tcBorders>
                    <w:tl2br w:val="nil"/>
                    <w:tr2bl w:val="nil"/>
                  </w:tcBorders>
                  <w:noWrap w:val="0"/>
                  <w:vAlign w:val="center"/>
                </w:tcPr>
                <w:p w14:paraId="3B3D44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b/>
                      <w:bCs/>
                      <w:i w:val="0"/>
                      <w:iCs w:val="0"/>
                      <w:smallCaps w:val="0"/>
                      <w:color w:val="auto"/>
                      <w:spacing w:val="0"/>
                      <w:kern w:val="0"/>
                      <w:position w:val="0"/>
                      <w:sz w:val="21"/>
                      <w:szCs w:val="21"/>
                      <w:u w:val="none"/>
                      <w:lang w:val="en-US" w:eastAsia="zh-CN" w:bidi="ar"/>
                    </w:rPr>
                    <w:t>设备型号</w:t>
                  </w:r>
                </w:p>
              </w:tc>
              <w:tc>
                <w:tcPr>
                  <w:tcW w:w="941" w:type="pct"/>
                  <w:tcBorders>
                    <w:tl2br w:val="nil"/>
                    <w:tr2bl w:val="nil"/>
                  </w:tcBorders>
                  <w:noWrap w:val="0"/>
                  <w:vAlign w:val="center"/>
                </w:tcPr>
                <w:p w14:paraId="00933D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b/>
                      <w:bCs/>
                      <w:i w:val="0"/>
                      <w:iCs w:val="0"/>
                      <w:smallCaps w:val="0"/>
                      <w:color w:val="auto"/>
                      <w:spacing w:val="0"/>
                      <w:kern w:val="0"/>
                      <w:position w:val="0"/>
                      <w:sz w:val="21"/>
                      <w:szCs w:val="21"/>
                      <w:u w:val="none"/>
                      <w:lang w:val="en-US" w:eastAsia="zh-CN" w:bidi="ar"/>
                    </w:rPr>
                    <w:t>数量（台/套）</w:t>
                  </w:r>
                </w:p>
              </w:tc>
              <w:tc>
                <w:tcPr>
                  <w:tcW w:w="1003" w:type="pct"/>
                  <w:tcBorders>
                    <w:tl2br w:val="nil"/>
                    <w:tr2bl w:val="nil"/>
                  </w:tcBorders>
                  <w:noWrap w:val="0"/>
                  <w:vAlign w:val="center"/>
                </w:tcPr>
                <w:p w14:paraId="722CAE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smallCaps w:val="0"/>
                      <w:color w:val="auto"/>
                      <w:spacing w:val="0"/>
                      <w:kern w:val="0"/>
                      <w:position w:val="0"/>
                      <w:sz w:val="21"/>
                      <w:szCs w:val="21"/>
                      <w:u w:val="none"/>
                    </w:rPr>
                  </w:pPr>
                  <w:r>
                    <w:rPr>
                      <w:rFonts w:hint="default" w:ascii="Times New Roman" w:hAnsi="Times New Roman" w:eastAsia="宋体" w:cs="Times New Roman"/>
                      <w:b/>
                      <w:bCs/>
                      <w:i w:val="0"/>
                      <w:iCs w:val="0"/>
                      <w:smallCaps w:val="0"/>
                      <w:color w:val="auto"/>
                      <w:spacing w:val="0"/>
                      <w:kern w:val="0"/>
                      <w:position w:val="0"/>
                      <w:sz w:val="21"/>
                      <w:szCs w:val="21"/>
                      <w:u w:val="none"/>
                      <w:lang w:val="en-US" w:eastAsia="zh-CN" w:bidi="ar"/>
                    </w:rPr>
                    <w:t>备注</w:t>
                  </w:r>
                </w:p>
              </w:tc>
            </w:tr>
            <w:tr w14:paraId="02C7E07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14:paraId="59D59E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w:t>
                  </w:r>
                </w:p>
              </w:tc>
              <w:tc>
                <w:tcPr>
                  <w:tcW w:w="1364" w:type="pct"/>
                  <w:gridSpan w:val="2"/>
                  <w:tcBorders>
                    <w:tl2br w:val="nil"/>
                    <w:tr2bl w:val="nil"/>
                  </w:tcBorders>
                  <w:noWrap w:val="0"/>
                  <w:vAlign w:val="center"/>
                </w:tcPr>
                <w:p w14:paraId="3007F09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折边机</w:t>
                  </w:r>
                </w:p>
              </w:tc>
              <w:tc>
                <w:tcPr>
                  <w:tcW w:w="1252" w:type="pct"/>
                  <w:tcBorders>
                    <w:tl2br w:val="nil"/>
                    <w:tr2bl w:val="nil"/>
                  </w:tcBorders>
                  <w:noWrap w:val="0"/>
                  <w:vAlign w:val="center"/>
                </w:tcPr>
                <w:p w14:paraId="0A23AC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川越</w:t>
                  </w:r>
                </w:p>
              </w:tc>
              <w:tc>
                <w:tcPr>
                  <w:tcW w:w="941" w:type="pct"/>
                  <w:tcBorders>
                    <w:tl2br w:val="nil"/>
                    <w:tr2bl w:val="nil"/>
                  </w:tcBorders>
                  <w:noWrap w:val="0"/>
                  <w:vAlign w:val="center"/>
                </w:tcPr>
                <w:p w14:paraId="3042BE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w:t>
                  </w:r>
                </w:p>
              </w:tc>
              <w:tc>
                <w:tcPr>
                  <w:tcW w:w="1003" w:type="pct"/>
                  <w:tcBorders>
                    <w:tl2br w:val="nil"/>
                    <w:tr2bl w:val="nil"/>
                  </w:tcBorders>
                  <w:noWrap w:val="0"/>
                  <w:vAlign w:val="center"/>
                </w:tcPr>
                <w:p w14:paraId="7933F9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折边</w:t>
                  </w:r>
                </w:p>
              </w:tc>
            </w:tr>
            <w:tr w14:paraId="4A016A4E">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shd w:val="clear" w:color="auto" w:fill="auto"/>
                  <w:noWrap w:val="0"/>
                  <w:vAlign w:val="center"/>
                </w:tcPr>
                <w:p w14:paraId="79C8E6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2</w:t>
                  </w:r>
                </w:p>
              </w:tc>
              <w:tc>
                <w:tcPr>
                  <w:tcW w:w="1364" w:type="pct"/>
                  <w:gridSpan w:val="2"/>
                  <w:tcBorders>
                    <w:tl2br w:val="nil"/>
                    <w:tr2bl w:val="nil"/>
                  </w:tcBorders>
                  <w:noWrap w:val="0"/>
                  <w:vAlign w:val="center"/>
                </w:tcPr>
                <w:p w14:paraId="6D2D157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剪板机</w:t>
                  </w:r>
                </w:p>
              </w:tc>
              <w:tc>
                <w:tcPr>
                  <w:tcW w:w="1252" w:type="pct"/>
                  <w:tcBorders>
                    <w:tl2br w:val="nil"/>
                    <w:tr2bl w:val="nil"/>
                  </w:tcBorders>
                  <w:noWrap w:val="0"/>
                  <w:vAlign w:val="center"/>
                </w:tcPr>
                <w:p w14:paraId="6F79A8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3-100mm</w:t>
                  </w:r>
                </w:p>
              </w:tc>
              <w:tc>
                <w:tcPr>
                  <w:tcW w:w="941" w:type="pct"/>
                  <w:tcBorders>
                    <w:tl2br w:val="nil"/>
                    <w:tr2bl w:val="nil"/>
                  </w:tcBorders>
                  <w:noWrap w:val="0"/>
                  <w:vAlign w:val="center"/>
                </w:tcPr>
                <w:p w14:paraId="739763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w:t>
                  </w:r>
                </w:p>
              </w:tc>
              <w:tc>
                <w:tcPr>
                  <w:tcW w:w="1003" w:type="pct"/>
                  <w:tcBorders>
                    <w:tl2br w:val="nil"/>
                    <w:tr2bl w:val="nil"/>
                  </w:tcBorders>
                  <w:noWrap w:val="0"/>
                  <w:vAlign w:val="center"/>
                </w:tcPr>
                <w:p w14:paraId="3E5921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剪板</w:t>
                  </w:r>
                </w:p>
              </w:tc>
            </w:tr>
            <w:tr w14:paraId="67B0C857">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shd w:val="clear" w:color="auto" w:fill="auto"/>
                  <w:noWrap w:val="0"/>
                  <w:vAlign w:val="center"/>
                </w:tcPr>
                <w:p w14:paraId="649675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w:t>
                  </w:r>
                </w:p>
              </w:tc>
              <w:tc>
                <w:tcPr>
                  <w:tcW w:w="1364" w:type="pct"/>
                  <w:gridSpan w:val="2"/>
                  <w:tcBorders>
                    <w:tl2br w:val="nil"/>
                    <w:tr2bl w:val="nil"/>
                  </w:tcBorders>
                  <w:noWrap w:val="0"/>
                  <w:vAlign w:val="center"/>
                </w:tcPr>
                <w:p w14:paraId="0FFAB92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冲床</w:t>
                  </w:r>
                </w:p>
              </w:tc>
              <w:tc>
                <w:tcPr>
                  <w:tcW w:w="1252" w:type="pct"/>
                  <w:tcBorders>
                    <w:tl2br w:val="nil"/>
                    <w:tr2bl w:val="nil"/>
                  </w:tcBorders>
                  <w:noWrap w:val="0"/>
                  <w:vAlign w:val="center"/>
                </w:tcPr>
                <w:p w14:paraId="3E0A87E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16T</w:t>
                  </w:r>
                </w:p>
              </w:tc>
              <w:tc>
                <w:tcPr>
                  <w:tcW w:w="941" w:type="pct"/>
                  <w:tcBorders>
                    <w:tl2br w:val="nil"/>
                    <w:tr2bl w:val="nil"/>
                  </w:tcBorders>
                  <w:noWrap w:val="0"/>
                  <w:vAlign w:val="center"/>
                </w:tcPr>
                <w:p w14:paraId="3B8285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4</w:t>
                  </w:r>
                </w:p>
              </w:tc>
              <w:tc>
                <w:tcPr>
                  <w:tcW w:w="1003" w:type="pct"/>
                  <w:tcBorders>
                    <w:tl2br w:val="nil"/>
                    <w:tr2bl w:val="nil"/>
                  </w:tcBorders>
                  <w:noWrap w:val="0"/>
                  <w:vAlign w:val="center"/>
                </w:tcPr>
                <w:p w14:paraId="3BC55F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冲压</w:t>
                  </w:r>
                </w:p>
              </w:tc>
            </w:tr>
            <w:tr w14:paraId="2171AE47">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vMerge w:val="restart"/>
                  <w:tcBorders>
                    <w:tl2br w:val="nil"/>
                    <w:tr2bl w:val="nil"/>
                  </w:tcBorders>
                  <w:noWrap w:val="0"/>
                  <w:vAlign w:val="center"/>
                </w:tcPr>
                <w:p w14:paraId="269F21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4</w:t>
                  </w:r>
                </w:p>
              </w:tc>
              <w:tc>
                <w:tcPr>
                  <w:tcW w:w="582" w:type="pct"/>
                  <w:vMerge w:val="restart"/>
                  <w:tcBorders>
                    <w:tl2br w:val="nil"/>
                    <w:tr2bl w:val="nil"/>
                  </w:tcBorders>
                  <w:noWrap w:val="0"/>
                  <w:vAlign w:val="center"/>
                </w:tcPr>
                <w:p w14:paraId="5E5C76A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焊接机</w:t>
                  </w:r>
                </w:p>
              </w:tc>
              <w:tc>
                <w:tcPr>
                  <w:tcW w:w="782" w:type="pct"/>
                  <w:tcBorders>
                    <w:tl2br w:val="nil"/>
                    <w:tr2bl w:val="nil"/>
                  </w:tcBorders>
                  <w:noWrap w:val="0"/>
                  <w:vAlign w:val="center"/>
                </w:tcPr>
                <w:p w14:paraId="28B9A5E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激光焊接机</w:t>
                  </w:r>
                </w:p>
              </w:tc>
              <w:tc>
                <w:tcPr>
                  <w:tcW w:w="1252" w:type="pct"/>
                  <w:tcBorders>
                    <w:tl2br w:val="nil"/>
                    <w:tr2bl w:val="nil"/>
                  </w:tcBorders>
                  <w:noWrap w:val="0"/>
                  <w:vAlign w:val="center"/>
                </w:tcPr>
                <w:p w14:paraId="35249B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1500W</w:t>
                  </w:r>
                </w:p>
              </w:tc>
              <w:tc>
                <w:tcPr>
                  <w:tcW w:w="941" w:type="pct"/>
                  <w:tcBorders>
                    <w:tl2br w:val="nil"/>
                    <w:tr2bl w:val="nil"/>
                  </w:tcBorders>
                  <w:noWrap w:val="0"/>
                  <w:vAlign w:val="center"/>
                </w:tcPr>
                <w:p w14:paraId="7555217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w:t>
                  </w:r>
                </w:p>
              </w:tc>
              <w:tc>
                <w:tcPr>
                  <w:tcW w:w="1003" w:type="pct"/>
                  <w:vMerge w:val="restart"/>
                  <w:tcBorders>
                    <w:tl2br w:val="nil"/>
                    <w:tr2bl w:val="nil"/>
                  </w:tcBorders>
                  <w:noWrap w:val="0"/>
                  <w:vAlign w:val="center"/>
                </w:tcPr>
                <w:p w14:paraId="00943A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焊接</w:t>
                  </w:r>
                </w:p>
              </w:tc>
            </w:tr>
            <w:tr w14:paraId="5867822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vMerge w:val="continue"/>
                  <w:tcBorders>
                    <w:tl2br w:val="nil"/>
                    <w:tr2bl w:val="nil"/>
                  </w:tcBorders>
                  <w:noWrap w:val="0"/>
                  <w:vAlign w:val="center"/>
                </w:tcPr>
                <w:p w14:paraId="7CD697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582" w:type="pct"/>
                  <w:vMerge w:val="continue"/>
                  <w:tcBorders>
                    <w:tl2br w:val="nil"/>
                    <w:tr2bl w:val="nil"/>
                  </w:tcBorders>
                  <w:noWrap w:val="0"/>
                  <w:vAlign w:val="center"/>
                </w:tcPr>
                <w:p w14:paraId="29ADAE0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p>
              </w:tc>
              <w:tc>
                <w:tcPr>
                  <w:tcW w:w="782" w:type="pct"/>
                  <w:tcBorders>
                    <w:tl2br w:val="nil"/>
                    <w:tr2bl w:val="nil"/>
                  </w:tcBorders>
                  <w:noWrap w:val="0"/>
                  <w:vAlign w:val="center"/>
                </w:tcPr>
                <w:p w14:paraId="35B4AD5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氩弧焊接机</w:t>
                  </w:r>
                </w:p>
              </w:tc>
              <w:tc>
                <w:tcPr>
                  <w:tcW w:w="1252" w:type="pct"/>
                  <w:tcBorders>
                    <w:tl2br w:val="nil"/>
                    <w:tr2bl w:val="nil"/>
                  </w:tcBorders>
                  <w:noWrap w:val="0"/>
                  <w:vAlign w:val="center"/>
                </w:tcPr>
                <w:p w14:paraId="6B51834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w:t>
                  </w:r>
                </w:p>
              </w:tc>
              <w:tc>
                <w:tcPr>
                  <w:tcW w:w="941" w:type="pct"/>
                  <w:tcBorders>
                    <w:tl2br w:val="nil"/>
                    <w:tr2bl w:val="nil"/>
                  </w:tcBorders>
                  <w:noWrap w:val="0"/>
                  <w:vAlign w:val="center"/>
                </w:tcPr>
                <w:p w14:paraId="4D570C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2</w:t>
                  </w:r>
                </w:p>
              </w:tc>
              <w:tc>
                <w:tcPr>
                  <w:tcW w:w="1003" w:type="pct"/>
                  <w:vMerge w:val="continue"/>
                  <w:tcBorders>
                    <w:tl2br w:val="nil"/>
                    <w:tr2bl w:val="nil"/>
                  </w:tcBorders>
                  <w:noWrap w:val="0"/>
                  <w:vAlign w:val="center"/>
                </w:tcPr>
                <w:p w14:paraId="596E72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p>
              </w:tc>
            </w:tr>
            <w:tr w14:paraId="79061705">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14:paraId="52B6C9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5</w:t>
                  </w:r>
                </w:p>
              </w:tc>
              <w:tc>
                <w:tcPr>
                  <w:tcW w:w="1364" w:type="pct"/>
                  <w:gridSpan w:val="2"/>
                  <w:tcBorders>
                    <w:tl2br w:val="nil"/>
                    <w:tr2bl w:val="nil"/>
                  </w:tcBorders>
                  <w:noWrap w:val="0"/>
                  <w:vAlign w:val="center"/>
                </w:tcPr>
                <w:p w14:paraId="23B52EF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点焊机</w:t>
                  </w:r>
                </w:p>
              </w:tc>
              <w:tc>
                <w:tcPr>
                  <w:tcW w:w="1252" w:type="pct"/>
                  <w:tcBorders>
                    <w:tl2br w:val="nil"/>
                    <w:tr2bl w:val="nil"/>
                  </w:tcBorders>
                  <w:noWrap w:val="0"/>
                  <w:vAlign w:val="center"/>
                </w:tcPr>
                <w:p w14:paraId="2F47B8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w:t>
                  </w:r>
                </w:p>
              </w:tc>
              <w:tc>
                <w:tcPr>
                  <w:tcW w:w="941" w:type="pct"/>
                  <w:tcBorders>
                    <w:tl2br w:val="nil"/>
                    <w:tr2bl w:val="nil"/>
                  </w:tcBorders>
                  <w:noWrap w:val="0"/>
                  <w:vAlign w:val="center"/>
                </w:tcPr>
                <w:p w14:paraId="4C9C4CD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w:t>
                  </w:r>
                </w:p>
              </w:tc>
              <w:tc>
                <w:tcPr>
                  <w:tcW w:w="1003" w:type="pct"/>
                  <w:vMerge w:val="continue"/>
                  <w:tcBorders>
                    <w:tl2br w:val="nil"/>
                    <w:tr2bl w:val="nil"/>
                  </w:tcBorders>
                  <w:noWrap w:val="0"/>
                  <w:vAlign w:val="center"/>
                </w:tcPr>
                <w:p w14:paraId="6C49A44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p>
              </w:tc>
            </w:tr>
            <w:tr w14:paraId="040E51F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14:paraId="62ABDA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t>6</w:t>
                  </w:r>
                </w:p>
              </w:tc>
              <w:tc>
                <w:tcPr>
                  <w:tcW w:w="1364" w:type="pct"/>
                  <w:gridSpan w:val="2"/>
                  <w:tcBorders>
                    <w:tl2br w:val="nil"/>
                    <w:tr2bl w:val="nil"/>
                  </w:tcBorders>
                  <w:noWrap w:val="0"/>
                  <w:vAlign w:val="center"/>
                </w:tcPr>
                <w:p w14:paraId="11937BA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清洗机</w:t>
                  </w:r>
                </w:p>
              </w:tc>
              <w:tc>
                <w:tcPr>
                  <w:tcW w:w="1252" w:type="pct"/>
                  <w:tcBorders>
                    <w:tl2br w:val="nil"/>
                    <w:tr2bl w:val="nil"/>
                  </w:tcBorders>
                  <w:noWrap w:val="0"/>
                  <w:vAlign w:val="center"/>
                </w:tcPr>
                <w:p w14:paraId="71FE29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1000mm*500mm*500mm</w:t>
                  </w:r>
                </w:p>
              </w:tc>
              <w:tc>
                <w:tcPr>
                  <w:tcW w:w="941" w:type="pct"/>
                  <w:tcBorders>
                    <w:tl2br w:val="nil"/>
                    <w:tr2bl w:val="nil"/>
                  </w:tcBorders>
                  <w:noWrap w:val="0"/>
                  <w:vAlign w:val="center"/>
                </w:tcPr>
                <w:p w14:paraId="759D4C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w:t>
                  </w:r>
                </w:p>
              </w:tc>
              <w:tc>
                <w:tcPr>
                  <w:tcW w:w="1003" w:type="pct"/>
                  <w:tcBorders>
                    <w:tl2br w:val="nil"/>
                    <w:tr2bl w:val="nil"/>
                  </w:tcBorders>
                  <w:noWrap w:val="0"/>
                  <w:vAlign w:val="center"/>
                </w:tcPr>
                <w:p w14:paraId="2BE6440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清洗</w:t>
                  </w:r>
                </w:p>
              </w:tc>
            </w:tr>
            <w:tr w14:paraId="785F5A50">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14:paraId="6C2E6F0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7</w:t>
                  </w:r>
                </w:p>
              </w:tc>
              <w:tc>
                <w:tcPr>
                  <w:tcW w:w="1364" w:type="pct"/>
                  <w:gridSpan w:val="2"/>
                  <w:tcBorders>
                    <w:tl2br w:val="nil"/>
                    <w:tr2bl w:val="nil"/>
                  </w:tcBorders>
                  <w:noWrap w:val="0"/>
                  <w:vAlign w:val="center"/>
                </w:tcPr>
                <w:p w14:paraId="16D3D8F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UV印刷机</w:t>
                  </w:r>
                </w:p>
              </w:tc>
              <w:tc>
                <w:tcPr>
                  <w:tcW w:w="1252" w:type="pct"/>
                  <w:tcBorders>
                    <w:tl2br w:val="nil"/>
                    <w:tr2bl w:val="nil"/>
                  </w:tcBorders>
                  <w:noWrap w:val="0"/>
                  <w:vAlign w:val="center"/>
                </w:tcPr>
                <w:p w14:paraId="1D032E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YX-890Ⅱ</w:t>
                  </w:r>
                </w:p>
              </w:tc>
              <w:tc>
                <w:tcPr>
                  <w:tcW w:w="941" w:type="pct"/>
                  <w:tcBorders>
                    <w:tl2br w:val="nil"/>
                    <w:tr2bl w:val="nil"/>
                  </w:tcBorders>
                  <w:noWrap w:val="0"/>
                  <w:vAlign w:val="center"/>
                </w:tcPr>
                <w:p w14:paraId="3711F2E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w:t>
                  </w:r>
                </w:p>
              </w:tc>
              <w:tc>
                <w:tcPr>
                  <w:tcW w:w="1003" w:type="pct"/>
                  <w:tcBorders>
                    <w:tl2br w:val="nil"/>
                    <w:tr2bl w:val="nil"/>
                  </w:tcBorders>
                  <w:noWrap w:val="0"/>
                  <w:vAlign w:val="center"/>
                </w:tcPr>
                <w:p w14:paraId="40185A0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印刷</w:t>
                  </w:r>
                </w:p>
              </w:tc>
            </w:tr>
            <w:tr w14:paraId="5413A5E1">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14:paraId="0B4A0CB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8</w:t>
                  </w:r>
                </w:p>
              </w:tc>
              <w:tc>
                <w:tcPr>
                  <w:tcW w:w="1364" w:type="pct"/>
                  <w:gridSpan w:val="2"/>
                  <w:tcBorders>
                    <w:tl2br w:val="nil"/>
                    <w:tr2bl w:val="nil"/>
                  </w:tcBorders>
                  <w:noWrap w:val="0"/>
                  <w:vAlign w:val="center"/>
                </w:tcPr>
                <w:p w14:paraId="2F0123D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切割机</w:t>
                  </w:r>
                </w:p>
              </w:tc>
              <w:tc>
                <w:tcPr>
                  <w:tcW w:w="1252" w:type="pct"/>
                  <w:tcBorders>
                    <w:tl2br w:val="nil"/>
                    <w:tr2bl w:val="nil"/>
                  </w:tcBorders>
                  <w:noWrap w:val="0"/>
                  <w:vAlign w:val="center"/>
                </w:tcPr>
                <w:p w14:paraId="799132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3000W</w:t>
                  </w:r>
                </w:p>
              </w:tc>
              <w:tc>
                <w:tcPr>
                  <w:tcW w:w="941" w:type="pct"/>
                  <w:tcBorders>
                    <w:tl2br w:val="nil"/>
                    <w:tr2bl w:val="nil"/>
                  </w:tcBorders>
                  <w:noWrap w:val="0"/>
                  <w:vAlign w:val="center"/>
                </w:tcPr>
                <w:p w14:paraId="6EDC2F2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w:t>
                  </w:r>
                </w:p>
              </w:tc>
              <w:tc>
                <w:tcPr>
                  <w:tcW w:w="1003" w:type="pct"/>
                  <w:tcBorders>
                    <w:tl2br w:val="nil"/>
                    <w:tr2bl w:val="nil"/>
                  </w:tcBorders>
                  <w:noWrap w:val="0"/>
                  <w:vAlign w:val="center"/>
                </w:tcPr>
                <w:p w14:paraId="06F5FA6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切割</w:t>
                  </w:r>
                </w:p>
              </w:tc>
            </w:tr>
            <w:tr w14:paraId="5AA9B073">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37" w:type="pct"/>
                  <w:tcBorders>
                    <w:tl2br w:val="nil"/>
                    <w:tr2bl w:val="nil"/>
                  </w:tcBorders>
                  <w:noWrap w:val="0"/>
                  <w:vAlign w:val="center"/>
                </w:tcPr>
                <w:p w14:paraId="5D64F4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eastAsia" w:cs="Times New Roman"/>
                      <w:i w:val="0"/>
                      <w:iCs w:val="0"/>
                      <w:smallCaps w:val="0"/>
                      <w:color w:val="auto"/>
                      <w:spacing w:val="0"/>
                      <w:kern w:val="0"/>
                      <w:position w:val="0"/>
                      <w:sz w:val="21"/>
                      <w:szCs w:val="21"/>
                      <w:u w:val="none"/>
                      <w:lang w:val="en-US" w:eastAsia="zh-CN" w:bidi="ar"/>
                    </w:rPr>
                    <w:t>9</w:t>
                  </w:r>
                </w:p>
              </w:tc>
              <w:tc>
                <w:tcPr>
                  <w:tcW w:w="1364" w:type="pct"/>
                  <w:gridSpan w:val="2"/>
                  <w:tcBorders>
                    <w:tl2br w:val="nil"/>
                    <w:tr2bl w:val="nil"/>
                  </w:tcBorders>
                  <w:noWrap w:val="0"/>
                  <w:vAlign w:val="center"/>
                </w:tcPr>
                <w:p w14:paraId="0D7A701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eastAsia" w:cs="Times New Roman"/>
                      <w:i w:val="0"/>
                      <w:iCs w:val="0"/>
                      <w:smallCaps w:val="0"/>
                      <w:color w:val="auto"/>
                      <w:spacing w:val="0"/>
                      <w:kern w:val="0"/>
                      <w:position w:val="0"/>
                      <w:sz w:val="21"/>
                      <w:szCs w:val="21"/>
                      <w:u w:val="none"/>
                      <w:lang w:val="en-US" w:eastAsia="zh-CN"/>
                    </w:rPr>
                    <w:t>冷却水箱</w:t>
                  </w:r>
                </w:p>
              </w:tc>
              <w:tc>
                <w:tcPr>
                  <w:tcW w:w="1252" w:type="pct"/>
                  <w:tcBorders>
                    <w:tl2br w:val="nil"/>
                    <w:tr2bl w:val="nil"/>
                  </w:tcBorders>
                  <w:noWrap w:val="0"/>
                  <w:vAlign w:val="center"/>
                </w:tcPr>
                <w:p w14:paraId="16F689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eastAsia" w:cs="Times New Roman"/>
                      <w:i w:val="0"/>
                      <w:iCs w:val="0"/>
                      <w:smallCaps w:val="0"/>
                      <w:color w:val="auto"/>
                      <w:spacing w:val="0"/>
                      <w:kern w:val="0"/>
                      <w:position w:val="0"/>
                      <w:sz w:val="21"/>
                      <w:szCs w:val="21"/>
                      <w:u w:val="none"/>
                      <w:lang w:val="en-US" w:eastAsia="zh-CN" w:bidi="ar"/>
                    </w:rPr>
                    <w:t>0.5m</w:t>
                  </w:r>
                  <w:r>
                    <w:rPr>
                      <w:rFonts w:hint="eastAsia" w:cs="Times New Roman"/>
                      <w:i w:val="0"/>
                      <w:iCs w:val="0"/>
                      <w:smallCaps w:val="0"/>
                      <w:color w:val="auto"/>
                      <w:spacing w:val="0"/>
                      <w:kern w:val="0"/>
                      <w:position w:val="0"/>
                      <w:sz w:val="21"/>
                      <w:szCs w:val="21"/>
                      <w:u w:val="none"/>
                      <w:vertAlign w:val="superscript"/>
                      <w:lang w:val="en-US" w:eastAsia="zh-CN" w:bidi="ar"/>
                    </w:rPr>
                    <w:t>3</w:t>
                  </w:r>
                  <w:r>
                    <w:rPr>
                      <w:rFonts w:hint="eastAsia" w:cs="Times New Roman"/>
                      <w:i w:val="0"/>
                      <w:iCs w:val="0"/>
                      <w:smallCaps w:val="0"/>
                      <w:color w:val="auto"/>
                      <w:spacing w:val="0"/>
                      <w:kern w:val="0"/>
                      <w:position w:val="0"/>
                      <w:sz w:val="21"/>
                      <w:szCs w:val="21"/>
                      <w:u w:val="none"/>
                      <w:lang w:val="en-US" w:eastAsia="zh-CN" w:bidi="ar"/>
                    </w:rPr>
                    <w:t>/h</w:t>
                  </w:r>
                </w:p>
              </w:tc>
              <w:tc>
                <w:tcPr>
                  <w:tcW w:w="941" w:type="pct"/>
                  <w:tcBorders>
                    <w:tl2br w:val="nil"/>
                    <w:tr2bl w:val="nil"/>
                  </w:tcBorders>
                  <w:noWrap w:val="0"/>
                  <w:vAlign w:val="center"/>
                </w:tcPr>
                <w:p w14:paraId="0B8FE9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eastAsia" w:cs="Times New Roman"/>
                      <w:i w:val="0"/>
                      <w:iCs w:val="0"/>
                      <w:smallCaps w:val="0"/>
                      <w:color w:val="auto"/>
                      <w:spacing w:val="0"/>
                      <w:kern w:val="0"/>
                      <w:position w:val="0"/>
                      <w:sz w:val="21"/>
                      <w:szCs w:val="21"/>
                      <w:u w:val="none"/>
                      <w:lang w:val="en-US" w:eastAsia="zh-CN" w:bidi="ar"/>
                    </w:rPr>
                    <w:t>1</w:t>
                  </w:r>
                </w:p>
              </w:tc>
              <w:tc>
                <w:tcPr>
                  <w:tcW w:w="1003" w:type="pct"/>
                  <w:tcBorders>
                    <w:tl2br w:val="nil"/>
                    <w:tr2bl w:val="nil"/>
                  </w:tcBorders>
                  <w:noWrap w:val="0"/>
                  <w:vAlign w:val="center"/>
                </w:tcPr>
                <w:p w14:paraId="0D92BA7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eastAsia" w:cs="Times New Roman"/>
                      <w:i w:val="0"/>
                      <w:iCs w:val="0"/>
                      <w:smallCaps w:val="0"/>
                      <w:color w:val="auto"/>
                      <w:spacing w:val="0"/>
                      <w:kern w:val="0"/>
                      <w:position w:val="0"/>
                      <w:sz w:val="21"/>
                      <w:szCs w:val="21"/>
                      <w:u w:val="none"/>
                      <w:lang w:val="en-US" w:eastAsia="zh-CN"/>
                    </w:rPr>
                    <w:t>冷却</w:t>
                  </w:r>
                </w:p>
              </w:tc>
            </w:tr>
            <w:tr w14:paraId="2E432442">
              <w:tblPrEx>
                <w:tblBorders>
                  <w:top w:val="single" w:color="000000" w:sz="12" w:space="0"/>
                  <w:left w:val="dotted" w:color="000000" w:sz="4" w:space="0"/>
                  <w:bottom w:val="single" w:color="000000" w:sz="12" w:space="0"/>
                  <w:right w:val="dotted"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02" w:type="pct"/>
                  <w:gridSpan w:val="3"/>
                  <w:tcBorders>
                    <w:tl2br w:val="nil"/>
                    <w:tr2bl w:val="nil"/>
                  </w:tcBorders>
                  <w:noWrap w:val="0"/>
                  <w:vAlign w:val="center"/>
                </w:tcPr>
                <w:p w14:paraId="078702A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合计</w:t>
                  </w:r>
                </w:p>
              </w:tc>
              <w:tc>
                <w:tcPr>
                  <w:tcW w:w="1252" w:type="pct"/>
                  <w:tcBorders>
                    <w:tl2br w:val="nil"/>
                    <w:tr2bl w:val="nil"/>
                  </w:tcBorders>
                  <w:noWrap w:val="0"/>
                  <w:vAlign w:val="center"/>
                </w:tcPr>
                <w:p w14:paraId="5EF6D1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w:t>
                  </w:r>
                </w:p>
              </w:tc>
              <w:tc>
                <w:tcPr>
                  <w:tcW w:w="941" w:type="pct"/>
                  <w:tcBorders>
                    <w:tl2br w:val="nil"/>
                    <w:tr2bl w:val="nil"/>
                  </w:tcBorders>
                  <w:noWrap w:val="0"/>
                  <w:vAlign w:val="center"/>
                </w:tcPr>
                <w:p w14:paraId="4E14F51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21</w:t>
                  </w:r>
                </w:p>
              </w:tc>
              <w:tc>
                <w:tcPr>
                  <w:tcW w:w="1003" w:type="pct"/>
                  <w:tcBorders>
                    <w:tl2br w:val="nil"/>
                    <w:tr2bl w:val="nil"/>
                  </w:tcBorders>
                  <w:noWrap w:val="0"/>
                  <w:vAlign w:val="center"/>
                </w:tcPr>
                <w:p w14:paraId="3385C97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w:t>
                  </w:r>
                </w:p>
              </w:tc>
            </w:tr>
          </w:tbl>
          <w:p w14:paraId="1CFCA479">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textAlignment w:val="auto"/>
              <w:rPr>
                <w:rStyle w:val="20"/>
                <w:rFonts w:hint="default" w:ascii="Times New Roman" w:hAnsi="Times New Roman" w:eastAsia="宋体" w:cs="Times New Roman"/>
                <w:smallCaps w:val="0"/>
                <w:color w:val="auto"/>
                <w:spacing w:val="0"/>
                <w:kern w:val="0"/>
                <w:position w:val="0"/>
                <w:sz w:val="24"/>
              </w:rPr>
            </w:pPr>
            <w:r>
              <w:rPr>
                <w:rStyle w:val="20"/>
                <w:rFonts w:hint="default" w:ascii="Times New Roman" w:hAnsi="Times New Roman" w:eastAsia="宋体" w:cs="Times New Roman"/>
                <w:smallCaps w:val="0"/>
                <w:color w:val="auto"/>
                <w:spacing w:val="0"/>
                <w:kern w:val="0"/>
                <w:position w:val="0"/>
                <w:sz w:val="24"/>
              </w:rPr>
              <w:t>5、主要原辅料、能源利用情况</w:t>
            </w:r>
          </w:p>
          <w:p w14:paraId="580CAD8C">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本项目涉及主要原辅料消耗见表2-</w:t>
            </w:r>
            <w:r>
              <w:rPr>
                <w:rFonts w:hint="default" w:ascii="Times New Roman" w:hAnsi="Times New Roman" w:eastAsia="宋体" w:cs="Times New Roman"/>
                <w:smallCaps w:val="0"/>
                <w:color w:val="auto"/>
                <w:spacing w:val="0"/>
                <w:kern w:val="0"/>
                <w:position w:val="0"/>
                <w:sz w:val="24"/>
                <w:lang w:val="en-US" w:eastAsia="zh-CN"/>
              </w:rPr>
              <w:t>5</w:t>
            </w:r>
            <w:r>
              <w:rPr>
                <w:rFonts w:hint="default" w:ascii="Times New Roman" w:hAnsi="Times New Roman" w:eastAsia="宋体" w:cs="Times New Roman"/>
                <w:smallCaps w:val="0"/>
                <w:color w:val="auto"/>
                <w:spacing w:val="0"/>
                <w:kern w:val="0"/>
                <w:position w:val="0"/>
                <w:sz w:val="24"/>
              </w:rPr>
              <w:t>。</w:t>
            </w:r>
          </w:p>
          <w:p w14:paraId="7F63F3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lang w:eastAsia="zh-CN"/>
              </w:rPr>
            </w:pPr>
            <w:r>
              <w:rPr>
                <w:rFonts w:hint="default" w:ascii="Times New Roman" w:hAnsi="Times New Roman" w:eastAsia="宋体" w:cs="Times New Roman"/>
                <w:b/>
                <w:bCs/>
                <w:smallCaps w:val="0"/>
                <w:color w:val="auto"/>
                <w:spacing w:val="0"/>
                <w:kern w:val="0"/>
                <w:position w:val="0"/>
                <w:sz w:val="21"/>
                <w:szCs w:val="24"/>
              </w:rPr>
              <w:t>表2-</w:t>
            </w:r>
            <w:r>
              <w:rPr>
                <w:rFonts w:hint="default" w:ascii="Times New Roman" w:hAnsi="Times New Roman" w:eastAsia="宋体" w:cs="Times New Roman"/>
                <w:b/>
                <w:bCs/>
                <w:smallCaps w:val="0"/>
                <w:color w:val="auto"/>
                <w:spacing w:val="0"/>
                <w:kern w:val="0"/>
                <w:position w:val="0"/>
                <w:sz w:val="21"/>
                <w:szCs w:val="24"/>
                <w:lang w:val="en-US" w:eastAsia="zh-CN"/>
              </w:rPr>
              <w:t>5</w:t>
            </w:r>
            <w:r>
              <w:rPr>
                <w:rFonts w:hint="default" w:ascii="Times New Roman" w:hAnsi="Times New Roman" w:eastAsia="宋体" w:cs="Times New Roman"/>
                <w:b/>
                <w:bCs/>
                <w:smallCaps w:val="0"/>
                <w:color w:val="auto"/>
                <w:spacing w:val="0"/>
                <w:kern w:val="0"/>
                <w:position w:val="0"/>
                <w:sz w:val="21"/>
                <w:szCs w:val="24"/>
              </w:rPr>
              <w:t>涉及的原辅材料新增消耗表</w:t>
            </w:r>
          </w:p>
          <w:tbl>
            <w:tblPr>
              <w:tblStyle w:val="1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52"/>
              <w:gridCol w:w="1347"/>
              <w:gridCol w:w="2294"/>
              <w:gridCol w:w="1000"/>
              <w:gridCol w:w="850"/>
              <w:gridCol w:w="979"/>
              <w:gridCol w:w="1182"/>
            </w:tblGrid>
            <w:tr w14:paraId="0D48C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2" w:type="pct"/>
                  <w:noWrap w:val="0"/>
                  <w:vAlign w:val="center"/>
                </w:tcPr>
                <w:p w14:paraId="50CD05F3">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类别</w:t>
                  </w:r>
                </w:p>
              </w:tc>
              <w:tc>
                <w:tcPr>
                  <w:tcW w:w="811" w:type="pct"/>
                  <w:noWrap w:val="0"/>
                  <w:vAlign w:val="center"/>
                </w:tcPr>
                <w:p w14:paraId="27550CDE">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名称</w:t>
                  </w:r>
                </w:p>
              </w:tc>
              <w:tc>
                <w:tcPr>
                  <w:tcW w:w="1381" w:type="pct"/>
                  <w:noWrap w:val="0"/>
                  <w:vAlign w:val="center"/>
                </w:tcPr>
                <w:p w14:paraId="43E25A7C">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主要组分、规格</w:t>
                  </w:r>
                </w:p>
              </w:tc>
              <w:tc>
                <w:tcPr>
                  <w:tcW w:w="602" w:type="pct"/>
                  <w:noWrap w:val="0"/>
                  <w:vAlign w:val="center"/>
                </w:tcPr>
                <w:p w14:paraId="61CA1053">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消耗量</w:t>
                  </w:r>
                </w:p>
              </w:tc>
              <w:tc>
                <w:tcPr>
                  <w:tcW w:w="511" w:type="pct"/>
                  <w:noWrap w:val="0"/>
                  <w:vAlign w:val="center"/>
                </w:tcPr>
                <w:p w14:paraId="6F17AE19">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包装</w:t>
                  </w:r>
                </w:p>
              </w:tc>
              <w:tc>
                <w:tcPr>
                  <w:tcW w:w="589" w:type="pct"/>
                  <w:noWrap w:val="0"/>
                  <w:vAlign w:val="center"/>
                </w:tcPr>
                <w:p w14:paraId="72E57AC9">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全厂最大储存量</w:t>
                  </w:r>
                </w:p>
              </w:tc>
              <w:tc>
                <w:tcPr>
                  <w:tcW w:w="711" w:type="pct"/>
                  <w:noWrap w:val="0"/>
                  <w:vAlign w:val="center"/>
                </w:tcPr>
                <w:p w14:paraId="7B830142">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smallCaps w:val="0"/>
                      <w:color w:val="auto"/>
                      <w:spacing w:val="0"/>
                      <w:kern w:val="0"/>
                      <w:position w:val="0"/>
                      <w:sz w:val="21"/>
                      <w:szCs w:val="21"/>
                      <w:lang w:val="en-US" w:eastAsia="zh-CN"/>
                    </w:rPr>
                  </w:pPr>
                  <w:r>
                    <w:rPr>
                      <w:rFonts w:hint="default" w:ascii="Times New Roman" w:hAnsi="Times New Roman" w:eastAsia="宋体" w:cs="Times New Roman"/>
                      <w:b/>
                      <w:bCs/>
                      <w:smallCaps w:val="0"/>
                      <w:color w:val="auto"/>
                      <w:spacing w:val="0"/>
                      <w:kern w:val="0"/>
                      <w:position w:val="0"/>
                      <w:sz w:val="21"/>
                      <w:szCs w:val="21"/>
                      <w:lang w:val="en-US" w:eastAsia="zh-CN"/>
                    </w:rPr>
                    <w:t>来源及运输</w:t>
                  </w:r>
                </w:p>
              </w:tc>
            </w:tr>
            <w:tr w14:paraId="2D09B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9" w:hRule="atLeast"/>
                <w:jc w:val="center"/>
              </w:trPr>
              <w:tc>
                <w:tcPr>
                  <w:tcW w:w="392" w:type="pct"/>
                  <w:noWrap w:val="0"/>
                  <w:vAlign w:val="center"/>
                </w:tcPr>
                <w:p w14:paraId="10CAD36D">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原料</w:t>
                  </w:r>
                </w:p>
              </w:tc>
              <w:tc>
                <w:tcPr>
                  <w:tcW w:w="811" w:type="pct"/>
                  <w:noWrap w:val="0"/>
                  <w:vAlign w:val="center"/>
                </w:tcPr>
                <w:p w14:paraId="0D80209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不锈钢板</w:t>
                  </w:r>
                </w:p>
              </w:tc>
              <w:tc>
                <w:tcPr>
                  <w:tcW w:w="1381" w:type="pct"/>
                  <w:noWrap w:val="0"/>
                  <w:vAlign w:val="center"/>
                </w:tcPr>
                <w:p w14:paraId="5A88936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不锈钢</w:t>
                  </w:r>
                </w:p>
              </w:tc>
              <w:tc>
                <w:tcPr>
                  <w:tcW w:w="602" w:type="pct"/>
                  <w:noWrap w:val="0"/>
                  <w:vAlign w:val="center"/>
                </w:tcPr>
                <w:p w14:paraId="7F4A7C9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80t/a</w:t>
                  </w:r>
                </w:p>
              </w:tc>
              <w:tc>
                <w:tcPr>
                  <w:tcW w:w="511" w:type="pct"/>
                  <w:noWrap w:val="0"/>
                  <w:vAlign w:val="center"/>
                </w:tcPr>
                <w:p w14:paraId="75C44BFF">
                  <w:pPr>
                    <w:keepNext w:val="0"/>
                    <w:keepLines w:val="0"/>
                    <w:pageBreakBefore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smallCaps w:val="0"/>
                      <w:color w:val="auto"/>
                      <w:spacing w:val="0"/>
                      <w:kern w:val="0"/>
                      <w:position w:val="0"/>
                      <w:sz w:val="21"/>
                      <w:szCs w:val="21"/>
                      <w:lang w:val="en-US" w:eastAsia="zh-CN" w:bidi="ar"/>
                    </w:rPr>
                  </w:pPr>
                  <w:r>
                    <w:rPr>
                      <w:rFonts w:hint="default" w:ascii="Times New Roman" w:hAnsi="Times New Roman" w:eastAsia="宋体" w:cs="Times New Roman"/>
                      <w:smallCaps w:val="0"/>
                      <w:color w:val="auto"/>
                      <w:spacing w:val="0"/>
                      <w:kern w:val="0"/>
                      <w:position w:val="0"/>
                      <w:sz w:val="21"/>
                      <w:szCs w:val="21"/>
                      <w:lang w:val="en-US" w:eastAsia="zh-CN" w:bidi="ar"/>
                    </w:rPr>
                    <w:t>捆装</w:t>
                  </w:r>
                </w:p>
              </w:tc>
              <w:tc>
                <w:tcPr>
                  <w:tcW w:w="589" w:type="pct"/>
                  <w:noWrap w:val="0"/>
                  <w:vAlign w:val="center"/>
                </w:tcPr>
                <w:p w14:paraId="5AB5318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5t</w:t>
                  </w:r>
                </w:p>
              </w:tc>
              <w:tc>
                <w:tcPr>
                  <w:tcW w:w="711" w:type="pct"/>
                  <w:noWrap w:val="0"/>
                  <w:vAlign w:val="center"/>
                </w:tcPr>
                <w:p w14:paraId="6CE63ED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bidi="ar"/>
                    </w:rPr>
                    <w:t>外购，汽车</w:t>
                  </w:r>
                </w:p>
              </w:tc>
            </w:tr>
            <w:tr w14:paraId="49B63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9" w:hRule="atLeast"/>
                <w:jc w:val="center"/>
              </w:trPr>
              <w:tc>
                <w:tcPr>
                  <w:tcW w:w="392" w:type="pct"/>
                  <w:vMerge w:val="restart"/>
                  <w:noWrap w:val="0"/>
                  <w:vAlign w:val="center"/>
                </w:tcPr>
                <w:p w14:paraId="698C320B">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辅料</w:t>
                  </w:r>
                </w:p>
              </w:tc>
              <w:tc>
                <w:tcPr>
                  <w:tcW w:w="811" w:type="pct"/>
                  <w:noWrap w:val="0"/>
                  <w:vAlign w:val="center"/>
                </w:tcPr>
                <w:p w14:paraId="388BF53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电子配件</w:t>
                  </w:r>
                </w:p>
              </w:tc>
              <w:tc>
                <w:tcPr>
                  <w:tcW w:w="1381" w:type="pct"/>
                  <w:noWrap w:val="0"/>
                  <w:vAlign w:val="center"/>
                </w:tcPr>
                <w:p w14:paraId="6B68B82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w:t>
                  </w:r>
                </w:p>
              </w:tc>
              <w:tc>
                <w:tcPr>
                  <w:tcW w:w="602" w:type="pct"/>
                  <w:noWrap w:val="0"/>
                  <w:vAlign w:val="center"/>
                </w:tcPr>
                <w:p w14:paraId="75EE6AD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1万套</w:t>
                  </w:r>
                </w:p>
              </w:tc>
              <w:tc>
                <w:tcPr>
                  <w:tcW w:w="511" w:type="pct"/>
                  <w:noWrap w:val="0"/>
                  <w:vAlign w:val="center"/>
                </w:tcPr>
                <w:p w14:paraId="2D106184">
                  <w:pPr>
                    <w:keepNext w:val="0"/>
                    <w:keepLines w:val="0"/>
                    <w:pageBreakBefore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smallCaps w:val="0"/>
                      <w:color w:val="auto"/>
                      <w:spacing w:val="0"/>
                      <w:kern w:val="0"/>
                      <w:position w:val="0"/>
                      <w:sz w:val="21"/>
                      <w:szCs w:val="21"/>
                      <w:lang w:val="en-US" w:eastAsia="zh-CN" w:bidi="ar"/>
                    </w:rPr>
                  </w:pPr>
                  <w:r>
                    <w:rPr>
                      <w:rFonts w:hint="default" w:ascii="Times New Roman" w:hAnsi="Times New Roman" w:eastAsia="宋体" w:cs="Times New Roman"/>
                      <w:smallCaps w:val="0"/>
                      <w:color w:val="auto"/>
                      <w:spacing w:val="0"/>
                      <w:kern w:val="0"/>
                      <w:position w:val="0"/>
                      <w:sz w:val="21"/>
                      <w:szCs w:val="21"/>
                      <w:lang w:val="en-US" w:eastAsia="zh-CN" w:bidi="ar"/>
                    </w:rPr>
                    <w:t>袋装</w:t>
                  </w:r>
                </w:p>
              </w:tc>
              <w:tc>
                <w:tcPr>
                  <w:tcW w:w="589" w:type="pct"/>
                  <w:noWrap w:val="0"/>
                  <w:vAlign w:val="center"/>
                </w:tcPr>
                <w:p w14:paraId="6D513A7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100套</w:t>
                  </w:r>
                </w:p>
              </w:tc>
              <w:tc>
                <w:tcPr>
                  <w:tcW w:w="711" w:type="pct"/>
                  <w:noWrap w:val="0"/>
                  <w:vAlign w:val="center"/>
                </w:tcPr>
                <w:p w14:paraId="5807F5F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bidi="ar"/>
                    </w:rPr>
                    <w:t>外购，汽车</w:t>
                  </w:r>
                </w:p>
              </w:tc>
            </w:tr>
            <w:tr w14:paraId="7D7EB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9" w:hRule="atLeast"/>
                <w:jc w:val="center"/>
              </w:trPr>
              <w:tc>
                <w:tcPr>
                  <w:tcW w:w="392" w:type="pct"/>
                  <w:vMerge w:val="continue"/>
                  <w:noWrap w:val="0"/>
                  <w:vAlign w:val="center"/>
                </w:tcPr>
                <w:p w14:paraId="3A8B007E">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rPr>
                  </w:pPr>
                </w:p>
              </w:tc>
              <w:tc>
                <w:tcPr>
                  <w:tcW w:w="811" w:type="pct"/>
                  <w:noWrap w:val="0"/>
                  <w:vAlign w:val="center"/>
                </w:tcPr>
                <w:p w14:paraId="6F6BBCD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液压油</w:t>
                  </w:r>
                </w:p>
              </w:tc>
              <w:tc>
                <w:tcPr>
                  <w:tcW w:w="1381" w:type="pct"/>
                  <w:noWrap w:val="0"/>
                  <w:vAlign w:val="center"/>
                </w:tcPr>
                <w:p w14:paraId="3A0B914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矿物油</w:t>
                  </w:r>
                </w:p>
              </w:tc>
              <w:tc>
                <w:tcPr>
                  <w:tcW w:w="602" w:type="pct"/>
                  <w:noWrap w:val="0"/>
                  <w:vAlign w:val="center"/>
                </w:tcPr>
                <w:p w14:paraId="10C3186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0.2t/a</w:t>
                  </w:r>
                </w:p>
              </w:tc>
              <w:tc>
                <w:tcPr>
                  <w:tcW w:w="511" w:type="pct"/>
                  <w:noWrap w:val="0"/>
                  <w:vAlign w:val="center"/>
                </w:tcPr>
                <w:p w14:paraId="0D7DAB1D">
                  <w:pPr>
                    <w:keepNext w:val="0"/>
                    <w:keepLines w:val="0"/>
                    <w:pageBreakBefore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smallCaps w:val="0"/>
                      <w:color w:val="auto"/>
                      <w:spacing w:val="0"/>
                      <w:kern w:val="0"/>
                      <w:position w:val="0"/>
                      <w:sz w:val="21"/>
                      <w:szCs w:val="21"/>
                      <w:lang w:val="en-US" w:eastAsia="zh-CN" w:bidi="ar"/>
                    </w:rPr>
                  </w:pPr>
                  <w:r>
                    <w:rPr>
                      <w:rFonts w:hint="default" w:ascii="Times New Roman" w:hAnsi="Times New Roman" w:eastAsia="宋体" w:cs="Times New Roman"/>
                      <w:smallCaps w:val="0"/>
                      <w:color w:val="auto"/>
                      <w:spacing w:val="0"/>
                      <w:kern w:val="0"/>
                      <w:position w:val="0"/>
                      <w:sz w:val="21"/>
                      <w:szCs w:val="21"/>
                      <w:lang w:val="en-US" w:eastAsia="zh-CN" w:bidi="ar"/>
                    </w:rPr>
                    <w:t>桶装200L</w:t>
                  </w:r>
                </w:p>
              </w:tc>
              <w:tc>
                <w:tcPr>
                  <w:tcW w:w="589" w:type="pct"/>
                  <w:noWrap w:val="0"/>
                  <w:vAlign w:val="center"/>
                </w:tcPr>
                <w:p w14:paraId="022C34D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0.2t</w:t>
                  </w:r>
                </w:p>
              </w:tc>
              <w:tc>
                <w:tcPr>
                  <w:tcW w:w="711" w:type="pct"/>
                  <w:noWrap w:val="0"/>
                  <w:vAlign w:val="center"/>
                </w:tcPr>
                <w:p w14:paraId="1DA00A2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bidi="ar"/>
                    </w:rPr>
                    <w:t>外购，汽车</w:t>
                  </w:r>
                </w:p>
              </w:tc>
            </w:tr>
            <w:tr w14:paraId="32ED7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9" w:hRule="atLeast"/>
                <w:jc w:val="center"/>
              </w:trPr>
              <w:tc>
                <w:tcPr>
                  <w:tcW w:w="392" w:type="pct"/>
                  <w:vMerge w:val="continue"/>
                  <w:noWrap w:val="0"/>
                  <w:vAlign w:val="center"/>
                </w:tcPr>
                <w:p w14:paraId="09021FC0">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rPr>
                  </w:pPr>
                </w:p>
              </w:tc>
              <w:tc>
                <w:tcPr>
                  <w:tcW w:w="811" w:type="pct"/>
                  <w:noWrap w:val="0"/>
                  <w:vAlign w:val="center"/>
                </w:tcPr>
                <w:p w14:paraId="6A0C0808">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UV油墨</w:t>
                  </w:r>
                </w:p>
              </w:tc>
              <w:tc>
                <w:tcPr>
                  <w:tcW w:w="1381" w:type="pct"/>
                  <w:noWrap w:val="0"/>
                  <w:vAlign w:val="center"/>
                </w:tcPr>
                <w:p w14:paraId="3D5424A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5-30%树脂、10-30%单体、0-45%颜料、0-5%引发剂、0-5%填料</w:t>
                  </w:r>
                </w:p>
              </w:tc>
              <w:tc>
                <w:tcPr>
                  <w:tcW w:w="602" w:type="pct"/>
                  <w:noWrap w:val="0"/>
                  <w:vAlign w:val="center"/>
                </w:tcPr>
                <w:p w14:paraId="0996616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0.006t/a</w:t>
                  </w:r>
                </w:p>
              </w:tc>
              <w:tc>
                <w:tcPr>
                  <w:tcW w:w="511" w:type="pct"/>
                  <w:noWrap w:val="0"/>
                  <w:vAlign w:val="center"/>
                </w:tcPr>
                <w:p w14:paraId="76AF4C3A">
                  <w:pPr>
                    <w:keepNext w:val="0"/>
                    <w:keepLines w:val="0"/>
                    <w:pageBreakBefore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smallCaps w:val="0"/>
                      <w:color w:val="auto"/>
                      <w:spacing w:val="0"/>
                      <w:kern w:val="0"/>
                      <w:position w:val="0"/>
                      <w:sz w:val="21"/>
                      <w:szCs w:val="21"/>
                      <w:lang w:val="en-US" w:eastAsia="zh-CN" w:bidi="ar"/>
                    </w:rPr>
                  </w:pPr>
                  <w:r>
                    <w:rPr>
                      <w:rFonts w:hint="default" w:ascii="Times New Roman" w:hAnsi="Times New Roman" w:eastAsia="宋体" w:cs="Times New Roman"/>
                      <w:smallCaps w:val="0"/>
                      <w:color w:val="auto"/>
                      <w:spacing w:val="0"/>
                      <w:kern w:val="0"/>
                      <w:position w:val="0"/>
                      <w:sz w:val="21"/>
                      <w:szCs w:val="21"/>
                      <w:lang w:val="en-US" w:eastAsia="zh-CN" w:bidi="ar"/>
                    </w:rPr>
                    <w:t>瓶装150mL</w:t>
                  </w:r>
                </w:p>
              </w:tc>
              <w:tc>
                <w:tcPr>
                  <w:tcW w:w="589" w:type="pct"/>
                  <w:noWrap w:val="0"/>
                  <w:vAlign w:val="center"/>
                </w:tcPr>
                <w:p w14:paraId="36B880D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0.002t</w:t>
                  </w:r>
                </w:p>
              </w:tc>
              <w:tc>
                <w:tcPr>
                  <w:tcW w:w="711" w:type="pct"/>
                  <w:noWrap w:val="0"/>
                  <w:vAlign w:val="center"/>
                </w:tcPr>
                <w:p w14:paraId="2E068F21">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bidi="ar"/>
                    </w:rPr>
                    <w:t>外购，汽车</w:t>
                  </w:r>
                </w:p>
              </w:tc>
            </w:tr>
            <w:tr w14:paraId="0395E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9" w:hRule="atLeast"/>
                <w:jc w:val="center"/>
              </w:trPr>
              <w:tc>
                <w:tcPr>
                  <w:tcW w:w="392" w:type="pct"/>
                  <w:vMerge w:val="continue"/>
                  <w:noWrap w:val="0"/>
                  <w:vAlign w:val="center"/>
                </w:tcPr>
                <w:p w14:paraId="4316BC88">
                  <w:pPr>
                    <w:pStyle w:val="26"/>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rPr>
                  </w:pPr>
                </w:p>
              </w:tc>
              <w:tc>
                <w:tcPr>
                  <w:tcW w:w="811" w:type="pct"/>
                  <w:noWrap w:val="0"/>
                  <w:vAlign w:val="center"/>
                </w:tcPr>
                <w:p w14:paraId="4E3668D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氩气</w:t>
                  </w:r>
                </w:p>
              </w:tc>
              <w:tc>
                <w:tcPr>
                  <w:tcW w:w="1381" w:type="pct"/>
                  <w:noWrap w:val="0"/>
                  <w:vAlign w:val="center"/>
                </w:tcPr>
                <w:p w14:paraId="5B28F28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Ar</w:t>
                  </w:r>
                </w:p>
              </w:tc>
              <w:tc>
                <w:tcPr>
                  <w:tcW w:w="602" w:type="pct"/>
                  <w:noWrap w:val="0"/>
                  <w:vAlign w:val="center"/>
                </w:tcPr>
                <w:p w14:paraId="1C85D68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10瓶</w:t>
                  </w:r>
                </w:p>
              </w:tc>
              <w:tc>
                <w:tcPr>
                  <w:tcW w:w="511" w:type="pct"/>
                  <w:noWrap w:val="0"/>
                  <w:vAlign w:val="center"/>
                </w:tcPr>
                <w:p w14:paraId="76F45A71">
                  <w:pPr>
                    <w:keepNext w:val="0"/>
                    <w:keepLines w:val="0"/>
                    <w:pageBreakBefore w:val="0"/>
                    <w:kinsoku/>
                    <w:wordWrap/>
                    <w:overflowPunct/>
                    <w:topLinePunct w:val="0"/>
                    <w:autoSpaceDE/>
                    <w:autoSpaceDN/>
                    <w:bidi w:val="0"/>
                    <w:adjustRightInd w:val="0"/>
                    <w:snapToGrid w:val="0"/>
                    <w:spacing w:line="240" w:lineRule="auto"/>
                    <w:jc w:val="center"/>
                    <w:textAlignment w:val="top"/>
                    <w:rPr>
                      <w:rFonts w:hint="default" w:ascii="Times New Roman" w:hAnsi="Times New Roman" w:eastAsia="宋体" w:cs="Times New Roman"/>
                      <w:smallCaps w:val="0"/>
                      <w:color w:val="auto"/>
                      <w:spacing w:val="0"/>
                      <w:kern w:val="0"/>
                      <w:position w:val="0"/>
                      <w:sz w:val="21"/>
                      <w:szCs w:val="21"/>
                      <w:lang w:val="en-US" w:eastAsia="zh-CN" w:bidi="ar"/>
                    </w:rPr>
                  </w:pPr>
                  <w:r>
                    <w:rPr>
                      <w:rFonts w:hint="default" w:ascii="Times New Roman" w:hAnsi="Times New Roman" w:eastAsia="宋体" w:cs="Times New Roman"/>
                      <w:smallCaps w:val="0"/>
                      <w:color w:val="auto"/>
                      <w:spacing w:val="0"/>
                      <w:kern w:val="0"/>
                      <w:position w:val="0"/>
                      <w:sz w:val="21"/>
                      <w:szCs w:val="21"/>
                      <w:lang w:val="en-US" w:eastAsia="zh-CN" w:bidi="ar"/>
                    </w:rPr>
                    <w:t>瓶装</w:t>
                  </w:r>
                </w:p>
              </w:tc>
              <w:tc>
                <w:tcPr>
                  <w:tcW w:w="589" w:type="pct"/>
                  <w:noWrap w:val="0"/>
                  <w:vAlign w:val="center"/>
                </w:tcPr>
                <w:p w14:paraId="12CFF43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2瓶</w:t>
                  </w:r>
                </w:p>
              </w:tc>
              <w:tc>
                <w:tcPr>
                  <w:tcW w:w="711" w:type="pct"/>
                  <w:noWrap w:val="0"/>
                  <w:vAlign w:val="center"/>
                </w:tcPr>
                <w:p w14:paraId="529E249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外购，汽车</w:t>
                  </w:r>
                </w:p>
              </w:tc>
            </w:tr>
          </w:tbl>
          <w:p w14:paraId="642211C9">
            <w:pPr>
              <w:keepNext w:val="0"/>
              <w:keepLines w:val="0"/>
              <w:pageBreakBefore w:val="0"/>
              <w:widowControl w:val="0"/>
              <w:numPr>
                <w:ilvl w:val="0"/>
                <w:numId w:val="2"/>
              </w:numPr>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1"/>
                <w:szCs w:val="21"/>
                <w:lang w:val="en-US" w:eastAsia="zh-CN"/>
              </w:rPr>
            </w:pPr>
            <w:r>
              <w:rPr>
                <w:rFonts w:hint="default" w:ascii="Times New Roman" w:hAnsi="Times New Roman" w:eastAsia="宋体" w:cs="Times New Roman"/>
                <w:b/>
                <w:smallCaps w:val="0"/>
                <w:color w:val="auto"/>
                <w:spacing w:val="0"/>
                <w:kern w:val="0"/>
                <w:position w:val="0"/>
                <w:sz w:val="24"/>
                <w:lang w:val="en-US" w:eastAsia="zh-CN"/>
              </w:rPr>
              <w:t>原辅料理化性质分析</w:t>
            </w:r>
          </w:p>
          <w:p w14:paraId="6C8486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r>
              <w:rPr>
                <w:rFonts w:hint="default" w:ascii="Times New Roman" w:hAnsi="Times New Roman" w:eastAsia="宋体" w:cs="Times New Roman"/>
                <w:b/>
                <w:bCs/>
                <w:smallCaps w:val="0"/>
                <w:color w:val="auto"/>
                <w:spacing w:val="0"/>
                <w:kern w:val="0"/>
                <w:position w:val="0"/>
                <w:sz w:val="21"/>
                <w:szCs w:val="24"/>
              </w:rPr>
              <w:t>表</w:t>
            </w:r>
            <w:r>
              <w:rPr>
                <w:rFonts w:hint="default" w:ascii="Times New Roman" w:hAnsi="Times New Roman" w:eastAsia="宋体" w:cs="Times New Roman"/>
                <w:b/>
                <w:bCs/>
                <w:smallCaps w:val="0"/>
                <w:color w:val="auto"/>
                <w:spacing w:val="0"/>
                <w:kern w:val="0"/>
                <w:position w:val="0"/>
                <w:sz w:val="21"/>
                <w:szCs w:val="24"/>
                <w:lang w:val="en-US" w:eastAsia="zh-CN"/>
              </w:rPr>
              <w:t>2-6</w:t>
            </w:r>
            <w:r>
              <w:rPr>
                <w:rFonts w:hint="default" w:ascii="Times New Roman" w:hAnsi="Times New Roman" w:eastAsia="宋体" w:cs="Times New Roman"/>
                <w:b/>
                <w:bCs/>
                <w:smallCaps w:val="0"/>
                <w:color w:val="auto"/>
                <w:spacing w:val="0"/>
                <w:kern w:val="0"/>
                <w:position w:val="0"/>
                <w:sz w:val="21"/>
                <w:szCs w:val="24"/>
              </w:rPr>
              <w:t>理化性质一览表</w:t>
            </w:r>
          </w:p>
          <w:tbl>
            <w:tblPr>
              <w:tblStyle w:val="17"/>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0" w:type="dxa"/>
                <w:bottom w:w="0" w:type="dxa"/>
                <w:right w:w="0" w:type="dxa"/>
              </w:tblCellMar>
            </w:tblPr>
            <w:tblGrid>
              <w:gridCol w:w="1185"/>
              <w:gridCol w:w="7115"/>
            </w:tblGrid>
            <w:tr w14:paraId="1897D35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tcBorders>
                    <w:tl2br w:val="nil"/>
                    <w:tr2bl w:val="nil"/>
                  </w:tcBorders>
                  <w:noWrap w:val="0"/>
                  <w:vAlign w:val="center"/>
                </w:tcPr>
                <w:p w14:paraId="3EB4CEC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4286" w:type="pct"/>
                  <w:tcBorders>
                    <w:tl2br w:val="nil"/>
                    <w:tr2bl w:val="nil"/>
                  </w:tcBorders>
                  <w:noWrap w:val="0"/>
                  <w:vAlign w:val="center"/>
                </w:tcPr>
                <w:p w14:paraId="3C5D711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理化特性/毒理毒性</w:t>
                  </w:r>
                </w:p>
              </w:tc>
            </w:tr>
            <w:tr w14:paraId="35ABCE0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tcBorders>
                    <w:tl2br w:val="nil"/>
                    <w:tr2bl w:val="nil"/>
                  </w:tcBorders>
                  <w:noWrap w:val="0"/>
                  <w:vAlign w:val="center"/>
                </w:tcPr>
                <w:p w14:paraId="2E87762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UV油墨</w:t>
                  </w:r>
                </w:p>
              </w:tc>
              <w:tc>
                <w:tcPr>
                  <w:tcW w:w="4286" w:type="pct"/>
                  <w:tcBorders>
                    <w:tl2br w:val="nil"/>
                    <w:tr2bl w:val="nil"/>
                  </w:tcBorders>
                  <w:noWrap w:val="0"/>
                  <w:vAlign w:val="center"/>
                </w:tcPr>
                <w:p w14:paraId="22CAAA3F">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胶状油墨，</w:t>
                  </w:r>
                  <w:r>
                    <w:rPr>
                      <w:rFonts w:hint="default" w:ascii="Times New Roman" w:hAnsi="Times New Roman" w:eastAsia="宋体" w:cs="Times New Roman"/>
                      <w:color w:val="auto"/>
                      <w:sz w:val="21"/>
                      <w:szCs w:val="21"/>
                      <w:lang w:val="en-US" w:eastAsia="zh-CN"/>
                    </w:rPr>
                    <w:t>低味无毒，</w:t>
                  </w:r>
                  <w:r>
                    <w:rPr>
                      <w:rFonts w:hint="default" w:ascii="Times New Roman" w:hAnsi="Times New Roman" w:eastAsia="宋体" w:cs="Times New Roman"/>
                      <w:color w:val="auto"/>
                      <w:sz w:val="21"/>
                      <w:szCs w:val="21"/>
                    </w:rPr>
                    <w:t>由树脂</w:t>
                  </w:r>
                  <w:r>
                    <w:rPr>
                      <w:rFonts w:hint="default" w:ascii="Times New Roman" w:hAnsi="Times New Roman" w:eastAsia="宋体" w:cs="Times New Roman"/>
                      <w:color w:val="auto"/>
                      <w:sz w:val="21"/>
                      <w:szCs w:val="21"/>
                      <w:lang w:eastAsia="zh-CN"/>
                    </w:rPr>
                    <w:t>（改性聚酯丙烯酸树脂）</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单体</w:t>
                  </w:r>
                  <w:r>
                    <w:rPr>
                      <w:rFonts w:hint="default" w:ascii="Times New Roman" w:hAnsi="Times New Roman" w:eastAsia="宋体" w:cs="Times New Roman"/>
                      <w:color w:val="auto"/>
                      <w:sz w:val="21"/>
                      <w:szCs w:val="21"/>
                    </w:rPr>
                    <w:t>、颜填料、</w:t>
                  </w:r>
                  <w:r>
                    <w:rPr>
                      <w:rFonts w:hint="default" w:ascii="Times New Roman" w:hAnsi="Times New Roman" w:eastAsia="宋体" w:cs="Times New Roman"/>
                      <w:color w:val="auto"/>
                      <w:sz w:val="21"/>
                      <w:szCs w:val="21"/>
                      <w:lang w:val="en-US" w:eastAsia="zh-CN"/>
                    </w:rPr>
                    <w:t>引发剂</w:t>
                  </w:r>
                  <w:r>
                    <w:rPr>
                      <w:rFonts w:hint="default" w:ascii="Times New Roman" w:hAnsi="Times New Roman" w:eastAsia="宋体" w:cs="Times New Roman"/>
                      <w:color w:val="auto"/>
                      <w:sz w:val="21"/>
                      <w:szCs w:val="21"/>
                    </w:rPr>
                    <w:t>组成</w:t>
                  </w:r>
                  <w:r>
                    <w:rPr>
                      <w:rFonts w:hint="default" w:ascii="Times New Roman" w:hAnsi="Times New Roman" w:eastAsia="宋体" w:cs="Times New Roman"/>
                      <w:color w:val="auto"/>
                      <w:sz w:val="21"/>
                      <w:szCs w:val="21"/>
                      <w:lang w:eastAsia="zh-CN"/>
                    </w:rPr>
                    <w:t>；</w:t>
                  </w:r>
                </w:p>
                <w:p w14:paraId="5F9806B7">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具体成分为：</w:t>
                  </w:r>
                </w:p>
                <w:p w14:paraId="2C990DB6">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树脂：改性聚酯丙烯酸树脂5-30%</w:t>
                  </w:r>
                </w:p>
                <w:p w14:paraId="56D4710A">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单体：丙氧基化甘油三丙烯酸酯10-30%；双三羟甲基丙烷四丙烯酸酯10-30%；双季戊四醇五六丙烯酸酯0-30%；三羟甲基丙烷三丙烯酸酯0-30%；</w:t>
                  </w:r>
                </w:p>
                <w:p w14:paraId="675422D1">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颜料：0-45%（颜料红57：1、颜料黄13#、酞菁蓝15：3、炭黑、钛白粉、绿7#、桃红81#、金红48：1、金红53：1、紫23#、大红（红/金红）、射光蓝（紫/蓝）、碳酸钙、超耐光性颜料（多种类））；</w:t>
                  </w:r>
                </w:p>
                <w:p w14:paraId="03D65862">
                  <w:pPr>
                    <w:jc w:val="left"/>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引发剂：0-5%（光引发剂379、光引发剂DETX、光引发剂4-MBP）；</w:t>
                  </w:r>
                </w:p>
                <w:p w14:paraId="0D1ACD09">
                  <w:pPr>
                    <w:jc w:val="left"/>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助引发剂：四乙基米氏酮0-5%；</w:t>
                  </w:r>
                </w:p>
                <w:p w14:paraId="421364EB">
                  <w:pPr>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填料：0-5%（碳酸镁、固体石蜡PEWAX等）</w:t>
                  </w:r>
                </w:p>
                <w:p w14:paraId="18757A1C">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比重：</w:t>
                  </w:r>
                  <w:r>
                    <w:rPr>
                      <w:rFonts w:hint="default" w:ascii="Times New Roman" w:hAnsi="Times New Roman" w:eastAsia="宋体" w:cs="Times New Roman"/>
                      <w:color w:val="auto"/>
                      <w:sz w:val="21"/>
                      <w:szCs w:val="21"/>
                      <w:lang w:val="en-US" w:eastAsia="zh-CN"/>
                    </w:rPr>
                    <w:t>1.0-1.4</w:t>
                  </w:r>
                  <w:r>
                    <w:rPr>
                      <w:rFonts w:hint="default" w:ascii="Times New Roman" w:hAnsi="Times New Roman" w:eastAsia="宋体" w:cs="Times New Roman"/>
                      <w:color w:val="auto"/>
                      <w:sz w:val="21"/>
                      <w:szCs w:val="21"/>
                    </w:rPr>
                    <w:t>g/cm</w:t>
                  </w:r>
                  <w:r>
                    <w:rPr>
                      <w:rFonts w:hint="default" w:ascii="Times New Roman" w:hAnsi="Times New Roman" w:eastAsia="宋体" w:cs="Times New Roman"/>
                      <w:color w:val="auto"/>
                      <w:sz w:val="21"/>
                      <w:szCs w:val="21"/>
                      <w:vertAlign w:val="superscript"/>
                    </w:rPr>
                    <w:t>3</w:t>
                  </w:r>
                </w:p>
                <w:p w14:paraId="3B5924B8">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颗粒精度：&lt;0.2</w:t>
                  </w:r>
                  <w:r>
                    <w:rPr>
                      <w:rFonts w:hint="default" w:ascii="Times New Roman" w:hAnsi="Times New Roman" w:eastAsia="宋体" w:cs="Times New Roman"/>
                      <w:color w:val="auto"/>
                      <w:sz w:val="21"/>
                      <w:szCs w:val="21"/>
                    </w:rPr>
                    <w:t>μm</w:t>
                  </w:r>
                </w:p>
                <w:p w14:paraId="7381A2C0">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粘度：3-12PC</w:t>
                  </w:r>
                </w:p>
                <w:p w14:paraId="33E0F7E7">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相对湿度：40-70%</w:t>
                  </w:r>
                </w:p>
                <w:p w14:paraId="5A4F533E">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pH：6.5-7.5</w:t>
                  </w:r>
                </w:p>
                <w:p w14:paraId="163A0B9F">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过滤精度：1-2NM</w:t>
                  </w:r>
                </w:p>
              </w:tc>
            </w:tr>
            <w:tr w14:paraId="343482C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tcBorders>
                    <w:tl2br w:val="nil"/>
                    <w:tr2bl w:val="nil"/>
                  </w:tcBorders>
                  <w:noWrap w:val="0"/>
                  <w:vAlign w:val="center"/>
                </w:tcPr>
                <w:p w14:paraId="081D0F4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氩气</w:t>
                  </w:r>
                </w:p>
              </w:tc>
              <w:tc>
                <w:tcPr>
                  <w:tcW w:w="4286" w:type="pct"/>
                  <w:tcBorders>
                    <w:tl2br w:val="nil"/>
                    <w:tr2bl w:val="nil"/>
                  </w:tcBorders>
                  <w:noWrap w:val="0"/>
                  <w:vAlign w:val="center"/>
                </w:tcPr>
                <w:p w14:paraId="3CC1F88F">
                  <w:pPr>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氩气是一种无色无味的气体，密度大约是空气的1.4倍，氦气的10倍。是空气中含量最高的稀有气体。常温下微溶于水，通电后发出红紫色光芒</w:t>
                  </w:r>
                  <w:r>
                    <w:rPr>
                      <w:rFonts w:hint="default" w:ascii="Times New Roman" w:hAnsi="Times New Roman" w:eastAsia="宋体" w:cs="Times New Roman"/>
                      <w:color w:val="auto"/>
                      <w:sz w:val="21"/>
                      <w:szCs w:val="21"/>
                      <w:lang w:eastAsia="zh-CN"/>
                    </w:rPr>
                    <w:t>。</w:t>
                  </w:r>
                </w:p>
                <w:p w14:paraId="0067B560">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CAS号：7440-37-1；</w:t>
                  </w:r>
                </w:p>
                <w:p w14:paraId="6AAF64E7">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沸点：-185.7℃；</w:t>
                  </w:r>
                </w:p>
                <w:p w14:paraId="7D0A2113">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熔点：-189.2℃；</w:t>
                  </w:r>
                </w:p>
              </w:tc>
            </w:tr>
            <w:tr w14:paraId="3DF6B735">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3" w:type="pct"/>
                  <w:tcBorders>
                    <w:tl2br w:val="nil"/>
                    <w:tr2bl w:val="nil"/>
                  </w:tcBorders>
                  <w:noWrap w:val="0"/>
                  <w:vAlign w:val="center"/>
                </w:tcPr>
                <w:p w14:paraId="197C445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bidi="ar-SA"/>
                    </w:rPr>
                    <w:t>液压油</w:t>
                  </w:r>
                </w:p>
              </w:tc>
              <w:tc>
                <w:tcPr>
                  <w:tcW w:w="4286" w:type="pct"/>
                  <w:tcBorders>
                    <w:tl2br w:val="nil"/>
                    <w:tr2bl w:val="nil"/>
                  </w:tcBorders>
                  <w:noWrap w:val="0"/>
                  <w:vAlign w:val="center"/>
                </w:tcPr>
                <w:p w14:paraId="3F345019">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利用液体压力能的液压系统使用的液压介质，在液压系统中起着能量传递、抗磨、系统润滑、防腐、防锈、冷却等作用；外观：黄色透明液体；气味：特有气味，无刺激性；溶解性：不溶于水，溶于醇、醚、酮、酯、烃等大部分有机溶液；闪点大于180℃，遇明火、高热或与氧化剂接触可能引起燃烧。有害燃烧产CO，CO2，硫化物、固体悬浮颗粒与复杂燃烧混合物。</w:t>
                  </w:r>
                </w:p>
              </w:tc>
            </w:tr>
          </w:tbl>
          <w:p w14:paraId="62DAEB59">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lang w:val="en-US" w:eastAsia="zh-CN"/>
              </w:rPr>
            </w:pPr>
            <w:r>
              <w:rPr>
                <w:rFonts w:hint="eastAsia" w:ascii="Times New Roman" w:hAnsi="Times New Roman" w:eastAsia="宋体" w:cs="Times New Roman"/>
                <w:b/>
                <w:bCs/>
                <w:smallCaps w:val="0"/>
                <w:color w:val="auto"/>
                <w:spacing w:val="0"/>
                <w:kern w:val="0"/>
                <w:position w:val="0"/>
                <w:sz w:val="24"/>
                <w:lang w:val="en-US" w:eastAsia="zh-CN"/>
              </w:rPr>
              <w:t>7、UV油墨合规性分析</w:t>
            </w:r>
          </w:p>
          <w:p w14:paraId="0A665548">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lang w:val="en-US" w:eastAsia="zh-CN"/>
              </w:rPr>
            </w:pPr>
            <w:r>
              <w:rPr>
                <w:rFonts w:hint="default" w:ascii="Times New Roman" w:hAnsi="Times New Roman" w:eastAsia="宋体" w:cs="Times New Roman"/>
                <w:b/>
                <w:smallCaps w:val="0"/>
                <w:color w:val="auto"/>
                <w:spacing w:val="0"/>
                <w:kern w:val="0"/>
                <w:position w:val="0"/>
                <w:sz w:val="24"/>
                <w:lang w:val="en-US" w:eastAsia="zh-CN"/>
              </w:rPr>
              <w:t>与《油墨中可挥发性有机化合物(VOCs)含量的限值（GB38507-2020）》相符性分析</w:t>
            </w:r>
          </w:p>
          <w:p w14:paraId="54800BFF">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smallCaps w:val="0"/>
                <w:color w:val="auto"/>
                <w:spacing w:val="0"/>
                <w:kern w:val="0"/>
                <w:position w:val="0"/>
                <w:lang w:val="en-US" w:eastAsia="zh-CN"/>
              </w:rPr>
              <w:t>本项目使用UV油墨根据其主要成分，属于能量固化油墨-喷墨印刷油墨，表1油墨渣可挥发性有机化合物含量的限值如下：</w:t>
            </w:r>
          </w:p>
          <w:p w14:paraId="3491B0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 w:val="21"/>
                <w:szCs w:val="24"/>
              </w:rPr>
            </w:pPr>
            <w:r>
              <w:rPr>
                <w:rFonts w:hint="default" w:ascii="Times New Roman" w:hAnsi="Times New Roman" w:eastAsia="宋体" w:cs="Times New Roman"/>
                <w:b/>
                <w:bCs/>
                <w:smallCaps w:val="0"/>
                <w:color w:val="auto"/>
                <w:spacing w:val="0"/>
                <w:kern w:val="0"/>
                <w:position w:val="0"/>
                <w:sz w:val="21"/>
                <w:szCs w:val="24"/>
              </w:rPr>
              <w:t>表2-</w:t>
            </w:r>
            <w:r>
              <w:rPr>
                <w:rFonts w:hint="default" w:ascii="Times New Roman" w:hAnsi="Times New Roman" w:eastAsia="宋体" w:cs="Times New Roman"/>
                <w:b/>
                <w:bCs/>
                <w:smallCaps w:val="0"/>
                <w:color w:val="auto"/>
                <w:spacing w:val="0"/>
                <w:kern w:val="0"/>
                <w:position w:val="0"/>
                <w:sz w:val="21"/>
                <w:szCs w:val="24"/>
                <w:lang w:val="en-US" w:eastAsia="zh-CN"/>
              </w:rPr>
              <w:t>7喷墨印刷油墨VOCs</w:t>
            </w:r>
            <w:r>
              <w:rPr>
                <w:rFonts w:hint="default" w:ascii="Times New Roman" w:hAnsi="Times New Roman" w:eastAsia="宋体" w:cs="Times New Roman"/>
                <w:b/>
                <w:bCs/>
                <w:smallCaps w:val="0"/>
                <w:color w:val="auto"/>
                <w:spacing w:val="0"/>
                <w:kern w:val="0"/>
                <w:position w:val="0"/>
                <w:sz w:val="21"/>
                <w:szCs w:val="24"/>
              </w:rPr>
              <w:t>含量限值</w:t>
            </w:r>
          </w:p>
          <w:tbl>
            <w:tblPr>
              <w:tblStyle w:val="17"/>
              <w:tblW w:w="4999" w:type="pct"/>
              <w:jc w:val="center"/>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Layout w:type="fixed"/>
              <w:tblCellMar>
                <w:top w:w="0" w:type="dxa"/>
                <w:left w:w="28" w:type="dxa"/>
                <w:bottom w:w="0" w:type="dxa"/>
                <w:right w:w="28" w:type="dxa"/>
              </w:tblCellMar>
            </w:tblPr>
            <w:tblGrid>
              <w:gridCol w:w="3617"/>
              <w:gridCol w:w="4685"/>
            </w:tblGrid>
            <w:tr w14:paraId="564BDB16">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178" w:type="pct"/>
                  <w:vMerge w:val="restart"/>
                  <w:tcBorders>
                    <w:tl2br w:val="nil"/>
                    <w:tr2bl w:val="nil"/>
                  </w:tcBorders>
                  <w:noWrap w:val="0"/>
                  <w:vAlign w:val="center"/>
                </w:tcPr>
                <w:p w14:paraId="58CE3079">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项目</w:t>
                  </w:r>
                </w:p>
              </w:tc>
              <w:tc>
                <w:tcPr>
                  <w:tcW w:w="2822" w:type="pct"/>
                  <w:tcBorders>
                    <w:tl2br w:val="nil"/>
                    <w:tr2bl w:val="nil"/>
                  </w:tcBorders>
                  <w:noWrap w:val="0"/>
                  <w:vAlign w:val="center"/>
                </w:tcPr>
                <w:p w14:paraId="07F6C773">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限值</w:t>
                  </w:r>
                </w:p>
              </w:tc>
            </w:tr>
            <w:tr w14:paraId="0ED66958">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78" w:type="pct"/>
                  <w:vMerge w:val="continue"/>
                  <w:tcBorders>
                    <w:tl2br w:val="nil"/>
                    <w:tr2bl w:val="nil"/>
                  </w:tcBorders>
                  <w:noWrap w:val="0"/>
                  <w:vAlign w:val="center"/>
                </w:tcPr>
                <w:p w14:paraId="5BE9835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p>
              </w:tc>
              <w:tc>
                <w:tcPr>
                  <w:tcW w:w="2822" w:type="pct"/>
                  <w:tcBorders>
                    <w:tl2br w:val="nil"/>
                    <w:tr2bl w:val="nil"/>
                  </w:tcBorders>
                  <w:noWrap w:val="0"/>
                  <w:vAlign w:val="center"/>
                </w:tcPr>
                <w:p w14:paraId="06CBE15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挥发性有机化合物（VOCs）限值%</w:t>
                  </w:r>
                </w:p>
              </w:tc>
            </w:tr>
            <w:tr w14:paraId="6713B379">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78" w:type="pct"/>
                  <w:tcBorders>
                    <w:tl2br w:val="nil"/>
                    <w:tr2bl w:val="nil"/>
                  </w:tcBorders>
                  <w:noWrap w:val="0"/>
                  <w:vAlign w:val="center"/>
                </w:tcPr>
                <w:p w14:paraId="2619B57A">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b/>
                      <w:bCs/>
                      <w:snapToGrid w:val="0"/>
                      <w:color w:val="auto"/>
                      <w:kern w:val="0"/>
                      <w:sz w:val="21"/>
                      <w:szCs w:val="21"/>
                    </w:rPr>
                    <w:t>VOC含量</w:t>
                  </w:r>
                  <w:r>
                    <w:rPr>
                      <w:rFonts w:hint="default" w:ascii="Times New Roman" w:hAnsi="Times New Roman" w:eastAsia="宋体" w:cs="Times New Roman"/>
                      <w:b/>
                      <w:snapToGrid w:val="0"/>
                      <w:color w:val="auto"/>
                      <w:kern w:val="0"/>
                      <w:sz w:val="21"/>
                      <w:szCs w:val="21"/>
                    </w:rPr>
                    <w:t>g/L</w:t>
                  </w:r>
                  <w:r>
                    <w:rPr>
                      <w:rFonts w:hint="default" w:ascii="Times New Roman" w:hAnsi="Times New Roman" w:eastAsia="宋体" w:cs="Times New Roman"/>
                      <w:b/>
                      <w:snapToGrid w:val="0"/>
                      <w:color w:val="auto"/>
                      <w:kern w:val="0"/>
                      <w:sz w:val="21"/>
                      <w:szCs w:val="21"/>
                      <w:lang w:eastAsia="zh-CN"/>
                    </w:rPr>
                    <w:t>（</w:t>
                  </w:r>
                  <w:r>
                    <w:rPr>
                      <w:rFonts w:hint="default" w:ascii="Times New Roman" w:hAnsi="Times New Roman" w:eastAsia="宋体" w:cs="Times New Roman"/>
                      <w:b/>
                      <w:snapToGrid w:val="0"/>
                      <w:color w:val="auto"/>
                      <w:kern w:val="0"/>
                      <w:sz w:val="21"/>
                      <w:szCs w:val="21"/>
                      <w:lang w:val="en-US" w:eastAsia="zh-CN"/>
                    </w:rPr>
                    <w:t>其他</w:t>
                  </w:r>
                  <w:r>
                    <w:rPr>
                      <w:rFonts w:hint="default" w:ascii="Times New Roman" w:hAnsi="Times New Roman" w:eastAsia="宋体" w:cs="Times New Roman"/>
                      <w:b/>
                      <w:snapToGrid w:val="0"/>
                      <w:color w:val="auto"/>
                      <w:kern w:val="0"/>
                      <w:sz w:val="21"/>
                      <w:szCs w:val="21"/>
                      <w:lang w:eastAsia="zh-CN"/>
                    </w:rPr>
                    <w:t>）</w:t>
                  </w:r>
                </w:p>
              </w:tc>
              <w:tc>
                <w:tcPr>
                  <w:tcW w:w="2822" w:type="pct"/>
                  <w:tcBorders>
                    <w:tl2br w:val="nil"/>
                    <w:tr2bl w:val="nil"/>
                  </w:tcBorders>
                  <w:noWrap w:val="0"/>
                  <w:vAlign w:val="center"/>
                </w:tcPr>
                <w:p w14:paraId="4A8C220E">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w:t>
                  </w:r>
                  <w:r>
                    <w:rPr>
                      <w:rFonts w:hint="default" w:ascii="Times New Roman" w:hAnsi="Times New Roman" w:eastAsia="宋体" w:cs="Times New Roman"/>
                      <w:snapToGrid w:val="0"/>
                      <w:color w:val="auto"/>
                      <w:kern w:val="0"/>
                      <w:sz w:val="21"/>
                      <w:szCs w:val="21"/>
                      <w:lang w:val="en-US" w:eastAsia="zh-CN"/>
                    </w:rPr>
                    <w:t>10</w:t>
                  </w:r>
                </w:p>
              </w:tc>
            </w:tr>
          </w:tbl>
          <w:p w14:paraId="6C1D338A">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smallCaps w:val="0"/>
                <w:color w:val="auto"/>
                <w:spacing w:val="0"/>
                <w:kern w:val="0"/>
                <w:position w:val="0"/>
                <w:lang w:val="en-US" w:eastAsia="zh-CN"/>
              </w:rPr>
              <w:t>对照企业提供的检测报告（报告编号：EY210528025VC007），施工状态中VOC检出结果为0.55%，满足《油墨中可挥发性有机化合物(VOCs)含量的限值（GB38507-2020）》相关限值的要求。本项目使用UV油墨量0.006t/a，挥发性有机物产生量极少，因此，本项目不进行定量分析。</w:t>
            </w:r>
          </w:p>
          <w:p w14:paraId="65737F0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lang w:val="en-US" w:eastAsia="zh-CN"/>
              </w:rPr>
            </w:pPr>
            <w:r>
              <w:rPr>
                <w:rFonts w:hint="eastAsia" w:cs="Times New Roman"/>
                <w:b/>
                <w:smallCaps w:val="0"/>
                <w:color w:val="auto"/>
                <w:spacing w:val="0"/>
                <w:kern w:val="0"/>
                <w:position w:val="0"/>
                <w:sz w:val="24"/>
                <w:lang w:val="en-US" w:eastAsia="zh-CN"/>
              </w:rPr>
              <w:t>用量可行性分析</w:t>
            </w:r>
          </w:p>
          <w:p w14:paraId="0FE9D0C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smallCaps w:val="0"/>
                <w:color w:val="auto"/>
                <w:spacing w:val="0"/>
                <w:kern w:val="0"/>
                <w:position w:val="0"/>
                <w:sz w:val="24"/>
                <w:lang w:val="en-US" w:eastAsia="zh-CN"/>
              </w:rPr>
            </w:pPr>
            <w:r>
              <w:rPr>
                <w:rFonts w:hint="default" w:ascii="Times New Roman" w:hAnsi="Times New Roman" w:eastAsia="宋体" w:cs="Times New Roman"/>
                <w:b w:val="0"/>
                <w:bCs/>
                <w:smallCaps w:val="0"/>
                <w:color w:val="auto"/>
                <w:spacing w:val="0"/>
                <w:kern w:val="0"/>
                <w:position w:val="0"/>
                <w:sz w:val="24"/>
                <w:lang w:val="en-US" w:eastAsia="zh-CN"/>
              </w:rPr>
              <w:t>投产后预计2万套信报箱需要喷涂，平均每套最大喷涂面积为0.0625m</w:t>
            </w:r>
            <w:r>
              <w:rPr>
                <w:rFonts w:hint="default" w:ascii="Times New Roman" w:hAnsi="Times New Roman" w:eastAsia="宋体" w:cs="Times New Roman"/>
                <w:b w:val="0"/>
                <w:bCs/>
                <w:smallCaps w:val="0"/>
                <w:color w:val="auto"/>
                <w:spacing w:val="0"/>
                <w:kern w:val="0"/>
                <w:position w:val="0"/>
                <w:sz w:val="24"/>
                <w:vertAlign w:val="superscript"/>
                <w:lang w:val="en-US" w:eastAsia="zh-CN"/>
              </w:rPr>
              <w:t>2</w:t>
            </w:r>
            <w:r>
              <w:rPr>
                <w:rFonts w:hint="default" w:ascii="Times New Roman" w:hAnsi="Times New Roman" w:eastAsia="宋体" w:cs="Times New Roman"/>
                <w:b w:val="0"/>
                <w:bCs/>
                <w:smallCaps w:val="0"/>
                <w:color w:val="auto"/>
                <w:spacing w:val="0"/>
                <w:kern w:val="0"/>
                <w:position w:val="0"/>
                <w:sz w:val="24"/>
                <w:lang w:val="en-US" w:eastAsia="zh-CN"/>
              </w:rPr>
              <w:t>，厚度约为1-4μm，取2.5μm；总喷涂面积为1250m</w:t>
            </w:r>
            <w:r>
              <w:rPr>
                <w:rFonts w:hint="default" w:ascii="Times New Roman" w:hAnsi="Times New Roman" w:eastAsia="宋体" w:cs="Times New Roman"/>
                <w:b w:val="0"/>
                <w:bCs/>
                <w:smallCaps w:val="0"/>
                <w:color w:val="auto"/>
                <w:spacing w:val="0"/>
                <w:kern w:val="0"/>
                <w:position w:val="0"/>
                <w:sz w:val="24"/>
                <w:vertAlign w:val="superscript"/>
                <w:lang w:val="en-US" w:eastAsia="zh-CN"/>
              </w:rPr>
              <w:t>2</w:t>
            </w:r>
            <w:r>
              <w:rPr>
                <w:rFonts w:hint="default" w:ascii="Times New Roman" w:hAnsi="Times New Roman" w:eastAsia="宋体" w:cs="Times New Roman"/>
                <w:b w:val="0"/>
                <w:bCs/>
                <w:smallCaps w:val="0"/>
                <w:color w:val="auto"/>
                <w:spacing w:val="0"/>
                <w:kern w:val="0"/>
                <w:position w:val="0"/>
                <w:sz w:val="24"/>
                <w:lang w:val="en-US" w:eastAsia="zh-CN"/>
              </w:rPr>
              <w:t>，涂着效率为85%，密度约密度：1.4g/cm</w:t>
            </w:r>
            <w:r>
              <w:rPr>
                <w:rFonts w:hint="default" w:ascii="Times New Roman" w:hAnsi="Times New Roman" w:eastAsia="宋体" w:cs="Times New Roman"/>
                <w:b w:val="0"/>
                <w:bCs/>
                <w:smallCaps w:val="0"/>
                <w:color w:val="auto"/>
                <w:spacing w:val="0"/>
                <w:kern w:val="0"/>
                <w:position w:val="0"/>
                <w:sz w:val="24"/>
                <w:vertAlign w:val="superscript"/>
                <w:lang w:val="en-US" w:eastAsia="zh-CN"/>
              </w:rPr>
              <w:t>3</w:t>
            </w:r>
            <w:r>
              <w:rPr>
                <w:rFonts w:hint="default" w:ascii="Times New Roman" w:hAnsi="Times New Roman" w:eastAsia="宋体" w:cs="Times New Roman"/>
                <w:b w:val="0"/>
                <w:bCs/>
                <w:smallCaps w:val="0"/>
                <w:color w:val="auto"/>
                <w:spacing w:val="0"/>
                <w:kern w:val="0"/>
                <w:position w:val="0"/>
                <w:sz w:val="24"/>
                <w:lang w:val="en-US" w:eastAsia="zh-CN"/>
              </w:rPr>
              <w:t>，需UV油墨量约0.005t/a，项目原辅料UV油墨使用量为0.006t/a，满足生产要求。</w:t>
            </w:r>
          </w:p>
          <w:p w14:paraId="3861A3EA">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rPr>
            </w:pPr>
            <w:r>
              <w:rPr>
                <w:rFonts w:hint="eastAsia" w:cs="Times New Roman"/>
                <w:b/>
                <w:smallCaps w:val="0"/>
                <w:color w:val="auto"/>
                <w:spacing w:val="0"/>
                <w:kern w:val="0"/>
                <w:position w:val="0"/>
                <w:sz w:val="24"/>
                <w:lang w:val="en-US" w:eastAsia="zh-CN"/>
              </w:rPr>
              <w:t>8</w:t>
            </w:r>
            <w:r>
              <w:rPr>
                <w:rFonts w:hint="default" w:ascii="Times New Roman" w:hAnsi="Times New Roman" w:eastAsia="宋体" w:cs="Times New Roman"/>
                <w:b/>
                <w:smallCaps w:val="0"/>
                <w:color w:val="auto"/>
                <w:spacing w:val="0"/>
                <w:kern w:val="0"/>
                <w:position w:val="0"/>
                <w:sz w:val="24"/>
                <w:lang w:val="en-US" w:eastAsia="zh-CN"/>
              </w:rPr>
              <w:t>、</w:t>
            </w:r>
            <w:r>
              <w:rPr>
                <w:rFonts w:hint="default" w:ascii="Times New Roman" w:hAnsi="Times New Roman" w:eastAsia="宋体" w:cs="Times New Roman"/>
                <w:b/>
                <w:smallCaps w:val="0"/>
                <w:color w:val="auto"/>
                <w:spacing w:val="0"/>
                <w:kern w:val="0"/>
                <w:position w:val="0"/>
                <w:sz w:val="24"/>
              </w:rPr>
              <w:t>水平衡</w:t>
            </w:r>
          </w:p>
          <w:p w14:paraId="748F4B11">
            <w:pPr>
              <w:pStyle w:val="25"/>
              <w:keepNext w:val="0"/>
              <w:keepLines w:val="0"/>
              <w:pageBreakBefore w:val="0"/>
              <w:widowControl w:val="0"/>
              <w:numPr>
                <w:ilvl w:val="0"/>
                <w:numId w:val="3"/>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生活</w:t>
            </w:r>
            <w:r>
              <w:rPr>
                <w:rFonts w:hint="eastAsia" w:eastAsia="宋体" w:cs="Times New Roman"/>
                <w:smallCaps w:val="0"/>
                <w:color w:val="auto"/>
                <w:spacing w:val="0"/>
                <w:kern w:val="0"/>
                <w:position w:val="0"/>
                <w:lang w:val="en-US" w:eastAsia="zh-CN"/>
              </w:rPr>
              <w:t>用水</w:t>
            </w:r>
          </w:p>
          <w:p w14:paraId="2ADE6930">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eastAsia="zh-CN"/>
              </w:rPr>
            </w:pPr>
            <w:r>
              <w:rPr>
                <w:rFonts w:hint="default" w:ascii="Times New Roman" w:hAnsi="Times New Roman" w:eastAsia="宋体" w:cs="Times New Roman"/>
                <w:smallCaps w:val="0"/>
                <w:color w:val="auto"/>
                <w:spacing w:val="0"/>
                <w:kern w:val="0"/>
                <w:position w:val="0"/>
                <w:sz w:val="24"/>
              </w:rPr>
              <w:t>本项目新增员工</w:t>
            </w:r>
            <w:r>
              <w:rPr>
                <w:rFonts w:hint="default" w:ascii="Times New Roman" w:hAnsi="Times New Roman" w:eastAsia="宋体" w:cs="Times New Roman"/>
                <w:smallCaps w:val="0"/>
                <w:color w:val="auto"/>
                <w:spacing w:val="0"/>
                <w:kern w:val="0"/>
                <w:position w:val="0"/>
                <w:sz w:val="24"/>
                <w:lang w:val="en-US" w:eastAsia="zh-CN"/>
              </w:rPr>
              <w:t>10</w:t>
            </w:r>
            <w:r>
              <w:rPr>
                <w:rFonts w:hint="default" w:ascii="Times New Roman" w:hAnsi="Times New Roman" w:eastAsia="宋体" w:cs="Times New Roman"/>
                <w:smallCaps w:val="0"/>
                <w:color w:val="auto"/>
                <w:spacing w:val="0"/>
                <w:kern w:val="0"/>
                <w:position w:val="0"/>
                <w:sz w:val="24"/>
              </w:rPr>
              <w:t>人，年工作300天，根据《常州市工业和城市生活用水定额》，每人每天用水量约</w:t>
            </w:r>
            <w:r>
              <w:rPr>
                <w:rFonts w:hint="default" w:ascii="Times New Roman" w:hAnsi="Times New Roman" w:eastAsia="宋体" w:cs="Times New Roman"/>
                <w:smallCaps w:val="0"/>
                <w:color w:val="auto"/>
                <w:spacing w:val="0"/>
                <w:kern w:val="0"/>
                <w:position w:val="0"/>
                <w:sz w:val="24"/>
                <w:lang w:val="en-US" w:eastAsia="zh-CN"/>
              </w:rPr>
              <w:t>50</w:t>
            </w:r>
            <w:r>
              <w:rPr>
                <w:rFonts w:hint="default" w:ascii="Times New Roman" w:hAnsi="Times New Roman" w:eastAsia="宋体" w:cs="Times New Roman"/>
                <w:smallCaps w:val="0"/>
                <w:color w:val="auto"/>
                <w:spacing w:val="0"/>
                <w:kern w:val="0"/>
                <w:position w:val="0"/>
                <w:sz w:val="24"/>
              </w:rPr>
              <w:t>L，故全年用水量为</w:t>
            </w:r>
            <w:r>
              <w:rPr>
                <w:rFonts w:hint="default" w:ascii="Times New Roman" w:hAnsi="Times New Roman" w:eastAsia="宋体" w:cs="Times New Roman"/>
                <w:smallCaps w:val="0"/>
                <w:color w:val="auto"/>
                <w:spacing w:val="0"/>
                <w:kern w:val="0"/>
                <w:position w:val="0"/>
                <w:sz w:val="24"/>
                <w:lang w:val="en-US" w:eastAsia="zh-CN"/>
              </w:rPr>
              <w:t>15</w:t>
            </w:r>
            <w:r>
              <w:rPr>
                <w:rFonts w:hint="default" w:ascii="Times New Roman" w:hAnsi="Times New Roman" w:eastAsia="宋体" w:cs="Times New Roman"/>
                <w:smallCaps w:val="0"/>
                <w:color w:val="auto"/>
                <w:spacing w:val="0"/>
                <w:kern w:val="0"/>
                <w:position w:val="0"/>
                <w:sz w:val="24"/>
              </w:rPr>
              <w:t>0m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，按产污系数0.8计，则生活污水产生量为</w:t>
            </w:r>
            <w:r>
              <w:rPr>
                <w:rFonts w:hint="default" w:ascii="Times New Roman" w:hAnsi="Times New Roman" w:eastAsia="宋体" w:cs="Times New Roman"/>
                <w:smallCaps w:val="0"/>
                <w:color w:val="auto"/>
                <w:spacing w:val="0"/>
                <w:kern w:val="0"/>
                <w:position w:val="0"/>
                <w:sz w:val="24"/>
                <w:lang w:val="en-US" w:eastAsia="zh-CN"/>
              </w:rPr>
              <w:t>120</w:t>
            </w:r>
            <w:r>
              <w:rPr>
                <w:rFonts w:hint="default" w:ascii="Times New Roman" w:hAnsi="Times New Roman" w:eastAsia="宋体" w:cs="Times New Roman"/>
                <w:smallCaps w:val="0"/>
                <w:color w:val="auto"/>
                <w:spacing w:val="0"/>
                <w:kern w:val="0"/>
                <w:position w:val="0"/>
                <w:sz w:val="24"/>
              </w:rPr>
              <w:t>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/a</w:t>
            </w:r>
            <w:r>
              <w:rPr>
                <w:rFonts w:hint="default" w:ascii="Times New Roman" w:hAnsi="Times New Roman" w:eastAsia="宋体" w:cs="Times New Roman"/>
                <w:smallCaps w:val="0"/>
                <w:color w:val="auto"/>
                <w:spacing w:val="0"/>
                <w:kern w:val="0"/>
                <w:position w:val="0"/>
                <w:sz w:val="24"/>
                <w:lang w:eastAsia="zh-CN"/>
              </w:rPr>
              <w:t>。</w:t>
            </w:r>
          </w:p>
          <w:p w14:paraId="54BFB699">
            <w:pPr>
              <w:pStyle w:val="25"/>
              <w:keepNext w:val="0"/>
              <w:keepLines w:val="0"/>
              <w:pageBreakBefore w:val="0"/>
              <w:widowControl w:val="0"/>
              <w:numPr>
                <w:ilvl w:val="0"/>
                <w:numId w:val="3"/>
              </w:numPr>
              <w:kinsoku/>
              <w:wordWrap/>
              <w:overflowPunct/>
              <w:topLinePunct w:val="0"/>
              <w:bidi w:val="0"/>
              <w:adjustRightInd w:val="0"/>
              <w:snapToGrid w:val="0"/>
              <w:spacing w:before="0" w:beforeLines="0" w:after="0" w:afterLines="0" w:line="440" w:lineRule="exact"/>
              <w:ind w:left="0" w:leftChars="0"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清洗用水</w:t>
            </w:r>
          </w:p>
          <w:p w14:paraId="2655852F">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本项目组装后委外喷塑，部分委外喷塑件表面积灰，使用清洗设备进行清洗擦拭，清洗机1000mm*500mm*500mm，用水量按80%容积计，半个月更新一次，则自来水水量为4.8t/a，预计产生清洗废液4.8t/a，收集后作为危险废物委托有资质单位处理。</w:t>
            </w:r>
          </w:p>
          <w:p w14:paraId="1F183A5D">
            <w:pPr>
              <w:pStyle w:val="25"/>
              <w:keepNext w:val="0"/>
              <w:keepLines w:val="0"/>
              <w:pageBreakBefore w:val="0"/>
              <w:widowControl w:val="0"/>
              <w:numPr>
                <w:ilvl w:val="0"/>
                <w:numId w:val="3"/>
              </w:numPr>
              <w:kinsoku/>
              <w:wordWrap/>
              <w:overflowPunct/>
              <w:topLinePunct w:val="0"/>
              <w:bidi w:val="0"/>
              <w:adjustRightInd w:val="0"/>
              <w:snapToGrid w:val="0"/>
              <w:spacing w:before="0" w:beforeLines="0" w:after="0" w:afterLines="0" w:line="440" w:lineRule="exact"/>
              <w:ind w:left="0" w:leftChars="0" w:firstLine="480" w:firstLineChars="200"/>
              <w:textAlignment w:val="auto"/>
              <w:rPr>
                <w:rFonts w:hint="eastAsia" w:eastAsia="宋体" w:cs="Times New Roman"/>
                <w:smallCaps w:val="0"/>
                <w:color w:val="auto"/>
                <w:spacing w:val="0"/>
                <w:kern w:val="0"/>
                <w:position w:val="0"/>
                <w:sz w:val="24"/>
                <w:lang w:val="en-US" w:eastAsia="zh-CN"/>
              </w:rPr>
            </w:pPr>
            <w:r>
              <w:rPr>
                <w:rFonts w:hint="eastAsia" w:eastAsia="宋体" w:cs="Times New Roman"/>
                <w:smallCaps w:val="0"/>
                <w:color w:val="auto"/>
                <w:spacing w:val="0"/>
                <w:kern w:val="0"/>
                <w:position w:val="0"/>
                <w:sz w:val="24"/>
                <w:lang w:val="en-US" w:eastAsia="zh-CN"/>
              </w:rPr>
              <w:t>循环冷却水</w:t>
            </w:r>
          </w:p>
          <w:p w14:paraId="41D387DA">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eastAsia" w:eastAsia="宋体" w:cs="Times New Roman"/>
                <w:smallCaps w:val="0"/>
                <w:color w:val="auto"/>
                <w:spacing w:val="0"/>
                <w:kern w:val="0"/>
                <w:position w:val="0"/>
                <w:sz w:val="24"/>
                <w:lang w:val="en-US" w:eastAsia="zh-CN"/>
              </w:rPr>
            </w:pPr>
            <w:r>
              <w:rPr>
                <w:rFonts w:hint="eastAsia" w:eastAsia="宋体" w:cs="Times New Roman"/>
                <w:smallCaps w:val="0"/>
                <w:color w:val="auto"/>
                <w:spacing w:val="0"/>
                <w:kern w:val="0"/>
                <w:position w:val="0"/>
                <w:sz w:val="24"/>
                <w:lang w:val="en-US" w:eastAsia="zh-CN"/>
              </w:rPr>
              <w:t>本项目点焊机使用过程中，为避免在大电流长时间的情况下设备发生发热现象而干扰焊接电流，使用冷却水缓解这类情况，冷却水经水路系统通过点焊机，流出温度较高的水经过机器内部的散热器，散热路经冷却风机排热，使水温降低然后返回水箱，重新进入循环系统，从而达到冷却设备的目的。冷却水不直接接触点焊设备，不接触原辅料，循环使用，定期添加损耗，不外排。</w:t>
            </w:r>
          </w:p>
          <w:p w14:paraId="16682AAD">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eastAsia" w:eastAsia="宋体" w:cs="Times New Roman"/>
                <w:smallCaps w:val="0"/>
                <w:color w:val="auto"/>
                <w:spacing w:val="0"/>
                <w:kern w:val="0"/>
                <w:position w:val="0"/>
                <w:sz w:val="24"/>
                <w:lang w:val="en-US" w:eastAsia="zh-CN"/>
              </w:rPr>
              <w:t>本项目共有1台冷却水箱，冷却塔循环水流量为0.5m</w:t>
            </w:r>
            <w:r>
              <w:rPr>
                <w:rFonts w:hint="eastAsia" w:eastAsia="宋体" w:cs="Times New Roman"/>
                <w:smallCaps w:val="0"/>
                <w:color w:val="auto"/>
                <w:spacing w:val="0"/>
                <w:kern w:val="0"/>
                <w:position w:val="0"/>
                <w:sz w:val="24"/>
                <w:vertAlign w:val="superscript"/>
                <w:lang w:val="en-US" w:eastAsia="zh-CN"/>
              </w:rPr>
              <w:t>3</w:t>
            </w:r>
            <w:r>
              <w:rPr>
                <w:rFonts w:hint="eastAsia" w:eastAsia="宋体" w:cs="Times New Roman"/>
                <w:smallCaps w:val="0"/>
                <w:color w:val="auto"/>
                <w:spacing w:val="0"/>
                <w:kern w:val="0"/>
                <w:position w:val="0"/>
                <w:sz w:val="24"/>
                <w:lang w:val="en-US" w:eastAsia="zh-CN"/>
              </w:rPr>
              <w:t>/h，冷却时长为8h，则循环冷却用水量为1200m</w:t>
            </w:r>
            <w:r>
              <w:rPr>
                <w:rFonts w:hint="eastAsia" w:eastAsia="宋体" w:cs="Times New Roman"/>
                <w:smallCaps w:val="0"/>
                <w:color w:val="auto"/>
                <w:spacing w:val="0"/>
                <w:kern w:val="0"/>
                <w:position w:val="0"/>
                <w:sz w:val="24"/>
                <w:vertAlign w:val="superscript"/>
                <w:lang w:val="en-US" w:eastAsia="zh-CN"/>
              </w:rPr>
              <w:t>3</w:t>
            </w:r>
            <w:r>
              <w:rPr>
                <w:rFonts w:hint="eastAsia" w:eastAsia="宋体" w:cs="Times New Roman"/>
                <w:smallCaps w:val="0"/>
                <w:color w:val="auto"/>
                <w:spacing w:val="0"/>
                <w:kern w:val="0"/>
                <w:position w:val="0"/>
                <w:sz w:val="24"/>
                <w:lang w:val="en-US" w:eastAsia="zh-CN"/>
              </w:rPr>
              <w:t>/a，其挥发损耗量按0.5%计，则年补充用水量约6m</w:t>
            </w:r>
            <w:r>
              <w:rPr>
                <w:rFonts w:hint="eastAsia" w:eastAsia="宋体" w:cs="Times New Roman"/>
                <w:smallCaps w:val="0"/>
                <w:color w:val="auto"/>
                <w:spacing w:val="0"/>
                <w:kern w:val="0"/>
                <w:position w:val="0"/>
                <w:sz w:val="24"/>
                <w:vertAlign w:val="superscript"/>
                <w:lang w:val="en-US" w:eastAsia="zh-CN"/>
              </w:rPr>
              <w:t>3</w:t>
            </w:r>
            <w:r>
              <w:rPr>
                <w:rFonts w:hint="eastAsia" w:eastAsia="宋体" w:cs="Times New Roman"/>
                <w:smallCaps w:val="0"/>
                <w:color w:val="auto"/>
                <w:spacing w:val="0"/>
                <w:kern w:val="0"/>
                <w:position w:val="0"/>
                <w:sz w:val="24"/>
                <w:lang w:val="en-US" w:eastAsia="zh-CN"/>
              </w:rPr>
              <w:t>/a。</w:t>
            </w:r>
          </w:p>
          <w:p w14:paraId="11861B53">
            <w:pPr>
              <w:pStyle w:val="25"/>
              <w:spacing w:before="60" w:after="60"/>
              <w:ind w:firstLine="0" w:firstLineChars="0"/>
              <w:jc w:val="center"/>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object>
                <v:shape id="_x0000_i1025" o:spt="75" type="#_x0000_t75" style="height:174pt;width:266.25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4078CE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4"/>
                <w:lang w:val="en-US" w:eastAsia="zh-CN"/>
              </w:rPr>
            </w:pPr>
            <w:r>
              <w:rPr>
                <w:rFonts w:hint="default" w:ascii="Times New Roman" w:hAnsi="Times New Roman" w:eastAsia="宋体" w:cs="Times New Roman"/>
                <w:b/>
                <w:bCs/>
                <w:smallCaps w:val="0"/>
                <w:color w:val="auto"/>
                <w:spacing w:val="0"/>
                <w:kern w:val="0"/>
                <w:position w:val="0"/>
                <w:sz w:val="21"/>
                <w:szCs w:val="24"/>
              </w:rPr>
              <w:t>图2-1</w:t>
            </w:r>
            <w:r>
              <w:rPr>
                <w:rFonts w:hint="default" w:ascii="Times New Roman" w:hAnsi="Times New Roman" w:eastAsia="宋体" w:cs="Times New Roman"/>
                <w:b/>
                <w:bCs/>
                <w:smallCaps w:val="0"/>
                <w:color w:val="auto"/>
                <w:spacing w:val="0"/>
                <w:kern w:val="0"/>
                <w:position w:val="0"/>
                <w:sz w:val="21"/>
                <w:szCs w:val="24"/>
                <w:lang w:val="en-US" w:eastAsia="zh-CN"/>
              </w:rPr>
              <w:t>本项目</w:t>
            </w:r>
            <w:r>
              <w:rPr>
                <w:rFonts w:hint="default" w:ascii="Times New Roman" w:hAnsi="Times New Roman" w:eastAsia="宋体" w:cs="Times New Roman"/>
                <w:b/>
                <w:bCs/>
                <w:smallCaps w:val="0"/>
                <w:color w:val="auto"/>
                <w:spacing w:val="0"/>
                <w:kern w:val="0"/>
                <w:position w:val="0"/>
                <w:sz w:val="21"/>
                <w:szCs w:val="24"/>
              </w:rPr>
              <w:t>水平衡图</w:t>
            </w:r>
          </w:p>
        </w:tc>
      </w:tr>
    </w:tbl>
    <w:p w14:paraId="3AB87E5D">
      <w:pPr>
        <w:rPr>
          <w:rFonts w:hint="default" w:ascii="Times New Roman" w:hAnsi="Times New Roman" w:eastAsia="宋体" w:cs="Times New Roman"/>
          <w:smallCaps w:val="0"/>
          <w:color w:val="auto"/>
          <w:spacing w:val="0"/>
          <w:kern w:val="0"/>
          <w:position w:val="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autofit"/>
        <w:tblCellMar>
          <w:top w:w="0" w:type="dxa"/>
          <w:left w:w="108" w:type="dxa"/>
          <w:bottom w:w="0" w:type="dxa"/>
          <w:right w:w="108" w:type="dxa"/>
        </w:tblCellMar>
      </w:tblPr>
      <w:tblGrid>
        <w:gridCol w:w="521"/>
        <w:gridCol w:w="8540"/>
      </w:tblGrid>
      <w:tr w14:paraId="550A50A1">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c>
          <w:tcPr>
            <w:tcW w:w="521" w:type="dxa"/>
            <w:tcBorders>
              <w:tl2br w:val="nil"/>
              <w:tr2bl w:val="nil"/>
            </w:tcBorders>
            <w:vAlign w:val="center"/>
          </w:tcPr>
          <w:p w14:paraId="0D9B7EDA">
            <w:pPr>
              <w:pStyle w:val="16"/>
              <w:adjustRightInd w:val="0"/>
              <w:snapToGrid w:val="0"/>
              <w:spacing w:before="0" w:beforeAutospacing="0" w:after="0" w:afterAutospacing="0"/>
              <w:jc w:val="center"/>
              <w:rPr>
                <w:rFonts w:hint="default" w:ascii="Times New Roman" w:hAnsi="Times New Roman" w:eastAsia="宋体" w:cs="Times New Roman"/>
                <w:b/>
                <w:smallCaps w:val="0"/>
                <w:color w:val="auto"/>
                <w:spacing w:val="0"/>
                <w:kern w:val="0"/>
                <w:position w:val="0"/>
                <w:szCs w:val="24"/>
              </w:rPr>
            </w:pPr>
            <w:r>
              <w:rPr>
                <w:rFonts w:hint="default" w:ascii="Times New Roman" w:hAnsi="Times New Roman" w:eastAsia="宋体" w:cs="Times New Roman"/>
                <w:b/>
                <w:smallCaps w:val="0"/>
                <w:color w:val="auto"/>
                <w:spacing w:val="0"/>
                <w:kern w:val="0"/>
                <w:position w:val="0"/>
                <w:szCs w:val="24"/>
              </w:rPr>
              <w:t>工艺流程和产排污环节</w:t>
            </w:r>
          </w:p>
          <w:p w14:paraId="423ACD5B">
            <w:pPr>
              <w:pStyle w:val="16"/>
              <w:adjustRightInd w:val="0"/>
              <w:snapToGrid w:val="0"/>
              <w:spacing w:before="0" w:beforeAutospacing="0" w:after="0" w:afterAutospacing="0"/>
              <w:jc w:val="center"/>
              <w:rPr>
                <w:rFonts w:hint="default" w:ascii="Times New Roman" w:hAnsi="Times New Roman" w:eastAsia="宋体" w:cs="Times New Roman"/>
                <w:b/>
                <w:smallCaps w:val="0"/>
                <w:color w:val="auto"/>
                <w:spacing w:val="0"/>
                <w:kern w:val="0"/>
                <w:position w:val="0"/>
                <w:sz w:val="24"/>
                <w:szCs w:val="24"/>
                <w:lang w:val="en-US" w:eastAsia="zh-CN" w:bidi="ar-SA"/>
              </w:rPr>
            </w:pPr>
          </w:p>
        </w:tc>
        <w:tc>
          <w:tcPr>
            <w:tcW w:w="8540" w:type="dxa"/>
            <w:tcBorders>
              <w:tl2br w:val="nil"/>
              <w:tr2bl w:val="nil"/>
            </w:tcBorders>
            <w:vAlign w:val="top"/>
          </w:tcPr>
          <w:p w14:paraId="3924F42A">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1、项目工艺流程简述（图示）：</w:t>
            </w:r>
          </w:p>
          <w:p w14:paraId="447FD996">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color w:val="auto"/>
                <w:spacing w:val="0"/>
                <w:kern w:val="0"/>
                <w:position w:val="0"/>
              </w:rPr>
            </w:pPr>
            <w:r>
              <w:rPr>
                <w:rStyle w:val="20"/>
                <w:rFonts w:hint="default" w:ascii="Times New Roman" w:hAnsi="Times New Roman" w:eastAsia="宋体" w:cs="Times New Roman"/>
                <w:b w:val="0"/>
                <w:bCs w:val="0"/>
                <w:smallCaps w:val="0"/>
                <w:color w:val="auto"/>
                <w:spacing w:val="0"/>
                <w:kern w:val="0"/>
                <w:position w:val="0"/>
              </w:rPr>
              <w:t>本项目依托</w:t>
            </w:r>
            <w:r>
              <w:rPr>
                <w:rStyle w:val="20"/>
                <w:rFonts w:hint="default" w:ascii="Times New Roman" w:hAnsi="Times New Roman" w:eastAsia="宋体" w:cs="Times New Roman"/>
                <w:b w:val="0"/>
                <w:bCs w:val="0"/>
                <w:smallCaps w:val="0"/>
                <w:color w:val="auto"/>
                <w:spacing w:val="0"/>
                <w:kern w:val="0"/>
                <w:position w:val="0"/>
                <w:lang w:val="en-US" w:eastAsia="zh-CN"/>
              </w:rPr>
              <w:t>标准</w:t>
            </w:r>
            <w:r>
              <w:rPr>
                <w:rStyle w:val="20"/>
                <w:rFonts w:hint="default" w:ascii="Times New Roman" w:hAnsi="Times New Roman" w:eastAsia="宋体" w:cs="Times New Roman"/>
                <w:b w:val="0"/>
                <w:bCs w:val="0"/>
                <w:smallCaps w:val="0"/>
                <w:color w:val="auto"/>
                <w:spacing w:val="0"/>
                <w:kern w:val="0"/>
                <w:position w:val="0"/>
              </w:rPr>
              <w:t>厂房，主要</w:t>
            </w:r>
            <w:r>
              <w:rPr>
                <w:rStyle w:val="20"/>
                <w:rFonts w:hint="default" w:ascii="Times New Roman" w:hAnsi="Times New Roman" w:eastAsia="宋体" w:cs="Times New Roman"/>
                <w:b w:val="0"/>
                <w:bCs w:val="0"/>
                <w:smallCaps w:val="0"/>
                <w:color w:val="auto"/>
                <w:spacing w:val="0"/>
                <w:kern w:val="0"/>
                <w:position w:val="0"/>
                <w:lang w:val="en-US" w:eastAsia="zh-CN"/>
              </w:rPr>
              <w:t>生产</w:t>
            </w:r>
            <w:r>
              <w:rPr>
                <w:rStyle w:val="20"/>
                <w:rFonts w:hint="default" w:ascii="Times New Roman" w:hAnsi="Times New Roman" w:eastAsia="宋体" w:cs="Times New Roman"/>
                <w:b w:val="0"/>
                <w:bCs w:val="0"/>
                <w:smallCaps w:val="0"/>
                <w:color w:val="auto"/>
                <w:spacing w:val="0"/>
                <w:kern w:val="0"/>
                <w:position w:val="0"/>
                <w:lang w:eastAsia="zh-CN"/>
              </w:rPr>
              <w:t>新建年产2万套信报箱生产项目</w:t>
            </w:r>
            <w:r>
              <w:rPr>
                <w:rStyle w:val="20"/>
                <w:rFonts w:hint="default" w:ascii="Times New Roman" w:hAnsi="Times New Roman" w:eastAsia="宋体" w:cs="Times New Roman"/>
                <w:b w:val="0"/>
                <w:bCs w:val="0"/>
                <w:smallCaps w:val="0"/>
                <w:color w:val="auto"/>
                <w:spacing w:val="0"/>
                <w:kern w:val="0"/>
                <w:position w:val="0"/>
              </w:rPr>
              <w:t>，智能信报箱和普通信报箱工艺一致，仅总装调试过程中智能信报箱需安装电子配件，组装后成品入库</w:t>
            </w:r>
            <w:r>
              <w:rPr>
                <w:rStyle w:val="20"/>
                <w:rFonts w:hint="default" w:ascii="Times New Roman" w:hAnsi="Times New Roman" w:eastAsia="宋体" w:cs="Times New Roman"/>
                <w:b w:val="0"/>
                <w:bCs w:val="0"/>
                <w:smallCaps w:val="0"/>
                <w:color w:val="auto"/>
                <w:spacing w:val="0"/>
                <w:kern w:val="0"/>
                <w:position w:val="0"/>
                <w:lang w:eastAsia="zh-CN"/>
              </w:rPr>
              <w:t>，</w:t>
            </w:r>
            <w:r>
              <w:rPr>
                <w:rStyle w:val="20"/>
                <w:rFonts w:hint="default" w:ascii="Times New Roman" w:hAnsi="Times New Roman" w:eastAsia="宋体" w:cs="Times New Roman"/>
                <w:b w:val="0"/>
                <w:bCs w:val="0"/>
                <w:smallCaps w:val="0"/>
                <w:color w:val="auto"/>
                <w:spacing w:val="0"/>
                <w:kern w:val="0"/>
                <w:position w:val="0"/>
              </w:rPr>
              <w:t>具体工艺流程及产污环节见下图。</w:t>
            </w:r>
          </w:p>
          <w:p w14:paraId="0614263B">
            <w:pPr>
              <w:autoSpaceDE w:val="0"/>
              <w:autoSpaceDN w:val="0"/>
              <w:adjustRightInd w:val="0"/>
              <w:snapToGrid w:val="0"/>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object>
                <v:shape id="_x0000_i1026" o:spt="75" type="#_x0000_t75" style="height:449.25pt;width:258.75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10D0237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4"/>
              </w:rPr>
            </w:pPr>
            <w:r>
              <w:rPr>
                <w:rFonts w:hint="default" w:ascii="Times New Roman" w:hAnsi="Times New Roman" w:eastAsia="宋体" w:cs="Times New Roman"/>
                <w:b/>
                <w:bCs/>
                <w:smallCaps w:val="0"/>
                <w:color w:val="auto"/>
                <w:spacing w:val="0"/>
                <w:kern w:val="0"/>
                <w:position w:val="0"/>
                <w:sz w:val="21"/>
                <w:szCs w:val="24"/>
              </w:rPr>
              <w:t>图2-</w:t>
            </w:r>
            <w:r>
              <w:rPr>
                <w:rFonts w:hint="default" w:ascii="Times New Roman" w:hAnsi="Times New Roman" w:eastAsia="宋体" w:cs="Times New Roman"/>
                <w:b/>
                <w:bCs/>
                <w:smallCaps w:val="0"/>
                <w:color w:val="auto"/>
                <w:spacing w:val="0"/>
                <w:kern w:val="0"/>
                <w:position w:val="0"/>
                <w:sz w:val="21"/>
                <w:szCs w:val="24"/>
                <w:lang w:val="en-US" w:eastAsia="zh-CN"/>
              </w:rPr>
              <w:t>2</w:t>
            </w:r>
            <w:r>
              <w:rPr>
                <w:rFonts w:hint="default" w:ascii="Times New Roman" w:hAnsi="Times New Roman" w:eastAsia="宋体" w:cs="Times New Roman"/>
                <w:b/>
                <w:bCs/>
                <w:smallCaps w:val="0"/>
                <w:color w:val="auto"/>
                <w:spacing w:val="0"/>
                <w:kern w:val="0"/>
                <w:position w:val="0"/>
                <w:sz w:val="21"/>
                <w:szCs w:val="24"/>
              </w:rPr>
              <w:t>生产工艺流程图</w:t>
            </w:r>
          </w:p>
          <w:p w14:paraId="7EFC3E0E">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both"/>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工艺流程简述：</w:t>
            </w:r>
          </w:p>
          <w:p w14:paraId="66D15BB9">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both"/>
              <w:textAlignment w:val="auto"/>
              <w:rPr>
                <w:rFonts w:hint="default" w:ascii="Times New Roman" w:hAnsi="Times New Roman" w:eastAsia="宋体" w:cs="Times New Roman"/>
                <w:b/>
                <w:smallCaps w:val="0"/>
                <w:color w:val="auto"/>
                <w:spacing w:val="0"/>
                <w:kern w:val="0"/>
                <w:sz w:val="24"/>
                <w:lang w:val="en-US" w:eastAsia="zh-CN"/>
              </w:rPr>
            </w:pPr>
            <w:r>
              <w:rPr>
                <w:rFonts w:hint="default" w:ascii="Times New Roman" w:hAnsi="Times New Roman" w:eastAsia="宋体" w:cs="Times New Roman"/>
                <w:b/>
                <w:smallCaps w:val="0"/>
                <w:color w:val="auto"/>
                <w:spacing w:val="0"/>
                <w:kern w:val="0"/>
                <w:position w:val="0"/>
                <w:sz w:val="24"/>
                <w:lang w:val="en-US" w:eastAsia="zh-CN"/>
              </w:rPr>
              <w:t>切割：</w:t>
            </w:r>
            <w:r>
              <w:rPr>
                <w:rFonts w:hint="default" w:ascii="Times New Roman" w:hAnsi="Times New Roman" w:eastAsia="宋体" w:cs="Times New Roman"/>
                <w:b w:val="0"/>
                <w:bCs/>
                <w:smallCaps w:val="0"/>
                <w:color w:val="auto"/>
                <w:spacing w:val="0"/>
                <w:kern w:val="0"/>
                <w:sz w:val="24"/>
                <w:lang w:val="en-US" w:eastAsia="zh-CN"/>
              </w:rPr>
              <w:t>使用切割机对不锈钢板进行切割。此过程产生金属边角料S1、切割烟尘G1及设备噪声N。</w:t>
            </w:r>
          </w:p>
          <w:p w14:paraId="5C7089DF">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both"/>
              <w:textAlignment w:val="auto"/>
              <w:rPr>
                <w:rFonts w:hint="default" w:ascii="Times New Roman" w:hAnsi="Times New Roman" w:eastAsia="宋体" w:cs="Times New Roman"/>
                <w:b w:val="0"/>
                <w:bCs/>
                <w:smallCaps w:val="0"/>
                <w:color w:val="auto"/>
                <w:spacing w:val="0"/>
                <w:kern w:val="0"/>
                <w:sz w:val="24"/>
                <w:lang w:val="en-US" w:eastAsia="zh-CN"/>
              </w:rPr>
            </w:pPr>
            <w:r>
              <w:rPr>
                <w:rFonts w:hint="default" w:ascii="Times New Roman" w:hAnsi="Times New Roman" w:eastAsia="宋体" w:cs="Times New Roman"/>
                <w:b/>
                <w:smallCaps w:val="0"/>
                <w:color w:val="auto"/>
                <w:spacing w:val="0"/>
                <w:kern w:val="0"/>
                <w:sz w:val="24"/>
                <w:lang w:val="en-US" w:eastAsia="zh-CN"/>
              </w:rPr>
              <w:t>剪板、折边、冲压</w:t>
            </w:r>
            <w:r>
              <w:rPr>
                <w:rFonts w:hint="default" w:ascii="Times New Roman" w:hAnsi="Times New Roman" w:eastAsia="宋体" w:cs="Times New Roman"/>
                <w:b/>
                <w:smallCaps w:val="0"/>
                <w:color w:val="auto"/>
                <w:spacing w:val="0"/>
                <w:kern w:val="0"/>
                <w:sz w:val="24"/>
              </w:rPr>
              <w:t>：</w:t>
            </w:r>
            <w:r>
              <w:rPr>
                <w:rFonts w:hint="default" w:ascii="Times New Roman" w:hAnsi="Times New Roman" w:eastAsia="宋体" w:cs="Times New Roman"/>
                <w:b w:val="0"/>
                <w:bCs/>
                <w:smallCaps w:val="0"/>
                <w:color w:val="auto"/>
                <w:spacing w:val="0"/>
                <w:kern w:val="0"/>
                <w:sz w:val="24"/>
                <w:lang w:val="en-US" w:eastAsia="zh-CN"/>
              </w:rPr>
              <w:t>利用剪板机、折弯机和冲压机等设备对下料后的钢板、外购的型材（已切割好的）依次进行剪板、折边和冲压。剪板工段产生金属边角料S2，冲压工段产生废液压油S3，设备运行工段产生设备噪声N。</w:t>
            </w:r>
          </w:p>
          <w:p w14:paraId="35583862">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both"/>
              <w:textAlignment w:val="auto"/>
              <w:rPr>
                <w:rFonts w:hint="default" w:ascii="Times New Roman" w:hAnsi="Times New Roman" w:eastAsia="宋体" w:cs="Times New Roman"/>
                <w:b w:val="0"/>
                <w:bCs/>
                <w:smallCaps w:val="0"/>
                <w:color w:val="auto"/>
                <w:spacing w:val="0"/>
                <w:kern w:val="0"/>
                <w:sz w:val="24"/>
                <w:lang w:val="en-US" w:eastAsia="zh-CN"/>
              </w:rPr>
            </w:pPr>
            <w:r>
              <w:rPr>
                <w:rFonts w:hint="default" w:ascii="Times New Roman" w:hAnsi="Times New Roman" w:eastAsia="宋体" w:cs="Times New Roman"/>
                <w:b/>
                <w:smallCaps w:val="0"/>
                <w:color w:val="auto"/>
                <w:spacing w:val="0"/>
                <w:kern w:val="0"/>
                <w:position w:val="0"/>
                <w:sz w:val="24"/>
                <w:lang w:val="en-US" w:eastAsia="zh-CN"/>
              </w:rPr>
              <w:t>焊接：</w:t>
            </w:r>
            <w:r>
              <w:rPr>
                <w:rFonts w:hint="default" w:ascii="Times New Roman" w:hAnsi="Times New Roman" w:eastAsia="宋体" w:cs="Times New Roman"/>
                <w:b w:val="0"/>
                <w:bCs/>
                <w:smallCaps w:val="0"/>
                <w:color w:val="auto"/>
                <w:spacing w:val="0"/>
                <w:kern w:val="0"/>
                <w:position w:val="0"/>
                <w:sz w:val="24"/>
                <w:lang w:val="en-US" w:eastAsia="zh-CN"/>
              </w:rPr>
              <w:t>利用焊接机</w:t>
            </w:r>
            <w:r>
              <w:rPr>
                <w:rFonts w:hint="default" w:ascii="Times New Roman" w:hAnsi="Times New Roman" w:eastAsia="宋体" w:cs="Times New Roman"/>
                <w:b w:val="0"/>
                <w:bCs/>
                <w:smallCaps w:val="0"/>
                <w:color w:val="auto"/>
                <w:spacing w:val="0"/>
                <w:kern w:val="0"/>
                <w:sz w:val="24"/>
                <w:lang w:val="en-US" w:eastAsia="zh-CN"/>
              </w:rPr>
              <w:t>并对焊件进行加热焊接，</w:t>
            </w:r>
            <w:r>
              <w:rPr>
                <w:rFonts w:hint="eastAsia" w:cs="Times New Roman"/>
                <w:b w:val="0"/>
                <w:bCs/>
                <w:smallCaps w:val="0"/>
                <w:color w:val="auto"/>
                <w:spacing w:val="0"/>
                <w:kern w:val="0"/>
                <w:sz w:val="24"/>
                <w:lang w:val="en-US" w:eastAsia="zh-CN"/>
              </w:rPr>
              <w:t>其中</w:t>
            </w:r>
            <w:r>
              <w:rPr>
                <w:rFonts w:hint="default" w:ascii="Times New Roman" w:hAnsi="Times New Roman" w:eastAsia="宋体" w:cs="Times New Roman"/>
                <w:b w:val="0"/>
                <w:bCs/>
                <w:smallCaps w:val="0"/>
                <w:color w:val="auto"/>
                <w:spacing w:val="0"/>
                <w:kern w:val="0"/>
                <w:sz w:val="24"/>
                <w:lang w:val="en-US" w:eastAsia="zh-CN"/>
              </w:rPr>
              <w:t>氩弧焊接机使用过程中，使用氩气，利用氩气对金属焊材的保护，使焊材不能和空气中的氧气接触，从而防止了焊材的氧化</w:t>
            </w:r>
            <w:r>
              <w:rPr>
                <w:rFonts w:hint="eastAsia" w:cs="Times New Roman"/>
                <w:b w:val="0"/>
                <w:bCs/>
                <w:smallCaps w:val="0"/>
                <w:color w:val="auto"/>
                <w:spacing w:val="0"/>
                <w:kern w:val="0"/>
                <w:sz w:val="24"/>
                <w:lang w:val="en-US" w:eastAsia="zh-CN"/>
              </w:rPr>
              <w:t>；点焊机使用过程中为避免在大电流长时间的情况下设备发生发热现象而干扰焊接电流，使用冷却水缓解这类情况，冷却水经水路系统通过点焊机，流出温度较高的水经过机器内部的散热器，散热路经冷却风机排热，使水温降低然后返回水箱，重新进入循环系统，从而达到冷却设备的目的。冷却水不直接接触点焊设备，不接触原辅料，循环使用，定期添加损耗，不外排，</w:t>
            </w:r>
            <w:r>
              <w:rPr>
                <w:rFonts w:hint="default" w:ascii="Times New Roman" w:hAnsi="Times New Roman" w:eastAsia="宋体" w:cs="Times New Roman"/>
                <w:b w:val="0"/>
                <w:bCs/>
                <w:smallCaps w:val="0"/>
                <w:color w:val="auto"/>
                <w:spacing w:val="0"/>
                <w:kern w:val="0"/>
                <w:sz w:val="24"/>
                <w:lang w:val="en-US" w:eastAsia="zh-CN"/>
              </w:rPr>
              <w:t>此工序产生焊接烟尘G2、焊渣S4和设备噪声N。</w:t>
            </w:r>
          </w:p>
          <w:p w14:paraId="2CFA9311">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both"/>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b/>
                <w:smallCaps w:val="0"/>
                <w:color w:val="auto"/>
                <w:spacing w:val="0"/>
                <w:kern w:val="0"/>
                <w:position w:val="0"/>
                <w:sz w:val="24"/>
                <w:lang w:val="en-US" w:eastAsia="zh-CN"/>
              </w:rPr>
              <w:t>清洗：</w:t>
            </w:r>
            <w:r>
              <w:rPr>
                <w:rFonts w:hint="default" w:ascii="Times New Roman" w:hAnsi="Times New Roman" w:eastAsia="宋体" w:cs="Times New Roman"/>
                <w:smallCaps w:val="0"/>
                <w:color w:val="auto"/>
                <w:spacing w:val="0"/>
                <w:kern w:val="0"/>
                <w:position w:val="0"/>
                <w:sz w:val="24"/>
                <w:lang w:val="en-US" w:eastAsia="zh-CN"/>
              </w:rPr>
              <w:t>本项目组装后委外喷塑，部分委外喷塑件表面积灰，将工件在清洗机水槽中利用自来水进行清洗擦拭，半个月更新一次清洗用水，该过程产生清洗废液S5；</w:t>
            </w:r>
          </w:p>
          <w:p w14:paraId="1FD69C9D">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both"/>
              <w:textAlignment w:val="auto"/>
              <w:rPr>
                <w:rFonts w:hint="default" w:ascii="Times New Roman" w:hAnsi="Times New Roman" w:eastAsia="宋体" w:cs="Times New Roman"/>
                <w:b w:val="0"/>
                <w:bCs/>
                <w:smallCaps w:val="0"/>
                <w:color w:val="auto"/>
                <w:spacing w:val="0"/>
                <w:kern w:val="0"/>
                <w:position w:val="0"/>
                <w:sz w:val="24"/>
                <w:lang w:val="en-US" w:eastAsia="zh-CN"/>
              </w:rPr>
            </w:pPr>
            <w:r>
              <w:rPr>
                <w:rFonts w:hint="default" w:ascii="Times New Roman" w:hAnsi="Times New Roman" w:eastAsia="宋体" w:cs="Times New Roman"/>
                <w:b/>
                <w:smallCaps w:val="0"/>
                <w:color w:val="auto"/>
                <w:spacing w:val="0"/>
                <w:kern w:val="0"/>
                <w:position w:val="0"/>
                <w:sz w:val="24"/>
                <w:lang w:val="en-US" w:eastAsia="zh-CN"/>
              </w:rPr>
              <w:t>印刷编码：</w:t>
            </w:r>
            <w:r>
              <w:rPr>
                <w:rFonts w:hint="default" w:ascii="Times New Roman" w:hAnsi="Times New Roman" w:eastAsia="宋体" w:cs="Times New Roman"/>
                <w:b w:val="0"/>
                <w:bCs/>
                <w:smallCaps w:val="0"/>
                <w:color w:val="auto"/>
                <w:spacing w:val="0"/>
                <w:kern w:val="0"/>
                <w:position w:val="0"/>
                <w:sz w:val="24"/>
                <w:lang w:val="en-US" w:eastAsia="zh-CN"/>
              </w:rPr>
              <w:t>本项目主要采用UV印刷机进行印刷编码，UV印刷机是一种在紫外光的照射下，UV墨水通过光引发剂辅助吸收一定波长的光子，激发到激发态形成自由基或离子，然后通过分子间能量转移，使聚合的预聚物和光敏感的单体和聚合物形成激发态，产生的电荷转移复合体，这些复杂的粒子不断交联聚合，固化成膜的一种打印工艺，UV油墨即喷即干，仅有少量小分子单体挥发，过程产生印刷废气G3和设备噪声N。</w:t>
            </w:r>
          </w:p>
          <w:p w14:paraId="310684BF">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jc w:val="both"/>
              <w:textAlignment w:val="auto"/>
              <w:rPr>
                <w:rFonts w:hint="default" w:ascii="Times New Roman" w:hAnsi="Times New Roman" w:eastAsia="宋体" w:cs="Times New Roman"/>
                <w:b/>
                <w:smallCaps w:val="0"/>
                <w:color w:val="auto"/>
                <w:spacing w:val="0"/>
                <w:kern w:val="0"/>
                <w:sz w:val="24"/>
              </w:rPr>
            </w:pPr>
            <w:r>
              <w:rPr>
                <w:rFonts w:hint="default" w:ascii="Times New Roman" w:hAnsi="Times New Roman" w:eastAsia="宋体" w:cs="Times New Roman"/>
                <w:b/>
                <w:bCs w:val="0"/>
                <w:smallCaps w:val="0"/>
                <w:color w:val="auto"/>
                <w:spacing w:val="0"/>
                <w:kern w:val="0"/>
                <w:sz w:val="24"/>
                <w:lang w:val="en-US" w:eastAsia="zh-CN"/>
              </w:rPr>
              <w:t>总装、调试：</w:t>
            </w:r>
            <w:r>
              <w:rPr>
                <w:rFonts w:hint="default" w:ascii="Times New Roman" w:hAnsi="Times New Roman" w:eastAsia="宋体" w:cs="Times New Roman"/>
                <w:b w:val="0"/>
                <w:bCs/>
                <w:smallCaps w:val="0"/>
                <w:color w:val="auto"/>
                <w:spacing w:val="0"/>
                <w:kern w:val="0"/>
                <w:sz w:val="24"/>
                <w:lang w:val="en-US" w:eastAsia="zh-CN"/>
              </w:rPr>
              <w:t>人工将加工好的工件组装成产品，组装后即为成品，入库待售。</w:t>
            </w:r>
            <w:r>
              <w:rPr>
                <w:rFonts w:hint="default" w:ascii="Times New Roman" w:hAnsi="Times New Roman" w:eastAsia="宋体" w:cs="Times New Roman"/>
                <w:b w:val="0"/>
                <w:bCs/>
                <w:smallCaps w:val="0"/>
                <w:color w:val="auto"/>
                <w:spacing w:val="0"/>
                <w:kern w:val="0"/>
                <w:position w:val="0"/>
                <w:sz w:val="24"/>
                <w:lang w:val="en-US" w:eastAsia="zh-CN"/>
              </w:rPr>
              <w:t>智能信报箱在总装过程中安装电子配件。</w:t>
            </w:r>
            <w:r>
              <w:rPr>
                <w:rFonts w:hint="default" w:ascii="Times New Roman" w:hAnsi="Times New Roman" w:eastAsia="宋体" w:cs="Times New Roman"/>
                <w:b w:val="0"/>
                <w:bCs/>
                <w:smallCaps w:val="0"/>
                <w:color w:val="auto"/>
                <w:spacing w:val="0"/>
                <w:kern w:val="0"/>
                <w:sz w:val="24"/>
                <w:lang w:val="en-US" w:eastAsia="zh-CN"/>
              </w:rPr>
              <w:t>此工序无污染物产生及排放。</w:t>
            </w:r>
          </w:p>
          <w:p w14:paraId="07C92AF1">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jc w:val="both"/>
              <w:textAlignment w:val="auto"/>
              <w:rPr>
                <w:rStyle w:val="20"/>
                <w:rFonts w:hint="default" w:ascii="Times New Roman" w:hAnsi="Times New Roman" w:eastAsia="宋体" w:cs="Times New Roman"/>
                <w:bCs/>
                <w:smallCaps w:val="0"/>
                <w:color w:val="auto"/>
                <w:spacing w:val="0"/>
                <w:lang w:val="en-US" w:eastAsia="zh-CN"/>
              </w:rPr>
            </w:pPr>
            <w:r>
              <w:rPr>
                <w:rFonts w:hint="default" w:ascii="Times New Roman" w:hAnsi="Times New Roman" w:eastAsia="宋体" w:cs="Times New Roman"/>
                <w:b/>
                <w:bCs w:val="0"/>
                <w:smallCaps w:val="0"/>
                <w:color w:val="auto"/>
                <w:spacing w:val="0"/>
                <w:lang w:val="en-US" w:eastAsia="zh-CN"/>
              </w:rPr>
              <w:t>2</w:t>
            </w:r>
            <w:r>
              <w:rPr>
                <w:rFonts w:hint="default" w:ascii="Times New Roman" w:hAnsi="Times New Roman" w:eastAsia="宋体" w:cs="Times New Roman"/>
                <w:b/>
                <w:bCs w:val="0"/>
                <w:smallCaps w:val="0"/>
                <w:color w:val="auto"/>
                <w:spacing w:val="0"/>
              </w:rPr>
              <w:t>、</w:t>
            </w:r>
            <w:r>
              <w:rPr>
                <w:rFonts w:hint="default" w:ascii="Times New Roman" w:hAnsi="Times New Roman" w:eastAsia="宋体" w:cs="Times New Roman"/>
                <w:b/>
                <w:bCs w:val="0"/>
                <w:smallCaps w:val="0"/>
                <w:color w:val="auto"/>
                <w:spacing w:val="0"/>
                <w:lang w:val="en-US" w:eastAsia="zh-CN"/>
              </w:rPr>
              <w:t>其他产污环节</w:t>
            </w:r>
          </w:p>
          <w:p w14:paraId="620F155D">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jc w:val="both"/>
              <w:textAlignment w:val="auto"/>
              <w:rPr>
                <w:rStyle w:val="20"/>
                <w:rFonts w:hint="default" w:ascii="Times New Roman" w:hAnsi="Times New Roman" w:eastAsia="宋体" w:cs="Times New Roman"/>
                <w:b w:val="0"/>
                <w:bCs w:val="0"/>
                <w:smallCaps w:val="0"/>
                <w:color w:val="auto"/>
                <w:spacing w:val="0"/>
                <w:lang w:eastAsia="zh-CN"/>
              </w:rPr>
            </w:pPr>
            <w:r>
              <w:rPr>
                <w:rFonts w:hint="default" w:ascii="Times New Roman" w:hAnsi="Times New Roman" w:eastAsia="宋体" w:cs="Times New Roman"/>
                <w:bCs/>
                <w:smallCaps w:val="0"/>
                <w:color w:val="auto"/>
                <w:spacing w:val="0"/>
                <w:sz w:val="24"/>
                <w:rtl w:val="0"/>
                <w:lang w:val="en-US" w:eastAsia="zh-CN"/>
              </w:rPr>
              <w:t>液压油、UV油墨</w:t>
            </w:r>
            <w:r>
              <w:rPr>
                <w:rStyle w:val="20"/>
                <w:rFonts w:hint="default" w:ascii="Times New Roman" w:hAnsi="Times New Roman" w:eastAsia="宋体" w:cs="Times New Roman"/>
                <w:b w:val="0"/>
                <w:bCs w:val="0"/>
                <w:smallCaps w:val="0"/>
                <w:color w:val="auto"/>
                <w:spacing w:val="0"/>
                <w:lang w:eastAsia="zh-CN"/>
              </w:rPr>
              <w:t>使用完后有废包装桶S</w:t>
            </w:r>
            <w:r>
              <w:rPr>
                <w:rStyle w:val="20"/>
                <w:rFonts w:hint="default" w:ascii="Times New Roman" w:hAnsi="Times New Roman" w:eastAsia="宋体" w:cs="Times New Roman"/>
                <w:b w:val="0"/>
                <w:bCs w:val="0"/>
                <w:smallCaps w:val="0"/>
                <w:color w:val="auto"/>
                <w:spacing w:val="0"/>
                <w:lang w:val="en-US" w:eastAsia="zh-CN"/>
              </w:rPr>
              <w:t>6</w:t>
            </w:r>
            <w:r>
              <w:rPr>
                <w:rStyle w:val="20"/>
                <w:rFonts w:hint="default" w:ascii="Times New Roman" w:hAnsi="Times New Roman" w:eastAsia="宋体" w:cs="Times New Roman"/>
                <w:b w:val="0"/>
                <w:bCs w:val="0"/>
                <w:smallCaps w:val="0"/>
                <w:color w:val="auto"/>
                <w:spacing w:val="0"/>
                <w:lang w:eastAsia="zh-CN"/>
              </w:rPr>
              <w:t>产生。</w:t>
            </w:r>
          </w:p>
          <w:p w14:paraId="0B0F2054">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jc w:val="both"/>
              <w:textAlignment w:val="auto"/>
              <w:rPr>
                <w:rStyle w:val="20"/>
                <w:rFonts w:hint="default" w:ascii="Times New Roman" w:hAnsi="Times New Roman" w:eastAsia="宋体" w:cs="Times New Roman"/>
                <w:b w:val="0"/>
                <w:bCs w:val="0"/>
                <w:smallCaps w:val="0"/>
                <w:color w:val="auto"/>
                <w:spacing w:val="0"/>
                <w:lang w:val="en-US" w:eastAsia="zh-CN"/>
              </w:rPr>
            </w:pPr>
            <w:r>
              <w:rPr>
                <w:rStyle w:val="20"/>
                <w:rFonts w:hint="eastAsia" w:eastAsia="宋体" w:cs="Times New Roman"/>
                <w:b w:val="0"/>
                <w:bCs w:val="0"/>
                <w:smallCaps w:val="0"/>
                <w:color w:val="auto"/>
                <w:spacing w:val="0"/>
                <w:lang w:val="en-US" w:eastAsia="zh-CN"/>
              </w:rPr>
              <w:t>切割废气经除尘器处理后，产生切割集尘S7。</w:t>
            </w:r>
          </w:p>
          <w:p w14:paraId="69D7DBD0">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jc w:val="both"/>
              <w:textAlignment w:val="auto"/>
              <w:rPr>
                <w:rStyle w:val="20"/>
                <w:rFonts w:hint="default" w:ascii="Times New Roman" w:hAnsi="Times New Roman" w:eastAsia="宋体" w:cs="Times New Roman"/>
                <w:bCs/>
                <w:smallCaps w:val="0"/>
                <w:color w:val="auto"/>
                <w:spacing w:val="0"/>
                <w:kern w:val="0"/>
                <w:position w:val="0"/>
              </w:rPr>
            </w:pPr>
            <w:r>
              <w:rPr>
                <w:rStyle w:val="20"/>
                <w:rFonts w:hint="default" w:ascii="Times New Roman" w:hAnsi="Times New Roman" w:eastAsia="宋体" w:cs="Times New Roman"/>
                <w:bCs/>
                <w:smallCaps w:val="0"/>
                <w:color w:val="auto"/>
                <w:spacing w:val="0"/>
                <w:kern w:val="0"/>
                <w:position w:val="0"/>
                <w:lang w:val="en-US" w:eastAsia="zh-CN"/>
              </w:rPr>
              <w:t>3、</w:t>
            </w:r>
            <w:r>
              <w:rPr>
                <w:rStyle w:val="20"/>
                <w:rFonts w:hint="default" w:ascii="Times New Roman" w:hAnsi="Times New Roman" w:eastAsia="宋体" w:cs="Times New Roman"/>
                <w:bCs/>
                <w:smallCaps w:val="0"/>
                <w:color w:val="auto"/>
                <w:spacing w:val="0"/>
                <w:kern w:val="0"/>
                <w:position w:val="0"/>
              </w:rPr>
              <w:t>产污环节一览表</w:t>
            </w:r>
          </w:p>
          <w:p w14:paraId="285497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4"/>
              </w:rPr>
            </w:pPr>
            <w:r>
              <w:rPr>
                <w:rFonts w:hint="default" w:ascii="Times New Roman" w:hAnsi="Times New Roman" w:eastAsia="宋体" w:cs="Times New Roman"/>
                <w:b/>
                <w:bCs/>
                <w:smallCaps w:val="0"/>
                <w:color w:val="auto"/>
                <w:spacing w:val="0"/>
                <w:kern w:val="0"/>
                <w:position w:val="0"/>
                <w:sz w:val="21"/>
                <w:szCs w:val="24"/>
              </w:rPr>
              <w:t>表2-</w:t>
            </w:r>
            <w:r>
              <w:rPr>
                <w:rFonts w:hint="default" w:ascii="Times New Roman" w:hAnsi="Times New Roman" w:eastAsia="宋体" w:cs="Times New Roman"/>
                <w:b/>
                <w:bCs/>
                <w:smallCaps w:val="0"/>
                <w:color w:val="auto"/>
                <w:spacing w:val="0"/>
                <w:kern w:val="0"/>
                <w:position w:val="0"/>
                <w:sz w:val="21"/>
                <w:szCs w:val="24"/>
                <w:lang w:val="en-US" w:eastAsia="zh-CN"/>
              </w:rPr>
              <w:t>8</w:t>
            </w:r>
            <w:r>
              <w:rPr>
                <w:rFonts w:hint="default" w:ascii="Times New Roman" w:hAnsi="Times New Roman" w:eastAsia="宋体" w:cs="Times New Roman"/>
                <w:b/>
                <w:bCs/>
                <w:smallCaps w:val="0"/>
                <w:color w:val="auto"/>
                <w:spacing w:val="0"/>
                <w:kern w:val="0"/>
                <w:position w:val="0"/>
                <w:sz w:val="21"/>
                <w:szCs w:val="24"/>
              </w:rPr>
              <w:t>本项目产污环节一览表</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1339"/>
              <w:gridCol w:w="2002"/>
              <w:gridCol w:w="1056"/>
              <w:gridCol w:w="3927"/>
            </w:tblGrid>
            <w:tr w14:paraId="4C752C3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noWrap w:val="0"/>
                  <w:vAlign w:val="center"/>
                </w:tcPr>
                <w:p w14:paraId="2D0225A7">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污染物类别</w:t>
                  </w:r>
                </w:p>
              </w:tc>
              <w:tc>
                <w:tcPr>
                  <w:tcW w:w="1202" w:type="pct"/>
                  <w:noWrap w:val="0"/>
                  <w:vAlign w:val="center"/>
                </w:tcPr>
                <w:p w14:paraId="0E8D2ED5">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产污环节</w:t>
                  </w:r>
                </w:p>
              </w:tc>
              <w:tc>
                <w:tcPr>
                  <w:tcW w:w="634" w:type="pct"/>
                  <w:noWrap w:val="0"/>
                  <w:vAlign w:val="center"/>
                </w:tcPr>
                <w:p w14:paraId="2768BFEE">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编号</w:t>
                  </w:r>
                </w:p>
              </w:tc>
              <w:tc>
                <w:tcPr>
                  <w:tcW w:w="2358" w:type="pct"/>
                  <w:noWrap w:val="0"/>
                  <w:vAlign w:val="center"/>
                </w:tcPr>
                <w:p w14:paraId="5F6A4749">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主要污染因子</w:t>
                  </w:r>
                </w:p>
              </w:tc>
            </w:tr>
            <w:tr w14:paraId="5C4A87B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restart"/>
                  <w:noWrap w:val="0"/>
                  <w:vAlign w:val="center"/>
                </w:tcPr>
                <w:p w14:paraId="72C47B55">
                  <w:pPr>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废气</w:t>
                  </w:r>
                </w:p>
              </w:tc>
              <w:tc>
                <w:tcPr>
                  <w:tcW w:w="1202" w:type="pct"/>
                  <w:noWrap w:val="0"/>
                  <w:vAlign w:val="center"/>
                </w:tcPr>
                <w:p w14:paraId="6FC47D33">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切割</w:t>
                  </w:r>
                </w:p>
              </w:tc>
              <w:tc>
                <w:tcPr>
                  <w:tcW w:w="634" w:type="pct"/>
                  <w:noWrap w:val="0"/>
                  <w:vAlign w:val="center"/>
                </w:tcPr>
                <w:p w14:paraId="1C2D6E61">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G1</w:t>
                  </w:r>
                </w:p>
              </w:tc>
              <w:tc>
                <w:tcPr>
                  <w:tcW w:w="2358" w:type="pct"/>
                  <w:noWrap w:val="0"/>
                  <w:vAlign w:val="center"/>
                </w:tcPr>
                <w:p w14:paraId="40D83086">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切割粉尘</w:t>
                  </w:r>
                </w:p>
              </w:tc>
            </w:tr>
            <w:tr w14:paraId="56387DE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06B00E6F">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62975768">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焊接</w:t>
                  </w:r>
                </w:p>
              </w:tc>
              <w:tc>
                <w:tcPr>
                  <w:tcW w:w="634" w:type="pct"/>
                  <w:noWrap w:val="0"/>
                  <w:vAlign w:val="center"/>
                </w:tcPr>
                <w:p w14:paraId="7044C9FF">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G2</w:t>
                  </w:r>
                </w:p>
              </w:tc>
              <w:tc>
                <w:tcPr>
                  <w:tcW w:w="2358" w:type="pct"/>
                  <w:noWrap w:val="0"/>
                  <w:vAlign w:val="center"/>
                </w:tcPr>
                <w:p w14:paraId="4459C700">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焊接烟尘</w:t>
                  </w:r>
                </w:p>
              </w:tc>
            </w:tr>
            <w:tr w14:paraId="41AC52C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2D79E5BC">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115B780D">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印刷编码</w:t>
                  </w:r>
                </w:p>
              </w:tc>
              <w:tc>
                <w:tcPr>
                  <w:tcW w:w="634" w:type="pct"/>
                  <w:noWrap w:val="0"/>
                  <w:vAlign w:val="center"/>
                </w:tcPr>
                <w:p w14:paraId="44FCB590">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G3</w:t>
                  </w:r>
                </w:p>
              </w:tc>
              <w:tc>
                <w:tcPr>
                  <w:tcW w:w="2358" w:type="pct"/>
                  <w:noWrap w:val="0"/>
                  <w:vAlign w:val="center"/>
                </w:tcPr>
                <w:p w14:paraId="462CB6B8">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非甲烷总烃</w:t>
                  </w:r>
                </w:p>
              </w:tc>
            </w:tr>
            <w:tr w14:paraId="04FF118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noWrap w:val="0"/>
                  <w:vAlign w:val="center"/>
                </w:tcPr>
                <w:p w14:paraId="6C1C53B9">
                  <w:pPr>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废水</w:t>
                  </w:r>
                </w:p>
              </w:tc>
              <w:tc>
                <w:tcPr>
                  <w:tcW w:w="1202" w:type="pct"/>
                  <w:noWrap w:val="0"/>
                  <w:vAlign w:val="center"/>
                </w:tcPr>
                <w:p w14:paraId="1B474B30">
                  <w:pPr>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生活污水</w:t>
                  </w:r>
                </w:p>
              </w:tc>
              <w:tc>
                <w:tcPr>
                  <w:tcW w:w="634" w:type="pct"/>
                  <w:noWrap w:val="0"/>
                  <w:vAlign w:val="center"/>
                </w:tcPr>
                <w:p w14:paraId="6F65D419">
                  <w:pPr>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w:t>
                  </w:r>
                </w:p>
              </w:tc>
              <w:tc>
                <w:tcPr>
                  <w:tcW w:w="2358" w:type="pct"/>
                  <w:noWrap w:val="0"/>
                  <w:vAlign w:val="center"/>
                </w:tcPr>
                <w:p w14:paraId="09AA2C73">
                  <w:pPr>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lang w:val="en-US" w:eastAsia="zh-CN"/>
                    </w:rPr>
                    <w:t>pH、</w:t>
                  </w:r>
                  <w:r>
                    <w:rPr>
                      <w:rFonts w:hint="default" w:ascii="Times New Roman" w:hAnsi="Times New Roman" w:eastAsia="宋体" w:cs="Times New Roman"/>
                      <w:bCs/>
                      <w:smallCaps w:val="0"/>
                      <w:color w:val="auto"/>
                      <w:spacing w:val="0"/>
                      <w:kern w:val="0"/>
                      <w:position w:val="0"/>
                      <w:szCs w:val="21"/>
                    </w:rPr>
                    <w:t>COD、SS、NH</w:t>
                  </w:r>
                  <w:r>
                    <w:rPr>
                      <w:rFonts w:hint="default" w:ascii="Times New Roman" w:hAnsi="Times New Roman" w:eastAsia="宋体" w:cs="Times New Roman"/>
                      <w:bCs/>
                      <w:smallCaps w:val="0"/>
                      <w:color w:val="auto"/>
                      <w:spacing w:val="0"/>
                      <w:kern w:val="0"/>
                      <w:position w:val="0"/>
                      <w:szCs w:val="21"/>
                      <w:vertAlign w:val="subscript"/>
                    </w:rPr>
                    <w:t>3</w:t>
                  </w:r>
                  <w:r>
                    <w:rPr>
                      <w:rFonts w:hint="default" w:ascii="Times New Roman" w:hAnsi="Times New Roman" w:eastAsia="宋体" w:cs="Times New Roman"/>
                      <w:bCs/>
                      <w:smallCaps w:val="0"/>
                      <w:color w:val="auto"/>
                      <w:spacing w:val="0"/>
                      <w:kern w:val="0"/>
                      <w:position w:val="0"/>
                      <w:szCs w:val="21"/>
                    </w:rPr>
                    <w:t>-N、TP、TN</w:t>
                  </w:r>
                </w:p>
              </w:tc>
            </w:tr>
            <w:tr w14:paraId="234D314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noWrap w:val="0"/>
                  <w:vAlign w:val="center"/>
                </w:tcPr>
                <w:p w14:paraId="3BE96E28">
                  <w:pPr>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噪声</w:t>
                  </w:r>
                </w:p>
              </w:tc>
              <w:tc>
                <w:tcPr>
                  <w:tcW w:w="1202" w:type="pct"/>
                  <w:noWrap w:val="0"/>
                  <w:vAlign w:val="center"/>
                </w:tcPr>
                <w:p w14:paraId="13FB4897">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设备噪声</w:t>
                  </w:r>
                </w:p>
              </w:tc>
              <w:tc>
                <w:tcPr>
                  <w:tcW w:w="634" w:type="pct"/>
                  <w:noWrap w:val="0"/>
                  <w:vAlign w:val="center"/>
                </w:tcPr>
                <w:p w14:paraId="608FED1B">
                  <w:pPr>
                    <w:spacing w:line="240" w:lineRule="exact"/>
                    <w:jc w:val="center"/>
                    <w:rPr>
                      <w:rFonts w:hint="default" w:ascii="Times New Roman" w:hAnsi="Times New Roman" w:eastAsia="宋体" w:cs="Times New Roman"/>
                      <w:bCs/>
                      <w:smallCaps w:val="0"/>
                      <w:color w:val="auto"/>
                      <w:spacing w:val="0"/>
                      <w:kern w:val="0"/>
                      <w:position w:val="0"/>
                      <w:szCs w:val="21"/>
                      <w:lang w:eastAsia="zh-CN"/>
                    </w:rPr>
                  </w:pPr>
                  <w:r>
                    <w:rPr>
                      <w:rFonts w:hint="default" w:ascii="Times New Roman" w:hAnsi="Times New Roman" w:eastAsia="宋体" w:cs="Times New Roman"/>
                      <w:bCs/>
                      <w:smallCaps w:val="0"/>
                      <w:color w:val="auto"/>
                      <w:spacing w:val="0"/>
                      <w:kern w:val="0"/>
                      <w:position w:val="0"/>
                      <w:szCs w:val="21"/>
                      <w:lang w:val="en-US" w:eastAsia="zh-CN"/>
                    </w:rPr>
                    <w:t>N</w:t>
                  </w:r>
                </w:p>
              </w:tc>
              <w:tc>
                <w:tcPr>
                  <w:tcW w:w="2358" w:type="pct"/>
                  <w:noWrap w:val="0"/>
                  <w:vAlign w:val="center"/>
                </w:tcPr>
                <w:p w14:paraId="56C192C9">
                  <w:pPr>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昼间连续A声级</w:t>
                  </w:r>
                </w:p>
              </w:tc>
            </w:tr>
            <w:tr w14:paraId="0B6B74F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restart"/>
                  <w:noWrap w:val="0"/>
                  <w:vAlign w:val="center"/>
                </w:tcPr>
                <w:p w14:paraId="03582BA1">
                  <w:pPr>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Cs/>
                      <w:smallCaps w:val="0"/>
                      <w:color w:val="auto"/>
                      <w:spacing w:val="0"/>
                      <w:kern w:val="0"/>
                      <w:position w:val="0"/>
                      <w:szCs w:val="21"/>
                    </w:rPr>
                    <w:t>固废</w:t>
                  </w:r>
                </w:p>
              </w:tc>
              <w:tc>
                <w:tcPr>
                  <w:tcW w:w="1202" w:type="pct"/>
                  <w:noWrap w:val="0"/>
                  <w:vAlign w:val="center"/>
                </w:tcPr>
                <w:p w14:paraId="603BC026">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生活</w:t>
                  </w:r>
                </w:p>
              </w:tc>
              <w:tc>
                <w:tcPr>
                  <w:tcW w:w="634" w:type="pct"/>
                  <w:noWrap w:val="0"/>
                  <w:vAlign w:val="center"/>
                </w:tcPr>
                <w:p w14:paraId="591C53D3">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w:t>
                  </w:r>
                </w:p>
              </w:tc>
              <w:tc>
                <w:tcPr>
                  <w:tcW w:w="2358" w:type="pct"/>
                  <w:noWrap w:val="0"/>
                  <w:vAlign w:val="center"/>
                </w:tcPr>
                <w:p w14:paraId="63DF7E4D">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生活垃圾</w:t>
                  </w:r>
                </w:p>
              </w:tc>
            </w:tr>
            <w:tr w14:paraId="6F7C282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3AD872B1">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6C4FB18E">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切割</w:t>
                  </w:r>
                </w:p>
              </w:tc>
              <w:tc>
                <w:tcPr>
                  <w:tcW w:w="634" w:type="pct"/>
                  <w:noWrap w:val="0"/>
                  <w:vAlign w:val="center"/>
                </w:tcPr>
                <w:p w14:paraId="7A8B1CC5">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S1</w:t>
                  </w:r>
                </w:p>
              </w:tc>
              <w:tc>
                <w:tcPr>
                  <w:tcW w:w="2358" w:type="pct"/>
                  <w:noWrap w:val="0"/>
                  <w:vAlign w:val="center"/>
                </w:tcPr>
                <w:p w14:paraId="17B83FEE">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金属边角料</w:t>
                  </w:r>
                </w:p>
              </w:tc>
            </w:tr>
            <w:tr w14:paraId="754E03F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1009ACF4">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3C270982">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剪板</w:t>
                  </w:r>
                </w:p>
              </w:tc>
              <w:tc>
                <w:tcPr>
                  <w:tcW w:w="634" w:type="pct"/>
                  <w:noWrap w:val="0"/>
                  <w:vAlign w:val="center"/>
                </w:tcPr>
                <w:p w14:paraId="4CCFA5B9">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S2</w:t>
                  </w:r>
                </w:p>
              </w:tc>
              <w:tc>
                <w:tcPr>
                  <w:tcW w:w="2358" w:type="pct"/>
                  <w:noWrap w:val="0"/>
                  <w:vAlign w:val="center"/>
                </w:tcPr>
                <w:p w14:paraId="4CA7FCAF">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金属边角料</w:t>
                  </w:r>
                </w:p>
              </w:tc>
            </w:tr>
            <w:tr w14:paraId="6447C7A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43A75A64">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52D94F21">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冲压</w:t>
                  </w:r>
                </w:p>
              </w:tc>
              <w:tc>
                <w:tcPr>
                  <w:tcW w:w="634" w:type="pct"/>
                  <w:shd w:val="clear" w:color="auto" w:fill="auto"/>
                  <w:noWrap w:val="0"/>
                  <w:vAlign w:val="center"/>
                </w:tcPr>
                <w:p w14:paraId="591EEE54">
                  <w:pPr>
                    <w:spacing w:line="240" w:lineRule="exact"/>
                    <w:jc w:val="center"/>
                    <w:rPr>
                      <w:rFonts w:hint="default" w:ascii="Times New Roman" w:hAnsi="Times New Roman" w:eastAsia="宋体" w:cs="Times New Roman"/>
                      <w:bCs/>
                      <w:smallCaps w:val="0"/>
                      <w:color w:val="auto"/>
                      <w:spacing w:val="0"/>
                      <w:kern w:val="0"/>
                      <w:position w:val="0"/>
                      <w:sz w:val="21"/>
                      <w:szCs w:val="21"/>
                      <w:lang w:val="en-US" w:eastAsia="zh-CN" w:bidi="ar-SA"/>
                    </w:rPr>
                  </w:pPr>
                  <w:r>
                    <w:rPr>
                      <w:rFonts w:hint="default" w:ascii="Times New Roman" w:hAnsi="Times New Roman" w:eastAsia="宋体" w:cs="Times New Roman"/>
                      <w:bCs/>
                      <w:smallCaps w:val="0"/>
                      <w:color w:val="auto"/>
                      <w:spacing w:val="0"/>
                      <w:kern w:val="0"/>
                      <w:position w:val="0"/>
                      <w:szCs w:val="21"/>
                      <w:lang w:val="en-US" w:eastAsia="zh-CN"/>
                    </w:rPr>
                    <w:t>S3</w:t>
                  </w:r>
                </w:p>
              </w:tc>
              <w:tc>
                <w:tcPr>
                  <w:tcW w:w="2358" w:type="pct"/>
                  <w:noWrap w:val="0"/>
                  <w:vAlign w:val="center"/>
                </w:tcPr>
                <w:p w14:paraId="0A432BB6">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废液压油</w:t>
                  </w:r>
                </w:p>
              </w:tc>
            </w:tr>
            <w:tr w14:paraId="730F73C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0BD07DD9">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06B7EA1D">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焊接</w:t>
                  </w:r>
                </w:p>
              </w:tc>
              <w:tc>
                <w:tcPr>
                  <w:tcW w:w="634" w:type="pct"/>
                  <w:shd w:val="clear" w:color="auto" w:fill="auto"/>
                  <w:noWrap w:val="0"/>
                  <w:vAlign w:val="center"/>
                </w:tcPr>
                <w:p w14:paraId="1F41DC10">
                  <w:pPr>
                    <w:spacing w:line="240" w:lineRule="exact"/>
                    <w:jc w:val="center"/>
                    <w:rPr>
                      <w:rFonts w:hint="default" w:ascii="Times New Roman" w:hAnsi="Times New Roman" w:eastAsia="宋体" w:cs="Times New Roman"/>
                      <w:bCs/>
                      <w:smallCaps w:val="0"/>
                      <w:color w:val="auto"/>
                      <w:spacing w:val="0"/>
                      <w:kern w:val="0"/>
                      <w:position w:val="0"/>
                      <w:sz w:val="21"/>
                      <w:szCs w:val="21"/>
                      <w:lang w:val="en-US" w:eastAsia="zh-CN" w:bidi="ar-SA"/>
                    </w:rPr>
                  </w:pPr>
                  <w:r>
                    <w:rPr>
                      <w:rFonts w:hint="default" w:ascii="Times New Roman" w:hAnsi="Times New Roman" w:eastAsia="宋体" w:cs="Times New Roman"/>
                      <w:bCs/>
                      <w:smallCaps w:val="0"/>
                      <w:color w:val="auto"/>
                      <w:spacing w:val="0"/>
                      <w:kern w:val="0"/>
                      <w:position w:val="0"/>
                      <w:szCs w:val="21"/>
                      <w:lang w:val="en-US" w:eastAsia="zh-CN"/>
                    </w:rPr>
                    <w:t>S4</w:t>
                  </w:r>
                </w:p>
              </w:tc>
              <w:tc>
                <w:tcPr>
                  <w:tcW w:w="2358" w:type="pct"/>
                  <w:noWrap w:val="0"/>
                  <w:vAlign w:val="center"/>
                </w:tcPr>
                <w:p w14:paraId="023968DC">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焊渣</w:t>
                  </w:r>
                </w:p>
              </w:tc>
            </w:tr>
            <w:tr w14:paraId="5134073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11BE9B5E">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7B6CB958">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清洗</w:t>
                  </w:r>
                </w:p>
              </w:tc>
              <w:tc>
                <w:tcPr>
                  <w:tcW w:w="634" w:type="pct"/>
                  <w:shd w:val="clear" w:color="auto" w:fill="auto"/>
                  <w:noWrap w:val="0"/>
                  <w:vAlign w:val="center"/>
                </w:tcPr>
                <w:p w14:paraId="563F0118">
                  <w:pPr>
                    <w:spacing w:line="240" w:lineRule="exact"/>
                    <w:jc w:val="center"/>
                    <w:rPr>
                      <w:rFonts w:hint="default" w:ascii="Times New Roman" w:hAnsi="Times New Roman" w:eastAsia="宋体" w:cs="Times New Roman"/>
                      <w:bCs/>
                      <w:smallCaps w:val="0"/>
                      <w:color w:val="auto"/>
                      <w:spacing w:val="0"/>
                      <w:kern w:val="0"/>
                      <w:position w:val="0"/>
                      <w:sz w:val="21"/>
                      <w:szCs w:val="21"/>
                      <w:lang w:val="en-US" w:eastAsia="zh-CN" w:bidi="ar-SA"/>
                    </w:rPr>
                  </w:pPr>
                  <w:r>
                    <w:rPr>
                      <w:rFonts w:hint="default" w:ascii="Times New Roman" w:hAnsi="Times New Roman" w:eastAsia="宋体" w:cs="Times New Roman"/>
                      <w:bCs/>
                      <w:smallCaps w:val="0"/>
                      <w:color w:val="auto"/>
                      <w:spacing w:val="0"/>
                      <w:kern w:val="0"/>
                      <w:position w:val="0"/>
                      <w:szCs w:val="21"/>
                      <w:lang w:val="en-US" w:eastAsia="zh-CN"/>
                    </w:rPr>
                    <w:t>S5</w:t>
                  </w:r>
                </w:p>
              </w:tc>
              <w:tc>
                <w:tcPr>
                  <w:tcW w:w="2358" w:type="pct"/>
                  <w:noWrap w:val="0"/>
                  <w:vAlign w:val="center"/>
                </w:tcPr>
                <w:p w14:paraId="0408C5DE">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清洗废液</w:t>
                  </w:r>
                </w:p>
              </w:tc>
            </w:tr>
            <w:tr w14:paraId="2C8D24B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0E8DE993">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4D068693">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原料使用</w:t>
                  </w:r>
                </w:p>
              </w:tc>
              <w:tc>
                <w:tcPr>
                  <w:tcW w:w="634" w:type="pct"/>
                  <w:noWrap w:val="0"/>
                  <w:vAlign w:val="center"/>
                </w:tcPr>
                <w:p w14:paraId="28B7CBC5">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S6</w:t>
                  </w:r>
                </w:p>
              </w:tc>
              <w:tc>
                <w:tcPr>
                  <w:tcW w:w="2358" w:type="pct"/>
                  <w:noWrap w:val="0"/>
                  <w:vAlign w:val="center"/>
                </w:tcPr>
                <w:p w14:paraId="22A65940">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default" w:ascii="Times New Roman" w:hAnsi="Times New Roman" w:eastAsia="宋体" w:cs="Times New Roman"/>
                      <w:bCs/>
                      <w:smallCaps w:val="0"/>
                      <w:color w:val="auto"/>
                      <w:spacing w:val="0"/>
                      <w:kern w:val="0"/>
                      <w:position w:val="0"/>
                      <w:szCs w:val="21"/>
                      <w:lang w:val="en-US" w:eastAsia="zh-CN"/>
                    </w:rPr>
                    <w:t>废包装桶</w:t>
                  </w:r>
                </w:p>
              </w:tc>
            </w:tr>
            <w:tr w14:paraId="0CB36F2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trPr>
              <w:tc>
                <w:tcPr>
                  <w:tcW w:w="804" w:type="pct"/>
                  <w:vMerge w:val="continue"/>
                  <w:noWrap w:val="0"/>
                  <w:vAlign w:val="center"/>
                </w:tcPr>
                <w:p w14:paraId="0B71694C">
                  <w:pPr>
                    <w:spacing w:line="240" w:lineRule="exact"/>
                    <w:jc w:val="center"/>
                    <w:rPr>
                      <w:rFonts w:hint="default" w:ascii="Times New Roman" w:hAnsi="Times New Roman" w:eastAsia="宋体" w:cs="Times New Roman"/>
                      <w:bCs/>
                      <w:smallCaps w:val="0"/>
                      <w:color w:val="auto"/>
                      <w:spacing w:val="0"/>
                      <w:kern w:val="0"/>
                      <w:position w:val="0"/>
                      <w:szCs w:val="21"/>
                    </w:rPr>
                  </w:pPr>
                </w:p>
              </w:tc>
              <w:tc>
                <w:tcPr>
                  <w:tcW w:w="1202" w:type="pct"/>
                  <w:noWrap w:val="0"/>
                  <w:vAlign w:val="center"/>
                </w:tcPr>
                <w:p w14:paraId="12450A09">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eastAsia" w:cs="Times New Roman"/>
                      <w:bCs/>
                      <w:smallCaps w:val="0"/>
                      <w:color w:val="auto"/>
                      <w:spacing w:val="0"/>
                      <w:kern w:val="0"/>
                      <w:position w:val="0"/>
                      <w:szCs w:val="21"/>
                      <w:lang w:val="en-US" w:eastAsia="zh-CN"/>
                    </w:rPr>
                    <w:t>废气处理</w:t>
                  </w:r>
                </w:p>
              </w:tc>
              <w:tc>
                <w:tcPr>
                  <w:tcW w:w="634" w:type="pct"/>
                  <w:noWrap w:val="0"/>
                  <w:vAlign w:val="center"/>
                </w:tcPr>
                <w:p w14:paraId="3A80244F">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eastAsia" w:cs="Times New Roman"/>
                      <w:bCs/>
                      <w:smallCaps w:val="0"/>
                      <w:color w:val="auto"/>
                      <w:spacing w:val="0"/>
                      <w:kern w:val="0"/>
                      <w:position w:val="0"/>
                      <w:szCs w:val="21"/>
                      <w:lang w:val="en-US" w:eastAsia="zh-CN"/>
                    </w:rPr>
                    <w:t>S7</w:t>
                  </w:r>
                </w:p>
              </w:tc>
              <w:tc>
                <w:tcPr>
                  <w:tcW w:w="2358" w:type="pct"/>
                  <w:noWrap w:val="0"/>
                  <w:vAlign w:val="center"/>
                </w:tcPr>
                <w:p w14:paraId="78588287">
                  <w:pPr>
                    <w:spacing w:line="240" w:lineRule="exact"/>
                    <w:jc w:val="center"/>
                    <w:rPr>
                      <w:rFonts w:hint="default" w:ascii="Times New Roman" w:hAnsi="Times New Roman" w:eastAsia="宋体" w:cs="Times New Roman"/>
                      <w:bCs/>
                      <w:smallCaps w:val="0"/>
                      <w:color w:val="auto"/>
                      <w:spacing w:val="0"/>
                      <w:kern w:val="0"/>
                      <w:position w:val="0"/>
                      <w:szCs w:val="21"/>
                      <w:lang w:val="en-US" w:eastAsia="zh-CN"/>
                    </w:rPr>
                  </w:pPr>
                  <w:r>
                    <w:rPr>
                      <w:rFonts w:hint="eastAsia" w:cs="Times New Roman"/>
                      <w:bCs/>
                      <w:smallCaps w:val="0"/>
                      <w:color w:val="auto"/>
                      <w:spacing w:val="0"/>
                      <w:kern w:val="0"/>
                      <w:position w:val="0"/>
                      <w:szCs w:val="21"/>
                      <w:lang w:val="en-US" w:eastAsia="zh-CN"/>
                    </w:rPr>
                    <w:t>切割集尘</w:t>
                  </w:r>
                </w:p>
              </w:tc>
            </w:tr>
          </w:tbl>
          <w:p w14:paraId="2012F275">
            <w:pPr>
              <w:jc w:val="center"/>
              <w:rPr>
                <w:rFonts w:hint="default" w:ascii="Times New Roman" w:hAnsi="Times New Roman" w:eastAsia="宋体" w:cs="Times New Roman"/>
                <w:smallCaps w:val="0"/>
                <w:color w:val="auto"/>
                <w:spacing w:val="0"/>
                <w:kern w:val="0"/>
                <w:position w:val="0"/>
              </w:rPr>
            </w:pPr>
          </w:p>
          <w:p w14:paraId="1113DD43">
            <w:pPr>
              <w:jc w:val="center"/>
              <w:rPr>
                <w:rFonts w:hint="default" w:ascii="Times New Roman" w:hAnsi="Times New Roman" w:eastAsia="宋体" w:cs="Times New Roman"/>
                <w:smallCaps w:val="0"/>
                <w:color w:val="auto"/>
                <w:spacing w:val="0"/>
                <w:kern w:val="0"/>
                <w:position w:val="0"/>
              </w:rPr>
            </w:pPr>
          </w:p>
          <w:p w14:paraId="049D0081">
            <w:pPr>
              <w:rPr>
                <w:rStyle w:val="34"/>
                <w:rFonts w:hint="default" w:ascii="Times New Roman" w:hAnsi="Times New Roman" w:eastAsia="宋体" w:cs="Times New Roman"/>
                <w:smallCaps w:val="0"/>
                <w:color w:val="auto"/>
                <w:spacing w:val="0"/>
                <w:kern w:val="0"/>
                <w:position w:val="0"/>
              </w:rPr>
            </w:pPr>
          </w:p>
          <w:p w14:paraId="1607530F">
            <w:pPr>
              <w:bidi w:val="0"/>
              <w:rPr>
                <w:rStyle w:val="34"/>
                <w:rFonts w:hint="default" w:ascii="Times New Roman" w:hAnsi="Times New Roman" w:eastAsia="宋体" w:cs="Times New Roman"/>
                <w:smallCaps w:val="0"/>
                <w:color w:val="auto"/>
                <w:spacing w:val="0"/>
                <w:kern w:val="0"/>
                <w:position w:val="0"/>
              </w:rPr>
            </w:pPr>
          </w:p>
          <w:p w14:paraId="10B84B62">
            <w:pPr>
              <w:bidi w:val="0"/>
              <w:rPr>
                <w:rStyle w:val="34"/>
                <w:rFonts w:hint="default" w:ascii="Times New Roman" w:hAnsi="Times New Roman" w:eastAsia="宋体" w:cs="Times New Roman"/>
                <w:smallCaps w:val="0"/>
                <w:color w:val="auto"/>
                <w:spacing w:val="0"/>
                <w:kern w:val="0"/>
                <w:position w:val="0"/>
              </w:rPr>
            </w:pPr>
          </w:p>
          <w:p w14:paraId="1C6891AE">
            <w:pPr>
              <w:tabs>
                <w:tab w:val="left" w:pos="6377"/>
              </w:tabs>
              <w:bidi w:val="0"/>
              <w:jc w:val="left"/>
              <w:rPr>
                <w:rFonts w:hint="default" w:ascii="Times New Roman" w:hAnsi="Times New Roman" w:eastAsia="宋体" w:cs="Times New Roman"/>
                <w:b/>
                <w:smallCaps w:val="0"/>
                <w:color w:val="auto"/>
                <w:spacing w:val="0"/>
                <w:kern w:val="0"/>
                <w:position w:val="0"/>
                <w:sz w:val="24"/>
                <w:szCs w:val="28"/>
                <w:lang w:val="zh-CN" w:eastAsia="zh-CN" w:bidi="ar-SA"/>
              </w:rPr>
            </w:pPr>
            <w:r>
              <w:rPr>
                <w:rStyle w:val="34"/>
                <w:rFonts w:hint="default" w:ascii="Times New Roman" w:hAnsi="Times New Roman" w:eastAsia="宋体" w:cs="Times New Roman"/>
                <w:smallCaps w:val="0"/>
                <w:color w:val="auto"/>
                <w:spacing w:val="0"/>
                <w:kern w:val="0"/>
                <w:position w:val="0"/>
              </w:rPr>
              <w:tab/>
            </w:r>
          </w:p>
        </w:tc>
      </w:tr>
    </w:tbl>
    <w:p w14:paraId="14A7E331">
      <w:pPr>
        <w:pStyle w:val="16"/>
        <w:jc w:val="center"/>
        <w:outlineLvl w:val="0"/>
        <w:rPr>
          <w:rFonts w:hint="default" w:ascii="Times New Roman" w:hAnsi="Times New Roman" w:eastAsia="宋体" w:cs="Times New Roman"/>
          <w:smallCaps w:val="0"/>
          <w:snapToGrid w:val="0"/>
          <w:color w:val="auto"/>
          <w:spacing w:val="0"/>
          <w:kern w:val="0"/>
          <w:position w:val="0"/>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8"/>
        <w:tblW w:w="4999"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Layout w:type="autofit"/>
        <w:tblCellMar>
          <w:top w:w="0" w:type="dxa"/>
          <w:left w:w="108" w:type="dxa"/>
          <w:bottom w:w="0" w:type="dxa"/>
          <w:right w:w="108" w:type="dxa"/>
        </w:tblCellMar>
      </w:tblPr>
      <w:tblGrid>
        <w:gridCol w:w="504"/>
        <w:gridCol w:w="8555"/>
      </w:tblGrid>
      <w:tr w14:paraId="4705A729">
        <w:tblPrEx>
          <w:tblBorders>
            <w:top w:val="single" w:color="auto" w:sz="12" w:space="0"/>
            <w:left w:val="single" w:color="auto" w:sz="12" w:space="0"/>
            <w:bottom w:val="single" w:color="auto" w:sz="12" w:space="0"/>
            <w:right w:val="single" w:color="auto" w:sz="12" w:space="0"/>
            <w:insideH w:val="single" w:color="auto" w:sz="12" w:space="0"/>
            <w:insideV w:val="single" w:color="auto" w:sz="4" w:space="0"/>
          </w:tblBorders>
          <w:tblCellMar>
            <w:top w:w="0" w:type="dxa"/>
            <w:left w:w="108" w:type="dxa"/>
            <w:bottom w:w="0" w:type="dxa"/>
            <w:right w:w="108" w:type="dxa"/>
          </w:tblCellMar>
        </w:tblPrEx>
        <w:tc>
          <w:tcPr>
            <w:tcW w:w="278" w:type="pct"/>
            <w:tcBorders>
              <w:tl2br w:val="nil"/>
              <w:tr2bl w:val="nil"/>
            </w:tcBorders>
            <w:vAlign w:val="center"/>
          </w:tcPr>
          <w:p w14:paraId="2182B097">
            <w:pPr>
              <w:pStyle w:val="16"/>
              <w:adjustRightInd w:val="0"/>
              <w:snapToGrid w:val="0"/>
              <w:spacing w:before="0" w:beforeAutospacing="0" w:after="0" w:afterAutospacing="0"/>
              <w:jc w:val="center"/>
              <w:rPr>
                <w:rFonts w:hint="default" w:ascii="Times New Roman" w:hAnsi="Times New Roman" w:eastAsia="宋体" w:cs="Times New Roman"/>
                <w:b/>
                <w:smallCaps w:val="0"/>
                <w:color w:val="auto"/>
                <w:spacing w:val="0"/>
                <w:kern w:val="0"/>
                <w:position w:val="0"/>
                <w:sz w:val="24"/>
                <w:szCs w:val="24"/>
                <w:lang w:val="en-US" w:eastAsia="zh-CN" w:bidi="ar-SA"/>
              </w:rPr>
            </w:pPr>
            <w:r>
              <w:rPr>
                <w:rFonts w:hint="default" w:ascii="Times New Roman" w:hAnsi="Times New Roman" w:eastAsia="宋体" w:cs="Times New Roman"/>
                <w:b/>
                <w:bCs/>
                <w:smallCaps w:val="0"/>
                <w:color w:val="auto"/>
                <w:spacing w:val="0"/>
                <w:kern w:val="0"/>
                <w:position w:val="0"/>
                <w:szCs w:val="24"/>
              </w:rPr>
              <w:t>与项目有关的原有环境污染问题</w:t>
            </w:r>
          </w:p>
        </w:tc>
        <w:tc>
          <w:tcPr>
            <w:tcW w:w="4721" w:type="pct"/>
            <w:tcBorders>
              <w:tl2br w:val="nil"/>
              <w:tr2bl w:val="nil"/>
            </w:tcBorders>
            <w:vAlign w:val="top"/>
          </w:tcPr>
          <w:p w14:paraId="53915698">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b/>
                <w:bCs w:val="0"/>
                <w:smallCaps w:val="0"/>
                <w:color w:val="auto"/>
                <w:spacing w:val="0"/>
                <w:kern w:val="0"/>
                <w:position w:val="0"/>
                <w:lang w:val="en-US" w:eastAsia="zh-CN"/>
              </w:rPr>
              <w:t>本项目为新建项目，利用现有厂房进行生产，公司原有从事相关销售工作，无原有污染问题。</w:t>
            </w:r>
          </w:p>
        </w:tc>
      </w:tr>
    </w:tbl>
    <w:p w14:paraId="77E39672">
      <w:pPr>
        <w:pStyle w:val="16"/>
        <w:jc w:val="center"/>
        <w:outlineLvl w:val="0"/>
        <w:rPr>
          <w:rFonts w:hint="default" w:ascii="Times New Roman" w:hAnsi="Times New Roman" w:eastAsia="宋体" w:cs="Times New Roman"/>
          <w:smallCaps w:val="0"/>
          <w:snapToGrid w:val="0"/>
          <w:color w:val="auto"/>
          <w:spacing w:val="0"/>
          <w:kern w:val="0"/>
          <w:position w:val="0"/>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DA8C1C1">
      <w:pPr>
        <w:pStyle w:val="16"/>
        <w:jc w:val="center"/>
        <w:outlineLvl w:val="0"/>
        <w:rPr>
          <w:rFonts w:hint="default" w:ascii="Times New Roman" w:hAnsi="Times New Roman" w:eastAsia="宋体" w:cs="Times New Roman"/>
          <w:smallCaps w:val="0"/>
          <w:snapToGrid w:val="0"/>
          <w:color w:val="auto"/>
          <w:spacing w:val="0"/>
          <w:kern w:val="0"/>
          <w:position w:val="0"/>
          <w:sz w:val="30"/>
          <w:szCs w:val="30"/>
        </w:rPr>
      </w:pPr>
      <w:r>
        <w:rPr>
          <w:rFonts w:hint="default" w:ascii="Times New Roman" w:hAnsi="Times New Roman" w:eastAsia="宋体" w:cs="Times New Roman"/>
          <w:smallCaps w:val="0"/>
          <w:snapToGrid w:val="0"/>
          <w:color w:val="auto"/>
          <w:spacing w:val="0"/>
          <w:kern w:val="0"/>
          <w:position w:val="0"/>
          <w:sz w:val="30"/>
          <w:szCs w:val="30"/>
        </w:rPr>
        <w:t>三、区域环境质量现状、环境保护目标及评价标准</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4"/>
      </w:tblGrid>
      <w:tr w14:paraId="60F64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noWrap w:val="0"/>
            <w:vAlign w:val="center"/>
          </w:tcPr>
          <w:p w14:paraId="2636D6D1">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区域</w:t>
            </w:r>
          </w:p>
          <w:p w14:paraId="50F18269">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环境</w:t>
            </w:r>
          </w:p>
          <w:p w14:paraId="5628D36A">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质量</w:t>
            </w:r>
          </w:p>
          <w:p w14:paraId="3E00B4E9">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现状</w:t>
            </w:r>
          </w:p>
        </w:tc>
        <w:tc>
          <w:tcPr>
            <w:tcW w:w="9524" w:type="dxa"/>
            <w:noWrap w:val="0"/>
            <w:vAlign w:val="center"/>
          </w:tcPr>
          <w:p w14:paraId="12DE48BA">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482" w:firstLineChars="200"/>
              <w:jc w:val="both"/>
              <w:textAlignment w:val="auto"/>
              <w:rPr>
                <w:rFonts w:hint="default" w:ascii="Times New Roman" w:hAnsi="Times New Roman" w:eastAsia="宋体" w:cs="Times New Roman"/>
                <w:b/>
                <w:smallCaps w:val="0"/>
                <w:color w:val="auto"/>
                <w:spacing w:val="0"/>
                <w:kern w:val="0"/>
                <w:position w:val="0"/>
              </w:rPr>
            </w:pPr>
            <w:r>
              <w:rPr>
                <w:rFonts w:hint="default" w:ascii="Times New Roman" w:hAnsi="Times New Roman" w:eastAsia="宋体" w:cs="Times New Roman"/>
                <w:b/>
                <w:smallCaps w:val="0"/>
                <w:color w:val="auto"/>
                <w:spacing w:val="0"/>
                <w:kern w:val="0"/>
                <w:position w:val="0"/>
              </w:rPr>
              <w:t>1、环境空气质量</w:t>
            </w:r>
          </w:p>
          <w:p w14:paraId="301AABB3">
            <w:pPr>
              <w:keepNext w:val="0"/>
              <w:keepLines w:val="0"/>
              <w:pageBreakBefore w:val="0"/>
              <w:widowControl w:val="0"/>
              <w:kinsoku/>
              <w:wordWrap/>
              <w:overflowPunct/>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2"/>
              </w:rPr>
              <w:t>（1）</w:t>
            </w:r>
            <w:r>
              <w:rPr>
                <w:rFonts w:hint="default" w:ascii="Times New Roman" w:hAnsi="Times New Roman" w:eastAsia="宋体" w:cs="Times New Roman"/>
                <w:bCs/>
                <w:smallCaps w:val="0"/>
                <w:color w:val="auto"/>
                <w:spacing w:val="0"/>
                <w:kern w:val="0"/>
                <w:position w:val="0"/>
                <w:sz w:val="24"/>
                <w:szCs w:val="21"/>
              </w:rPr>
              <w:t>环境空气质量评价标准</w:t>
            </w:r>
          </w:p>
          <w:p w14:paraId="63FBB2EA">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1"/>
              </w:rPr>
              <w:t>根据《常州市环境空气质量功能区划分规定（2017）》（常政发[2017]160号），本项目所在地空气质量功能区为二类区，常规大气污染物执行《环境空气质量标准》（GB3095-2012）中二级标准，环境空气中SO</w:t>
            </w:r>
            <w:r>
              <w:rPr>
                <w:rFonts w:hint="default" w:ascii="Times New Roman" w:hAnsi="Times New Roman" w:eastAsia="宋体" w:cs="Times New Roman"/>
                <w:bCs/>
                <w:smallCaps w:val="0"/>
                <w:color w:val="auto"/>
                <w:spacing w:val="0"/>
                <w:kern w:val="0"/>
                <w:position w:val="0"/>
                <w:sz w:val="24"/>
                <w:szCs w:val="21"/>
                <w:vertAlign w:val="subscript"/>
              </w:rPr>
              <w:t>2</w:t>
            </w:r>
            <w:r>
              <w:rPr>
                <w:rFonts w:hint="default" w:ascii="Times New Roman" w:hAnsi="Times New Roman" w:eastAsia="宋体" w:cs="Times New Roman"/>
                <w:bCs/>
                <w:smallCaps w:val="0"/>
                <w:color w:val="auto"/>
                <w:spacing w:val="0"/>
                <w:kern w:val="0"/>
                <w:position w:val="0"/>
                <w:sz w:val="24"/>
                <w:szCs w:val="21"/>
              </w:rPr>
              <w:t>、NO</w:t>
            </w:r>
            <w:r>
              <w:rPr>
                <w:rFonts w:hint="default" w:ascii="Times New Roman" w:hAnsi="Times New Roman" w:eastAsia="宋体" w:cs="Times New Roman"/>
                <w:bCs/>
                <w:smallCaps w:val="0"/>
                <w:color w:val="auto"/>
                <w:spacing w:val="0"/>
                <w:kern w:val="0"/>
                <w:position w:val="0"/>
                <w:sz w:val="24"/>
                <w:szCs w:val="21"/>
                <w:vertAlign w:val="subscript"/>
              </w:rPr>
              <w:t>2</w:t>
            </w:r>
            <w:r>
              <w:rPr>
                <w:rFonts w:hint="default" w:ascii="Times New Roman" w:hAnsi="Times New Roman" w:eastAsia="宋体" w:cs="Times New Roman"/>
                <w:bCs/>
                <w:smallCaps w:val="0"/>
                <w:color w:val="auto"/>
                <w:spacing w:val="0"/>
                <w:kern w:val="0"/>
                <w:position w:val="0"/>
                <w:sz w:val="24"/>
                <w:szCs w:val="21"/>
              </w:rPr>
              <w:t>、CO、O</w:t>
            </w:r>
            <w:r>
              <w:rPr>
                <w:rFonts w:hint="default" w:ascii="Times New Roman" w:hAnsi="Times New Roman" w:eastAsia="宋体" w:cs="Times New Roman"/>
                <w:bCs/>
                <w:smallCaps w:val="0"/>
                <w:color w:val="auto"/>
                <w:spacing w:val="0"/>
                <w:kern w:val="0"/>
                <w:position w:val="0"/>
                <w:sz w:val="24"/>
                <w:szCs w:val="21"/>
                <w:vertAlign w:val="subscript"/>
              </w:rPr>
              <w:t>3</w:t>
            </w:r>
            <w:r>
              <w:rPr>
                <w:rFonts w:hint="default" w:ascii="Times New Roman" w:hAnsi="Times New Roman" w:eastAsia="宋体" w:cs="Times New Roman"/>
                <w:bCs/>
                <w:smallCaps w:val="0"/>
                <w:color w:val="auto"/>
                <w:spacing w:val="0"/>
                <w:kern w:val="0"/>
                <w:position w:val="0"/>
                <w:sz w:val="24"/>
                <w:szCs w:val="21"/>
              </w:rPr>
              <w:t>、PM</w:t>
            </w:r>
            <w:r>
              <w:rPr>
                <w:rFonts w:hint="default" w:ascii="Times New Roman" w:hAnsi="Times New Roman" w:eastAsia="宋体" w:cs="Times New Roman"/>
                <w:bCs/>
                <w:smallCaps w:val="0"/>
                <w:color w:val="auto"/>
                <w:spacing w:val="0"/>
                <w:kern w:val="0"/>
                <w:position w:val="0"/>
                <w:sz w:val="24"/>
                <w:szCs w:val="21"/>
                <w:vertAlign w:val="subscript"/>
              </w:rPr>
              <w:t>10</w:t>
            </w:r>
            <w:r>
              <w:rPr>
                <w:rFonts w:hint="default" w:ascii="Times New Roman" w:hAnsi="Times New Roman" w:eastAsia="宋体" w:cs="Times New Roman"/>
                <w:bCs/>
                <w:smallCaps w:val="0"/>
                <w:color w:val="auto"/>
                <w:spacing w:val="0"/>
                <w:kern w:val="0"/>
                <w:position w:val="0"/>
                <w:sz w:val="24"/>
                <w:szCs w:val="21"/>
              </w:rPr>
              <w:t>、PM</w:t>
            </w:r>
            <w:r>
              <w:rPr>
                <w:rFonts w:hint="default" w:ascii="Times New Roman" w:hAnsi="Times New Roman" w:eastAsia="宋体" w:cs="Times New Roman"/>
                <w:bCs/>
                <w:smallCaps w:val="0"/>
                <w:color w:val="auto"/>
                <w:spacing w:val="0"/>
                <w:kern w:val="0"/>
                <w:position w:val="0"/>
                <w:sz w:val="24"/>
                <w:szCs w:val="21"/>
                <w:vertAlign w:val="subscript"/>
              </w:rPr>
              <w:t>2.5</w:t>
            </w:r>
            <w:r>
              <w:rPr>
                <w:rFonts w:hint="default" w:ascii="Times New Roman" w:hAnsi="Times New Roman" w:eastAsia="宋体" w:cs="Times New Roman"/>
                <w:bCs/>
                <w:smallCaps w:val="0"/>
                <w:color w:val="auto"/>
                <w:spacing w:val="0"/>
                <w:kern w:val="0"/>
                <w:position w:val="0"/>
                <w:sz w:val="24"/>
                <w:szCs w:val="21"/>
              </w:rPr>
              <w:t>执行《环境空气质量标准》（GB3095-2012）表1中的二级标准，非甲烷总烃执行《</w:t>
            </w:r>
            <w:r>
              <w:rPr>
                <w:rFonts w:hint="default" w:ascii="Times New Roman" w:hAnsi="Times New Roman" w:eastAsia="宋体" w:cs="Times New Roman"/>
                <w:bCs/>
                <w:smallCaps w:val="0"/>
                <w:color w:val="auto"/>
                <w:spacing w:val="0"/>
                <w:kern w:val="0"/>
                <w:position w:val="0"/>
                <w:sz w:val="24"/>
                <w:szCs w:val="21"/>
                <w:lang w:val="en-US" w:eastAsia="zh-CN"/>
              </w:rPr>
              <w:t>大气污染物综合排放标准详解</w:t>
            </w:r>
            <w:r>
              <w:rPr>
                <w:rFonts w:hint="default" w:ascii="Times New Roman" w:hAnsi="Times New Roman" w:eastAsia="宋体" w:cs="Times New Roman"/>
                <w:bCs/>
                <w:smallCaps w:val="0"/>
                <w:color w:val="auto"/>
                <w:spacing w:val="0"/>
                <w:kern w:val="0"/>
                <w:position w:val="0"/>
                <w:sz w:val="24"/>
                <w:szCs w:val="21"/>
              </w:rPr>
              <w:t>》中标准。具体标准见表3-1。</w:t>
            </w:r>
          </w:p>
          <w:p w14:paraId="694EBB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表3-1环境空气质量标准</w:t>
            </w:r>
          </w:p>
          <w:tbl>
            <w:tblPr>
              <w:tblStyle w:val="17"/>
              <w:tblW w:w="5000" w:type="pct"/>
              <w:jc w:val="center"/>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28"/>
              <w:gridCol w:w="1406"/>
              <w:gridCol w:w="788"/>
              <w:gridCol w:w="977"/>
              <w:gridCol w:w="1371"/>
              <w:gridCol w:w="1239"/>
              <w:gridCol w:w="2069"/>
            </w:tblGrid>
            <w:tr w14:paraId="27F32893">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vMerge w:val="restart"/>
                  <w:tcBorders>
                    <w:tl2br w:val="nil"/>
                    <w:tr2bl w:val="nil"/>
                  </w:tcBorders>
                  <w:noWrap w:val="0"/>
                  <w:vAlign w:val="center"/>
                </w:tcPr>
                <w:p w14:paraId="45E0238F">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序号</w:t>
                  </w:r>
                </w:p>
              </w:tc>
              <w:tc>
                <w:tcPr>
                  <w:tcW w:w="839" w:type="pct"/>
                  <w:vMerge w:val="restart"/>
                  <w:tcBorders>
                    <w:tl2br w:val="nil"/>
                    <w:tr2bl w:val="nil"/>
                  </w:tcBorders>
                  <w:noWrap w:val="0"/>
                  <w:vAlign w:val="center"/>
                </w:tcPr>
                <w:p w14:paraId="563815A7">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污染物</w:t>
                  </w:r>
                </w:p>
              </w:tc>
              <w:tc>
                <w:tcPr>
                  <w:tcW w:w="470" w:type="pct"/>
                  <w:vMerge w:val="restart"/>
                  <w:tcBorders>
                    <w:tl2br w:val="nil"/>
                    <w:tr2bl w:val="nil"/>
                  </w:tcBorders>
                  <w:noWrap w:val="0"/>
                  <w:vAlign w:val="center"/>
                </w:tcPr>
                <w:p w14:paraId="4C30A2BF">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单位</w:t>
                  </w:r>
                </w:p>
              </w:tc>
              <w:tc>
                <w:tcPr>
                  <w:tcW w:w="2140" w:type="pct"/>
                  <w:gridSpan w:val="3"/>
                  <w:tcBorders>
                    <w:tl2br w:val="nil"/>
                    <w:tr2bl w:val="nil"/>
                  </w:tcBorders>
                  <w:noWrap w:val="0"/>
                  <w:vAlign w:val="center"/>
                </w:tcPr>
                <w:p w14:paraId="62EABBAA">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b/>
                      <w:smallCaps w:val="0"/>
                      <w:color w:val="auto"/>
                      <w:spacing w:val="0"/>
                      <w:kern w:val="0"/>
                      <w:position w:val="0"/>
                      <w:sz w:val="21"/>
                      <w:szCs w:val="21"/>
                      <w:lang w:eastAsia="zh-CN"/>
                    </w:rPr>
                  </w:pPr>
                  <w:r>
                    <w:rPr>
                      <w:rFonts w:hint="default" w:ascii="Times New Roman" w:hAnsi="Times New Roman" w:eastAsia="宋体" w:cs="Times New Roman"/>
                      <w:b/>
                      <w:smallCaps w:val="0"/>
                      <w:color w:val="auto"/>
                      <w:spacing w:val="0"/>
                      <w:kern w:val="0"/>
                      <w:position w:val="0"/>
                      <w:sz w:val="21"/>
                      <w:szCs w:val="21"/>
                    </w:rPr>
                    <w:t>浓度限值</w:t>
                  </w:r>
                </w:p>
              </w:tc>
              <w:tc>
                <w:tcPr>
                  <w:tcW w:w="1234" w:type="pct"/>
                  <w:vMerge w:val="restart"/>
                  <w:tcBorders>
                    <w:tl2br w:val="nil"/>
                    <w:tr2bl w:val="nil"/>
                  </w:tcBorders>
                  <w:noWrap w:val="0"/>
                  <w:vAlign w:val="center"/>
                </w:tcPr>
                <w:p w14:paraId="268FEEAC">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标准来源</w:t>
                  </w:r>
                </w:p>
              </w:tc>
            </w:tr>
            <w:tr w14:paraId="4BFC03BE">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vMerge w:val="continue"/>
                  <w:tcBorders>
                    <w:tl2br w:val="nil"/>
                    <w:tr2bl w:val="nil"/>
                  </w:tcBorders>
                  <w:noWrap w:val="0"/>
                  <w:vAlign w:val="center"/>
                </w:tcPr>
                <w:p w14:paraId="1EEA797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c>
                <w:tcPr>
                  <w:tcW w:w="839" w:type="pct"/>
                  <w:vMerge w:val="continue"/>
                  <w:tcBorders>
                    <w:tl2br w:val="nil"/>
                    <w:tr2bl w:val="nil"/>
                  </w:tcBorders>
                  <w:noWrap w:val="0"/>
                  <w:vAlign w:val="center"/>
                </w:tcPr>
                <w:p w14:paraId="187050AD">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c>
                <w:tcPr>
                  <w:tcW w:w="470" w:type="pct"/>
                  <w:vMerge w:val="continue"/>
                  <w:tcBorders>
                    <w:tl2br w:val="nil"/>
                    <w:tr2bl w:val="nil"/>
                  </w:tcBorders>
                  <w:noWrap w:val="0"/>
                  <w:vAlign w:val="center"/>
                </w:tcPr>
                <w:p w14:paraId="756667EA">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c>
                <w:tcPr>
                  <w:tcW w:w="583" w:type="pct"/>
                  <w:tcBorders>
                    <w:tl2br w:val="nil"/>
                    <w:tr2bl w:val="nil"/>
                  </w:tcBorders>
                  <w:noWrap w:val="0"/>
                  <w:vAlign w:val="center"/>
                </w:tcPr>
                <w:p w14:paraId="0C60186F">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年平均</w:t>
                  </w:r>
                </w:p>
              </w:tc>
              <w:tc>
                <w:tcPr>
                  <w:tcW w:w="818" w:type="pct"/>
                  <w:tcBorders>
                    <w:tl2br w:val="nil"/>
                    <w:tr2bl w:val="nil"/>
                  </w:tcBorders>
                  <w:noWrap w:val="0"/>
                  <w:vAlign w:val="center"/>
                </w:tcPr>
                <w:p w14:paraId="4BEB3537">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24小时平均</w:t>
                  </w:r>
                </w:p>
              </w:tc>
              <w:tc>
                <w:tcPr>
                  <w:tcW w:w="737" w:type="pct"/>
                  <w:tcBorders>
                    <w:tl2br w:val="nil"/>
                    <w:tr2bl w:val="nil"/>
                  </w:tcBorders>
                  <w:noWrap w:val="0"/>
                  <w:vAlign w:val="center"/>
                </w:tcPr>
                <w:p w14:paraId="6FD1C8B7">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b/>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1小时平均</w:t>
                  </w:r>
                </w:p>
              </w:tc>
              <w:tc>
                <w:tcPr>
                  <w:tcW w:w="1234" w:type="pct"/>
                  <w:vMerge w:val="continue"/>
                  <w:tcBorders>
                    <w:tl2br w:val="nil"/>
                    <w:tr2bl w:val="nil"/>
                  </w:tcBorders>
                  <w:noWrap w:val="0"/>
                  <w:vAlign w:val="center"/>
                </w:tcPr>
                <w:p w14:paraId="1C97994B">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r>
            <w:tr w14:paraId="7AAE462D">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14:paraId="211D4949">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1</w:t>
                  </w:r>
                </w:p>
              </w:tc>
              <w:tc>
                <w:tcPr>
                  <w:tcW w:w="839" w:type="pct"/>
                  <w:tcBorders>
                    <w:tl2br w:val="nil"/>
                    <w:tr2bl w:val="nil"/>
                  </w:tcBorders>
                  <w:noWrap w:val="0"/>
                  <w:vAlign w:val="center"/>
                </w:tcPr>
                <w:p w14:paraId="166018BD">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SO</w:t>
                  </w:r>
                  <w:r>
                    <w:rPr>
                      <w:rFonts w:hint="default" w:ascii="Times New Roman" w:hAnsi="Times New Roman" w:eastAsia="宋体" w:cs="Times New Roman"/>
                      <w:smallCaps w:val="0"/>
                      <w:color w:val="auto"/>
                      <w:spacing w:val="0"/>
                      <w:kern w:val="0"/>
                      <w:position w:val="0"/>
                      <w:sz w:val="21"/>
                      <w:szCs w:val="21"/>
                      <w:vertAlign w:val="subscript"/>
                    </w:rPr>
                    <w:t>2</w:t>
                  </w:r>
                </w:p>
              </w:tc>
              <w:tc>
                <w:tcPr>
                  <w:tcW w:w="470" w:type="pct"/>
                  <w:vMerge w:val="restart"/>
                  <w:tcBorders>
                    <w:tl2br w:val="nil"/>
                    <w:tr2bl w:val="nil"/>
                  </w:tcBorders>
                  <w:noWrap w:val="0"/>
                  <w:vAlign w:val="center"/>
                </w:tcPr>
                <w:p w14:paraId="3832CC19">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μg/m³</w:t>
                  </w:r>
                </w:p>
              </w:tc>
              <w:tc>
                <w:tcPr>
                  <w:tcW w:w="583" w:type="pct"/>
                  <w:tcBorders>
                    <w:tl2br w:val="nil"/>
                    <w:tr2bl w:val="nil"/>
                  </w:tcBorders>
                  <w:noWrap w:val="0"/>
                  <w:vAlign w:val="center"/>
                </w:tcPr>
                <w:p w14:paraId="566D6D85">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60</w:t>
                  </w:r>
                </w:p>
              </w:tc>
              <w:tc>
                <w:tcPr>
                  <w:tcW w:w="818" w:type="pct"/>
                  <w:tcBorders>
                    <w:tl2br w:val="nil"/>
                    <w:tr2bl w:val="nil"/>
                  </w:tcBorders>
                  <w:noWrap w:val="0"/>
                  <w:vAlign w:val="center"/>
                </w:tcPr>
                <w:p w14:paraId="23C0CEDA">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150</w:t>
                  </w:r>
                </w:p>
              </w:tc>
              <w:tc>
                <w:tcPr>
                  <w:tcW w:w="737" w:type="pct"/>
                  <w:tcBorders>
                    <w:tl2br w:val="nil"/>
                    <w:tr2bl w:val="nil"/>
                  </w:tcBorders>
                  <w:noWrap w:val="0"/>
                  <w:vAlign w:val="center"/>
                </w:tcPr>
                <w:p w14:paraId="45B8B9A4">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w:t>
                  </w:r>
                </w:p>
              </w:tc>
              <w:tc>
                <w:tcPr>
                  <w:tcW w:w="1234" w:type="pct"/>
                  <w:vMerge w:val="restart"/>
                  <w:tcBorders>
                    <w:tl2br w:val="nil"/>
                    <w:tr2bl w:val="nil"/>
                  </w:tcBorders>
                  <w:noWrap w:val="0"/>
                  <w:vAlign w:val="center"/>
                </w:tcPr>
                <w:p w14:paraId="5B4376DF">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《环境空气质量标准》（GB3095-2012）（二级）</w:t>
                  </w:r>
                </w:p>
              </w:tc>
            </w:tr>
            <w:tr w14:paraId="0CDD5C1F">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14:paraId="7DEE5734">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2</w:t>
                  </w:r>
                </w:p>
              </w:tc>
              <w:tc>
                <w:tcPr>
                  <w:tcW w:w="839" w:type="pct"/>
                  <w:tcBorders>
                    <w:tl2br w:val="nil"/>
                    <w:tr2bl w:val="nil"/>
                  </w:tcBorders>
                  <w:noWrap w:val="0"/>
                  <w:vAlign w:val="center"/>
                </w:tcPr>
                <w:p w14:paraId="4920B11D">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NO</w:t>
                  </w:r>
                  <w:r>
                    <w:rPr>
                      <w:rFonts w:hint="default" w:ascii="Times New Roman" w:hAnsi="Times New Roman" w:eastAsia="宋体" w:cs="Times New Roman"/>
                      <w:smallCaps w:val="0"/>
                      <w:color w:val="auto"/>
                      <w:spacing w:val="0"/>
                      <w:kern w:val="0"/>
                      <w:position w:val="0"/>
                      <w:sz w:val="21"/>
                      <w:szCs w:val="21"/>
                      <w:vertAlign w:val="subscript"/>
                    </w:rPr>
                    <w:t>2</w:t>
                  </w:r>
                </w:p>
              </w:tc>
              <w:tc>
                <w:tcPr>
                  <w:tcW w:w="470" w:type="pct"/>
                  <w:vMerge w:val="continue"/>
                  <w:tcBorders>
                    <w:tl2br w:val="nil"/>
                    <w:tr2bl w:val="nil"/>
                  </w:tcBorders>
                  <w:noWrap w:val="0"/>
                  <w:vAlign w:val="center"/>
                </w:tcPr>
                <w:p w14:paraId="7DC55315">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c>
                <w:tcPr>
                  <w:tcW w:w="583" w:type="pct"/>
                  <w:tcBorders>
                    <w:tl2br w:val="nil"/>
                    <w:tr2bl w:val="nil"/>
                  </w:tcBorders>
                  <w:noWrap w:val="0"/>
                  <w:vAlign w:val="center"/>
                </w:tcPr>
                <w:p w14:paraId="6BE00FF8">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40</w:t>
                  </w:r>
                </w:p>
              </w:tc>
              <w:tc>
                <w:tcPr>
                  <w:tcW w:w="818" w:type="pct"/>
                  <w:tcBorders>
                    <w:tl2br w:val="nil"/>
                    <w:tr2bl w:val="nil"/>
                  </w:tcBorders>
                  <w:noWrap w:val="0"/>
                  <w:vAlign w:val="center"/>
                </w:tcPr>
                <w:p w14:paraId="2E966A33">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80</w:t>
                  </w:r>
                </w:p>
              </w:tc>
              <w:tc>
                <w:tcPr>
                  <w:tcW w:w="737" w:type="pct"/>
                  <w:tcBorders>
                    <w:tl2br w:val="nil"/>
                    <w:tr2bl w:val="nil"/>
                  </w:tcBorders>
                  <w:noWrap w:val="0"/>
                  <w:vAlign w:val="center"/>
                </w:tcPr>
                <w:p w14:paraId="677BBB4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w:t>
                  </w:r>
                </w:p>
              </w:tc>
              <w:tc>
                <w:tcPr>
                  <w:tcW w:w="1234" w:type="pct"/>
                  <w:vMerge w:val="continue"/>
                  <w:tcBorders>
                    <w:tl2br w:val="nil"/>
                    <w:tr2bl w:val="nil"/>
                  </w:tcBorders>
                  <w:noWrap w:val="0"/>
                  <w:vAlign w:val="center"/>
                </w:tcPr>
                <w:p w14:paraId="10870F7F">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r>
            <w:tr w14:paraId="2EC7F94E">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14:paraId="6F942FB6">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3</w:t>
                  </w:r>
                </w:p>
              </w:tc>
              <w:tc>
                <w:tcPr>
                  <w:tcW w:w="839" w:type="pct"/>
                  <w:tcBorders>
                    <w:tl2br w:val="nil"/>
                    <w:tr2bl w:val="nil"/>
                  </w:tcBorders>
                  <w:noWrap w:val="0"/>
                  <w:vAlign w:val="center"/>
                </w:tcPr>
                <w:p w14:paraId="0DBB30D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NO</w:t>
                  </w:r>
                  <w:r>
                    <w:rPr>
                      <w:rFonts w:hint="default" w:ascii="Times New Roman" w:hAnsi="Times New Roman" w:eastAsia="宋体" w:cs="Times New Roman"/>
                      <w:smallCaps w:val="0"/>
                      <w:color w:val="auto"/>
                      <w:spacing w:val="0"/>
                      <w:kern w:val="0"/>
                      <w:position w:val="0"/>
                      <w:sz w:val="21"/>
                      <w:szCs w:val="21"/>
                      <w:vertAlign w:val="subscript"/>
                    </w:rPr>
                    <w:t>x</w:t>
                  </w:r>
                </w:p>
              </w:tc>
              <w:tc>
                <w:tcPr>
                  <w:tcW w:w="470" w:type="pct"/>
                  <w:vMerge w:val="continue"/>
                  <w:tcBorders>
                    <w:tl2br w:val="nil"/>
                    <w:tr2bl w:val="nil"/>
                  </w:tcBorders>
                  <w:noWrap w:val="0"/>
                  <w:vAlign w:val="center"/>
                </w:tcPr>
                <w:p w14:paraId="24F70947">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c>
                <w:tcPr>
                  <w:tcW w:w="583" w:type="pct"/>
                  <w:tcBorders>
                    <w:tl2br w:val="nil"/>
                    <w:tr2bl w:val="nil"/>
                  </w:tcBorders>
                  <w:noWrap w:val="0"/>
                  <w:vAlign w:val="center"/>
                </w:tcPr>
                <w:p w14:paraId="5E64583A">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50</w:t>
                  </w:r>
                </w:p>
              </w:tc>
              <w:tc>
                <w:tcPr>
                  <w:tcW w:w="818" w:type="pct"/>
                  <w:tcBorders>
                    <w:tl2br w:val="nil"/>
                    <w:tr2bl w:val="nil"/>
                  </w:tcBorders>
                  <w:noWrap w:val="0"/>
                  <w:vAlign w:val="center"/>
                </w:tcPr>
                <w:p w14:paraId="3D564D12">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100</w:t>
                  </w:r>
                </w:p>
              </w:tc>
              <w:tc>
                <w:tcPr>
                  <w:tcW w:w="737" w:type="pct"/>
                  <w:tcBorders>
                    <w:tl2br w:val="nil"/>
                    <w:tr2bl w:val="nil"/>
                  </w:tcBorders>
                  <w:noWrap w:val="0"/>
                  <w:vAlign w:val="center"/>
                </w:tcPr>
                <w:p w14:paraId="6F7B26C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250</w:t>
                  </w:r>
                </w:p>
              </w:tc>
              <w:tc>
                <w:tcPr>
                  <w:tcW w:w="1234" w:type="pct"/>
                  <w:vMerge w:val="continue"/>
                  <w:tcBorders>
                    <w:tl2br w:val="nil"/>
                    <w:tr2bl w:val="nil"/>
                  </w:tcBorders>
                  <w:noWrap w:val="0"/>
                  <w:vAlign w:val="center"/>
                </w:tcPr>
                <w:p w14:paraId="5E4EC179">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r>
            <w:tr w14:paraId="6A3D8771">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14:paraId="1F22251A">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4</w:t>
                  </w:r>
                </w:p>
              </w:tc>
              <w:tc>
                <w:tcPr>
                  <w:tcW w:w="839" w:type="pct"/>
                  <w:tcBorders>
                    <w:tl2br w:val="nil"/>
                    <w:tr2bl w:val="nil"/>
                  </w:tcBorders>
                  <w:noWrap w:val="0"/>
                  <w:vAlign w:val="center"/>
                </w:tcPr>
                <w:p w14:paraId="709384EE">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PM</w:t>
                  </w:r>
                  <w:r>
                    <w:rPr>
                      <w:rFonts w:hint="default" w:ascii="Times New Roman" w:hAnsi="Times New Roman" w:eastAsia="宋体" w:cs="Times New Roman"/>
                      <w:smallCaps w:val="0"/>
                      <w:color w:val="auto"/>
                      <w:spacing w:val="0"/>
                      <w:kern w:val="0"/>
                      <w:position w:val="0"/>
                      <w:sz w:val="21"/>
                      <w:szCs w:val="21"/>
                      <w:vertAlign w:val="subscript"/>
                    </w:rPr>
                    <w:t>10</w:t>
                  </w:r>
                </w:p>
              </w:tc>
              <w:tc>
                <w:tcPr>
                  <w:tcW w:w="470" w:type="pct"/>
                  <w:vMerge w:val="continue"/>
                  <w:tcBorders>
                    <w:tl2br w:val="nil"/>
                    <w:tr2bl w:val="nil"/>
                  </w:tcBorders>
                  <w:noWrap w:val="0"/>
                  <w:vAlign w:val="center"/>
                </w:tcPr>
                <w:p w14:paraId="5591BC3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c>
                <w:tcPr>
                  <w:tcW w:w="583" w:type="pct"/>
                  <w:tcBorders>
                    <w:tl2br w:val="nil"/>
                    <w:tr2bl w:val="nil"/>
                  </w:tcBorders>
                  <w:noWrap w:val="0"/>
                  <w:vAlign w:val="center"/>
                </w:tcPr>
                <w:p w14:paraId="0734553B">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70</w:t>
                  </w:r>
                </w:p>
              </w:tc>
              <w:tc>
                <w:tcPr>
                  <w:tcW w:w="818" w:type="pct"/>
                  <w:tcBorders>
                    <w:tl2br w:val="nil"/>
                    <w:tr2bl w:val="nil"/>
                  </w:tcBorders>
                  <w:noWrap w:val="0"/>
                  <w:vAlign w:val="center"/>
                </w:tcPr>
                <w:p w14:paraId="1895A016">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150</w:t>
                  </w:r>
                </w:p>
              </w:tc>
              <w:tc>
                <w:tcPr>
                  <w:tcW w:w="737" w:type="pct"/>
                  <w:tcBorders>
                    <w:tl2br w:val="nil"/>
                    <w:tr2bl w:val="nil"/>
                  </w:tcBorders>
                  <w:noWrap w:val="0"/>
                  <w:vAlign w:val="center"/>
                </w:tcPr>
                <w:p w14:paraId="7281F94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w:t>
                  </w:r>
                </w:p>
              </w:tc>
              <w:tc>
                <w:tcPr>
                  <w:tcW w:w="1234" w:type="pct"/>
                  <w:vMerge w:val="continue"/>
                  <w:tcBorders>
                    <w:tl2br w:val="nil"/>
                    <w:tr2bl w:val="nil"/>
                  </w:tcBorders>
                  <w:noWrap w:val="0"/>
                  <w:vAlign w:val="center"/>
                </w:tcPr>
                <w:p w14:paraId="022829ED">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r>
            <w:tr w14:paraId="21F90FA9">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14:paraId="3CFDF966">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5</w:t>
                  </w:r>
                </w:p>
              </w:tc>
              <w:tc>
                <w:tcPr>
                  <w:tcW w:w="839" w:type="pct"/>
                  <w:tcBorders>
                    <w:tl2br w:val="nil"/>
                    <w:tr2bl w:val="nil"/>
                  </w:tcBorders>
                  <w:noWrap w:val="0"/>
                  <w:vAlign w:val="center"/>
                </w:tcPr>
                <w:p w14:paraId="4E4A1CAE">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PM</w:t>
                  </w:r>
                  <w:r>
                    <w:rPr>
                      <w:rFonts w:hint="default" w:ascii="Times New Roman" w:hAnsi="Times New Roman" w:eastAsia="宋体" w:cs="Times New Roman"/>
                      <w:smallCaps w:val="0"/>
                      <w:color w:val="auto"/>
                      <w:spacing w:val="0"/>
                      <w:kern w:val="0"/>
                      <w:position w:val="0"/>
                      <w:sz w:val="21"/>
                      <w:szCs w:val="21"/>
                      <w:vertAlign w:val="subscript"/>
                    </w:rPr>
                    <w:t>2.5</w:t>
                  </w:r>
                </w:p>
              </w:tc>
              <w:tc>
                <w:tcPr>
                  <w:tcW w:w="470" w:type="pct"/>
                  <w:vMerge w:val="continue"/>
                  <w:tcBorders>
                    <w:tl2br w:val="nil"/>
                    <w:tr2bl w:val="nil"/>
                  </w:tcBorders>
                  <w:noWrap w:val="0"/>
                  <w:vAlign w:val="center"/>
                </w:tcPr>
                <w:p w14:paraId="57074608">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c>
                <w:tcPr>
                  <w:tcW w:w="583" w:type="pct"/>
                  <w:tcBorders>
                    <w:tl2br w:val="nil"/>
                    <w:tr2bl w:val="nil"/>
                  </w:tcBorders>
                  <w:noWrap w:val="0"/>
                  <w:vAlign w:val="center"/>
                </w:tcPr>
                <w:p w14:paraId="193F7F75">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35</w:t>
                  </w:r>
                </w:p>
              </w:tc>
              <w:tc>
                <w:tcPr>
                  <w:tcW w:w="818" w:type="pct"/>
                  <w:tcBorders>
                    <w:tl2br w:val="nil"/>
                    <w:tr2bl w:val="nil"/>
                  </w:tcBorders>
                  <w:noWrap w:val="0"/>
                  <w:vAlign w:val="center"/>
                </w:tcPr>
                <w:p w14:paraId="6902B137">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75</w:t>
                  </w:r>
                </w:p>
              </w:tc>
              <w:tc>
                <w:tcPr>
                  <w:tcW w:w="737" w:type="pct"/>
                  <w:tcBorders>
                    <w:tl2br w:val="nil"/>
                    <w:tr2bl w:val="nil"/>
                  </w:tcBorders>
                  <w:noWrap w:val="0"/>
                  <w:vAlign w:val="center"/>
                </w:tcPr>
                <w:p w14:paraId="7515E0B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w:t>
                  </w:r>
                </w:p>
              </w:tc>
              <w:tc>
                <w:tcPr>
                  <w:tcW w:w="1234" w:type="pct"/>
                  <w:vMerge w:val="continue"/>
                  <w:tcBorders>
                    <w:tl2br w:val="nil"/>
                    <w:tr2bl w:val="nil"/>
                  </w:tcBorders>
                  <w:noWrap w:val="0"/>
                  <w:vAlign w:val="center"/>
                </w:tcPr>
                <w:p w14:paraId="5F4D2760">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r>
            <w:tr w14:paraId="153B703D">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14:paraId="602C4B74">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6</w:t>
                  </w:r>
                </w:p>
              </w:tc>
              <w:tc>
                <w:tcPr>
                  <w:tcW w:w="839" w:type="pct"/>
                  <w:tcBorders>
                    <w:tl2br w:val="nil"/>
                    <w:tr2bl w:val="nil"/>
                  </w:tcBorders>
                  <w:noWrap w:val="0"/>
                  <w:vAlign w:val="center"/>
                </w:tcPr>
                <w:p w14:paraId="4CB3C688">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CO</w:t>
                  </w:r>
                </w:p>
              </w:tc>
              <w:tc>
                <w:tcPr>
                  <w:tcW w:w="470" w:type="pct"/>
                  <w:tcBorders>
                    <w:tl2br w:val="nil"/>
                    <w:tr2bl w:val="nil"/>
                  </w:tcBorders>
                  <w:noWrap w:val="0"/>
                  <w:vAlign w:val="center"/>
                </w:tcPr>
                <w:p w14:paraId="7CC3D0D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mg/m³</w:t>
                  </w:r>
                </w:p>
              </w:tc>
              <w:tc>
                <w:tcPr>
                  <w:tcW w:w="583" w:type="pct"/>
                  <w:tcBorders>
                    <w:tl2br w:val="nil"/>
                    <w:tr2bl w:val="nil"/>
                  </w:tcBorders>
                  <w:noWrap w:val="0"/>
                  <w:vAlign w:val="center"/>
                </w:tcPr>
                <w:p w14:paraId="02FCD4AC">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w:t>
                  </w:r>
                </w:p>
              </w:tc>
              <w:tc>
                <w:tcPr>
                  <w:tcW w:w="818" w:type="pct"/>
                  <w:tcBorders>
                    <w:tl2br w:val="nil"/>
                    <w:tr2bl w:val="nil"/>
                  </w:tcBorders>
                  <w:noWrap w:val="0"/>
                  <w:vAlign w:val="center"/>
                </w:tcPr>
                <w:p w14:paraId="08E41302">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4</w:t>
                  </w:r>
                </w:p>
              </w:tc>
              <w:tc>
                <w:tcPr>
                  <w:tcW w:w="737" w:type="pct"/>
                  <w:tcBorders>
                    <w:tl2br w:val="nil"/>
                    <w:tr2bl w:val="nil"/>
                  </w:tcBorders>
                  <w:noWrap w:val="0"/>
                  <w:vAlign w:val="center"/>
                </w:tcPr>
                <w:p w14:paraId="029670E4">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10</w:t>
                  </w:r>
                </w:p>
              </w:tc>
              <w:tc>
                <w:tcPr>
                  <w:tcW w:w="1234" w:type="pct"/>
                  <w:vMerge w:val="continue"/>
                  <w:tcBorders>
                    <w:tl2br w:val="nil"/>
                    <w:tr2bl w:val="nil"/>
                  </w:tcBorders>
                  <w:noWrap w:val="0"/>
                  <w:vAlign w:val="center"/>
                </w:tcPr>
                <w:p w14:paraId="0CDCB72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r>
            <w:tr w14:paraId="36E660E8">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14:paraId="1279E056">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7</w:t>
                  </w:r>
                </w:p>
              </w:tc>
              <w:tc>
                <w:tcPr>
                  <w:tcW w:w="839" w:type="pct"/>
                  <w:tcBorders>
                    <w:tl2br w:val="nil"/>
                    <w:tr2bl w:val="nil"/>
                  </w:tcBorders>
                  <w:noWrap w:val="0"/>
                  <w:vAlign w:val="center"/>
                </w:tcPr>
                <w:p w14:paraId="1BDDF62A">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O</w:t>
                  </w:r>
                  <w:r>
                    <w:rPr>
                      <w:rFonts w:hint="default" w:ascii="Times New Roman" w:hAnsi="Times New Roman" w:eastAsia="宋体" w:cs="Times New Roman"/>
                      <w:smallCaps w:val="0"/>
                      <w:color w:val="auto"/>
                      <w:spacing w:val="0"/>
                      <w:kern w:val="0"/>
                      <w:position w:val="0"/>
                      <w:sz w:val="21"/>
                      <w:szCs w:val="21"/>
                      <w:vertAlign w:val="subscript"/>
                    </w:rPr>
                    <w:t>3</w:t>
                  </w:r>
                </w:p>
              </w:tc>
              <w:tc>
                <w:tcPr>
                  <w:tcW w:w="470" w:type="pct"/>
                  <w:tcBorders>
                    <w:tl2br w:val="nil"/>
                    <w:tr2bl w:val="nil"/>
                  </w:tcBorders>
                  <w:noWrap w:val="0"/>
                  <w:vAlign w:val="center"/>
                </w:tcPr>
                <w:p w14:paraId="3ED0B34A">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μg/m³</w:t>
                  </w:r>
                </w:p>
              </w:tc>
              <w:tc>
                <w:tcPr>
                  <w:tcW w:w="583" w:type="pct"/>
                  <w:tcBorders>
                    <w:tl2br w:val="nil"/>
                    <w:tr2bl w:val="nil"/>
                  </w:tcBorders>
                  <w:noWrap w:val="0"/>
                  <w:vAlign w:val="center"/>
                </w:tcPr>
                <w:p w14:paraId="0ADBE424">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w:t>
                  </w:r>
                </w:p>
              </w:tc>
              <w:tc>
                <w:tcPr>
                  <w:tcW w:w="818" w:type="pct"/>
                  <w:tcBorders>
                    <w:tl2br w:val="nil"/>
                    <w:tr2bl w:val="nil"/>
                  </w:tcBorders>
                  <w:noWrap w:val="0"/>
                  <w:vAlign w:val="center"/>
                </w:tcPr>
                <w:p w14:paraId="68BB75A3">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160（8h平均）</w:t>
                  </w:r>
                </w:p>
              </w:tc>
              <w:tc>
                <w:tcPr>
                  <w:tcW w:w="737" w:type="pct"/>
                  <w:tcBorders>
                    <w:tl2br w:val="nil"/>
                    <w:tr2bl w:val="nil"/>
                  </w:tcBorders>
                  <w:noWrap w:val="0"/>
                  <w:vAlign w:val="center"/>
                </w:tcPr>
                <w:p w14:paraId="55C08A4D">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200</w:t>
                  </w:r>
                </w:p>
              </w:tc>
              <w:tc>
                <w:tcPr>
                  <w:tcW w:w="1234" w:type="pct"/>
                  <w:vMerge w:val="continue"/>
                  <w:tcBorders>
                    <w:tl2br w:val="nil"/>
                    <w:tr2bl w:val="nil"/>
                  </w:tcBorders>
                  <w:noWrap w:val="0"/>
                  <w:vAlign w:val="center"/>
                </w:tcPr>
                <w:p w14:paraId="31CADDC1">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p>
              </w:tc>
            </w:tr>
            <w:tr w14:paraId="2C866580">
              <w:tblPrEx>
                <w:tblBorders>
                  <w:top w:val="single" w:color="auto" w:sz="12" w:space="0"/>
                  <w:left w:val="dotted" w:color="auto" w:sz="4" w:space="0"/>
                  <w:bottom w:val="single" w:color="auto" w:sz="12" w:space="0"/>
                  <w:right w:val="dotted"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5" w:type="pct"/>
                  <w:tcBorders>
                    <w:tl2br w:val="nil"/>
                    <w:tr2bl w:val="nil"/>
                  </w:tcBorders>
                  <w:noWrap w:val="0"/>
                  <w:vAlign w:val="center"/>
                </w:tcPr>
                <w:p w14:paraId="2833BE17">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8</w:t>
                  </w:r>
                </w:p>
              </w:tc>
              <w:tc>
                <w:tcPr>
                  <w:tcW w:w="839" w:type="pct"/>
                  <w:tcBorders>
                    <w:tl2br w:val="nil"/>
                    <w:tr2bl w:val="nil"/>
                  </w:tcBorders>
                  <w:noWrap w:val="0"/>
                  <w:vAlign w:val="center"/>
                </w:tcPr>
                <w:p w14:paraId="26837DF9">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非甲烷总烃</w:t>
                  </w:r>
                </w:p>
              </w:tc>
              <w:tc>
                <w:tcPr>
                  <w:tcW w:w="470" w:type="pct"/>
                  <w:tcBorders>
                    <w:tl2br w:val="nil"/>
                    <w:tr2bl w:val="nil"/>
                  </w:tcBorders>
                  <w:noWrap w:val="0"/>
                  <w:vAlign w:val="center"/>
                </w:tcPr>
                <w:p w14:paraId="1BD75C9E">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mg/m³</w:t>
                  </w:r>
                </w:p>
              </w:tc>
              <w:tc>
                <w:tcPr>
                  <w:tcW w:w="2140" w:type="pct"/>
                  <w:gridSpan w:val="3"/>
                  <w:tcBorders>
                    <w:tl2br w:val="nil"/>
                    <w:tr2bl w:val="nil"/>
                  </w:tcBorders>
                  <w:noWrap w:val="0"/>
                  <w:vAlign w:val="center"/>
                </w:tcPr>
                <w:p w14:paraId="1817034C">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lang w:eastAsia="zh-CN"/>
                    </w:rPr>
                  </w:pPr>
                  <w:r>
                    <w:rPr>
                      <w:rFonts w:hint="default" w:ascii="Times New Roman" w:hAnsi="Times New Roman" w:eastAsia="宋体" w:cs="Times New Roman"/>
                      <w:smallCaps w:val="0"/>
                      <w:color w:val="auto"/>
                      <w:spacing w:val="0"/>
                      <w:kern w:val="0"/>
                      <w:position w:val="0"/>
                      <w:sz w:val="21"/>
                      <w:szCs w:val="21"/>
                    </w:rPr>
                    <w:t>2.0</w:t>
                  </w:r>
                  <w:r>
                    <w:rPr>
                      <w:rFonts w:hint="default" w:ascii="Times New Roman" w:hAnsi="Times New Roman" w:eastAsia="宋体" w:cs="Times New Roman"/>
                      <w:smallCaps w:val="0"/>
                      <w:color w:val="auto"/>
                      <w:spacing w:val="0"/>
                      <w:kern w:val="0"/>
                      <w:position w:val="0"/>
                      <w:sz w:val="21"/>
                      <w:szCs w:val="21"/>
                      <w:lang w:eastAsia="zh-CN"/>
                    </w:rPr>
                    <w:t>（</w:t>
                  </w:r>
                  <w:r>
                    <w:rPr>
                      <w:rFonts w:hint="default" w:ascii="Times New Roman" w:hAnsi="Times New Roman" w:eastAsia="宋体" w:cs="Times New Roman"/>
                      <w:smallCaps w:val="0"/>
                      <w:color w:val="auto"/>
                      <w:spacing w:val="0"/>
                      <w:kern w:val="0"/>
                      <w:position w:val="0"/>
                      <w:sz w:val="21"/>
                      <w:szCs w:val="21"/>
                      <w:lang w:val="en-US" w:eastAsia="zh-CN"/>
                    </w:rPr>
                    <w:t>一次值</w:t>
                  </w:r>
                  <w:r>
                    <w:rPr>
                      <w:rFonts w:hint="default" w:ascii="Times New Roman" w:hAnsi="Times New Roman" w:eastAsia="宋体" w:cs="Times New Roman"/>
                      <w:smallCaps w:val="0"/>
                      <w:color w:val="auto"/>
                      <w:spacing w:val="0"/>
                      <w:kern w:val="0"/>
                      <w:position w:val="0"/>
                      <w:sz w:val="21"/>
                      <w:szCs w:val="21"/>
                      <w:lang w:eastAsia="zh-CN"/>
                    </w:rPr>
                    <w:t>）</w:t>
                  </w:r>
                </w:p>
              </w:tc>
              <w:tc>
                <w:tcPr>
                  <w:tcW w:w="1234" w:type="pct"/>
                  <w:tcBorders>
                    <w:tl2br w:val="nil"/>
                    <w:tr2bl w:val="nil"/>
                  </w:tcBorders>
                  <w:noWrap w:val="0"/>
                  <w:vAlign w:val="center"/>
                </w:tcPr>
                <w:p w14:paraId="338D1FDC">
                  <w:pPr>
                    <w:pStyle w:val="35"/>
                    <w:keepNext w:val="0"/>
                    <w:keepLines w:val="0"/>
                    <w:pageBreakBefore w:val="0"/>
                    <w:widowControl/>
                    <w:kinsoku/>
                    <w:wordWrap/>
                    <w:overflowPunct w:val="0"/>
                    <w:topLinePunct w:val="0"/>
                    <w:autoSpaceDE/>
                    <w:autoSpaceDN/>
                    <w:bidi w:val="0"/>
                    <w:adjustRightInd w:val="0"/>
                    <w:snapToGrid w:val="0"/>
                    <w:spacing w:line="240" w:lineRule="auto"/>
                    <w:ind w:left="0" w:leftChars="0" w:right="0" w:rightChars="0"/>
                    <w:textAlignment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《大气污染物综合排放标准详解》</w:t>
                  </w:r>
                </w:p>
              </w:tc>
            </w:tr>
          </w:tbl>
          <w:p w14:paraId="5372B214">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szCs w:val="22"/>
              </w:rPr>
              <w:t>（2）</w:t>
            </w:r>
            <w:r>
              <w:rPr>
                <w:rFonts w:hint="default" w:ascii="Times New Roman" w:hAnsi="Times New Roman" w:eastAsia="宋体" w:cs="Times New Roman"/>
                <w:smallCaps w:val="0"/>
                <w:color w:val="auto"/>
                <w:spacing w:val="0"/>
                <w:kern w:val="0"/>
                <w:position w:val="0"/>
              </w:rPr>
              <w:t>区域环境质量达标情况分析</w:t>
            </w:r>
          </w:p>
          <w:p w14:paraId="531005EF">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根据《环境影响评价技术导则大气环境》（HJ2.2-2018），项目所在区域达标情况判定优先采用国家或地方生态环境主管部门公开发布的环境质量报告或环境质量报告书中的数据或结论。</w:t>
            </w:r>
          </w:p>
          <w:p w14:paraId="6848EE4D">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lang w:bidi="ar"/>
              </w:rPr>
              <w:t>本次评价选取20</w:t>
            </w:r>
            <w:r>
              <w:rPr>
                <w:rFonts w:hint="default" w:ascii="Times New Roman" w:hAnsi="Times New Roman" w:eastAsia="宋体" w:cs="Times New Roman"/>
                <w:smallCaps w:val="0"/>
                <w:color w:val="auto"/>
                <w:spacing w:val="0"/>
                <w:kern w:val="0"/>
                <w:position w:val="0"/>
                <w:sz w:val="24"/>
                <w:lang w:val="en-US" w:eastAsia="zh-CN" w:bidi="ar"/>
              </w:rPr>
              <w:t>23</w:t>
            </w:r>
            <w:r>
              <w:rPr>
                <w:rFonts w:hint="default" w:ascii="Times New Roman" w:hAnsi="Times New Roman" w:eastAsia="宋体" w:cs="Times New Roman"/>
                <w:smallCaps w:val="0"/>
                <w:color w:val="auto"/>
                <w:spacing w:val="0"/>
                <w:kern w:val="0"/>
                <w:position w:val="0"/>
                <w:sz w:val="24"/>
                <w:lang w:bidi="ar"/>
              </w:rPr>
              <w:t>年作为评价基</w:t>
            </w:r>
            <w:r>
              <w:rPr>
                <w:rFonts w:hint="default" w:ascii="Times New Roman" w:hAnsi="Times New Roman" w:eastAsia="宋体" w:cs="Times New Roman"/>
                <w:smallCaps w:val="0"/>
                <w:color w:val="auto"/>
                <w:spacing w:val="0"/>
                <w:kern w:val="0"/>
                <w:position w:val="0"/>
                <w:sz w:val="24"/>
                <w:szCs w:val="20"/>
                <w:lang w:bidi="ar"/>
              </w:rPr>
              <w:t>准年，根据《202</w:t>
            </w:r>
            <w:r>
              <w:rPr>
                <w:rFonts w:hint="default" w:ascii="Times New Roman" w:hAnsi="Times New Roman" w:eastAsia="宋体" w:cs="Times New Roman"/>
                <w:smallCaps w:val="0"/>
                <w:color w:val="auto"/>
                <w:spacing w:val="0"/>
                <w:kern w:val="0"/>
                <w:position w:val="0"/>
                <w:sz w:val="24"/>
                <w:szCs w:val="20"/>
                <w:lang w:val="en-US" w:eastAsia="zh-CN" w:bidi="ar"/>
              </w:rPr>
              <w:t>3</w:t>
            </w:r>
            <w:r>
              <w:rPr>
                <w:rFonts w:hint="default" w:ascii="Times New Roman" w:hAnsi="Times New Roman" w:eastAsia="宋体" w:cs="Times New Roman"/>
                <w:smallCaps w:val="0"/>
                <w:color w:val="auto"/>
                <w:spacing w:val="0"/>
                <w:kern w:val="0"/>
                <w:position w:val="0"/>
                <w:sz w:val="24"/>
                <w:szCs w:val="20"/>
                <w:lang w:bidi="ar"/>
              </w:rPr>
              <w:t>年常州市</w:t>
            </w:r>
            <w:r>
              <w:rPr>
                <w:rFonts w:hint="default" w:ascii="Times New Roman" w:hAnsi="Times New Roman" w:eastAsia="宋体" w:cs="Times New Roman"/>
                <w:smallCaps w:val="0"/>
                <w:color w:val="auto"/>
                <w:spacing w:val="0"/>
                <w:kern w:val="0"/>
                <w:position w:val="0"/>
                <w:sz w:val="24"/>
                <w:szCs w:val="20"/>
                <w:lang w:val="en-US" w:eastAsia="zh-CN" w:bidi="ar"/>
              </w:rPr>
              <w:t>生态</w:t>
            </w:r>
            <w:r>
              <w:rPr>
                <w:rFonts w:hint="default" w:ascii="Times New Roman" w:hAnsi="Times New Roman" w:eastAsia="宋体" w:cs="Times New Roman"/>
                <w:smallCaps w:val="0"/>
                <w:color w:val="auto"/>
                <w:spacing w:val="0"/>
                <w:kern w:val="0"/>
                <w:position w:val="0"/>
                <w:sz w:val="24"/>
                <w:szCs w:val="20"/>
                <w:lang w:bidi="ar"/>
              </w:rPr>
              <w:t>环境状况公报》，</w:t>
            </w:r>
            <w:r>
              <w:rPr>
                <w:rFonts w:hint="default" w:ascii="Times New Roman" w:hAnsi="Times New Roman" w:eastAsia="宋体" w:cs="Times New Roman"/>
                <w:bCs/>
                <w:smallCaps w:val="0"/>
                <w:color w:val="auto"/>
                <w:spacing w:val="0"/>
                <w:kern w:val="0"/>
                <w:position w:val="0"/>
                <w:sz w:val="24"/>
                <w:lang w:bidi="ar"/>
              </w:rPr>
              <w:t>项目所在区域常州市各评价因子数据见表3-</w:t>
            </w:r>
            <w:r>
              <w:rPr>
                <w:rFonts w:hint="default" w:ascii="Times New Roman" w:hAnsi="Times New Roman" w:eastAsia="宋体" w:cs="Times New Roman"/>
                <w:bCs/>
                <w:smallCaps w:val="0"/>
                <w:color w:val="auto"/>
                <w:spacing w:val="0"/>
                <w:kern w:val="0"/>
                <w:position w:val="0"/>
                <w:sz w:val="24"/>
                <w:lang w:val="en-US" w:eastAsia="zh-CN" w:bidi="ar"/>
              </w:rPr>
              <w:t>2</w:t>
            </w:r>
            <w:r>
              <w:rPr>
                <w:rFonts w:hint="default" w:ascii="Times New Roman" w:hAnsi="Times New Roman" w:eastAsia="宋体" w:cs="Times New Roman"/>
                <w:bCs/>
                <w:smallCaps w:val="0"/>
                <w:color w:val="auto"/>
                <w:spacing w:val="0"/>
                <w:kern w:val="0"/>
                <w:position w:val="0"/>
                <w:sz w:val="24"/>
              </w:rPr>
              <w:t>。</w:t>
            </w:r>
          </w:p>
          <w:p w14:paraId="305841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表3-</w:t>
            </w:r>
            <w:r>
              <w:rPr>
                <w:rFonts w:hint="default" w:ascii="Times New Roman" w:hAnsi="Times New Roman" w:eastAsia="宋体" w:cs="Times New Roman"/>
                <w:b/>
                <w:bCs/>
                <w:smallCaps w:val="0"/>
                <w:color w:val="auto"/>
                <w:spacing w:val="0"/>
                <w:kern w:val="0"/>
                <w:position w:val="0"/>
                <w:szCs w:val="21"/>
                <w:lang w:val="en-US" w:eastAsia="zh-CN"/>
              </w:rPr>
              <w:t>2</w:t>
            </w:r>
            <w:r>
              <w:rPr>
                <w:rFonts w:hint="default" w:ascii="Times New Roman" w:hAnsi="Times New Roman" w:eastAsia="宋体" w:cs="Times New Roman"/>
                <w:b/>
                <w:bCs/>
                <w:smallCaps w:val="0"/>
                <w:color w:val="auto"/>
                <w:spacing w:val="0"/>
                <w:kern w:val="0"/>
                <w:position w:val="0"/>
                <w:szCs w:val="21"/>
              </w:rPr>
              <w:t>大气基本污染物环境质量现状</w:t>
            </w:r>
          </w:p>
          <w:tbl>
            <w:tblPr>
              <w:tblStyle w:val="17"/>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913"/>
              <w:gridCol w:w="2148"/>
              <w:gridCol w:w="1369"/>
              <w:gridCol w:w="1232"/>
              <w:gridCol w:w="1187"/>
              <w:gridCol w:w="766"/>
            </w:tblGrid>
            <w:tr w14:paraId="37B97C46">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tcBorders>
                    <w:tl2br w:val="nil"/>
                    <w:tr2bl w:val="nil"/>
                  </w:tcBorders>
                  <w:noWrap w:val="0"/>
                  <w:vAlign w:val="center"/>
                </w:tcPr>
                <w:p w14:paraId="2B774917">
                  <w:pPr>
                    <w:widowControl/>
                    <w:jc w:val="center"/>
                    <w:rPr>
                      <w:rFonts w:hint="default" w:ascii="Times New Roman" w:hAnsi="Times New Roman" w:eastAsia="宋体" w:cs="Times New Roman"/>
                      <w:b/>
                      <w:bCs/>
                      <w:smallCaps w:val="0"/>
                      <w:color w:val="auto"/>
                      <w:spacing w:val="0"/>
                      <w:szCs w:val="21"/>
                    </w:rPr>
                  </w:pPr>
                  <w:r>
                    <w:rPr>
                      <w:rFonts w:hint="default" w:ascii="Times New Roman" w:hAnsi="Times New Roman" w:eastAsia="宋体" w:cs="Times New Roman"/>
                      <w:b/>
                      <w:bCs/>
                      <w:smallCaps w:val="0"/>
                      <w:color w:val="auto"/>
                      <w:spacing w:val="0"/>
                      <w:szCs w:val="21"/>
                      <w:lang w:bidi="ar"/>
                    </w:rPr>
                    <w:t>区域</w:t>
                  </w:r>
                </w:p>
              </w:tc>
              <w:tc>
                <w:tcPr>
                  <w:tcW w:w="913" w:type="dxa"/>
                  <w:tcBorders>
                    <w:tl2br w:val="nil"/>
                    <w:tr2bl w:val="nil"/>
                  </w:tcBorders>
                  <w:noWrap w:val="0"/>
                  <w:vAlign w:val="center"/>
                </w:tcPr>
                <w:p w14:paraId="43C95596">
                  <w:pPr>
                    <w:widowControl/>
                    <w:jc w:val="center"/>
                    <w:rPr>
                      <w:rFonts w:hint="default" w:ascii="Times New Roman" w:hAnsi="Times New Roman" w:eastAsia="宋体" w:cs="Times New Roman"/>
                      <w:b/>
                      <w:bCs/>
                      <w:smallCaps w:val="0"/>
                      <w:color w:val="auto"/>
                      <w:spacing w:val="0"/>
                      <w:szCs w:val="21"/>
                    </w:rPr>
                  </w:pPr>
                  <w:r>
                    <w:rPr>
                      <w:rFonts w:hint="default" w:ascii="Times New Roman" w:hAnsi="Times New Roman" w:eastAsia="宋体" w:cs="Times New Roman"/>
                      <w:b/>
                      <w:bCs/>
                      <w:smallCaps w:val="0"/>
                      <w:color w:val="auto"/>
                      <w:spacing w:val="0"/>
                      <w:szCs w:val="21"/>
                      <w:lang w:bidi="ar"/>
                    </w:rPr>
                    <w:t>评价因子</w:t>
                  </w:r>
                </w:p>
              </w:tc>
              <w:tc>
                <w:tcPr>
                  <w:tcW w:w="2148" w:type="dxa"/>
                  <w:tcBorders>
                    <w:tl2br w:val="nil"/>
                    <w:tr2bl w:val="nil"/>
                  </w:tcBorders>
                  <w:noWrap w:val="0"/>
                  <w:vAlign w:val="center"/>
                </w:tcPr>
                <w:p w14:paraId="5B5EA8F2">
                  <w:pPr>
                    <w:widowControl/>
                    <w:jc w:val="center"/>
                    <w:rPr>
                      <w:rFonts w:hint="default" w:ascii="Times New Roman" w:hAnsi="Times New Roman" w:eastAsia="宋体" w:cs="Times New Roman"/>
                      <w:b/>
                      <w:bCs/>
                      <w:smallCaps w:val="0"/>
                      <w:color w:val="auto"/>
                      <w:spacing w:val="0"/>
                      <w:szCs w:val="21"/>
                    </w:rPr>
                  </w:pPr>
                  <w:r>
                    <w:rPr>
                      <w:rFonts w:hint="default" w:ascii="Times New Roman" w:hAnsi="Times New Roman" w:eastAsia="宋体" w:cs="Times New Roman"/>
                      <w:b/>
                      <w:bCs/>
                      <w:smallCaps w:val="0"/>
                      <w:color w:val="auto"/>
                      <w:spacing w:val="0"/>
                      <w:szCs w:val="21"/>
                      <w:lang w:bidi="ar"/>
                    </w:rPr>
                    <w:t>平均时段</w:t>
                  </w:r>
                </w:p>
              </w:tc>
              <w:tc>
                <w:tcPr>
                  <w:tcW w:w="1369" w:type="dxa"/>
                  <w:tcBorders>
                    <w:tl2br w:val="nil"/>
                    <w:tr2bl w:val="nil"/>
                  </w:tcBorders>
                  <w:noWrap w:val="0"/>
                  <w:vAlign w:val="center"/>
                </w:tcPr>
                <w:p w14:paraId="08E98E05">
                  <w:pPr>
                    <w:widowControl/>
                    <w:jc w:val="center"/>
                    <w:rPr>
                      <w:rFonts w:hint="default" w:ascii="Times New Roman" w:hAnsi="Times New Roman" w:eastAsia="宋体" w:cs="Times New Roman"/>
                      <w:b/>
                      <w:bCs/>
                      <w:smallCaps w:val="0"/>
                      <w:color w:val="auto"/>
                      <w:spacing w:val="0"/>
                      <w:szCs w:val="21"/>
                    </w:rPr>
                  </w:pPr>
                  <w:r>
                    <w:rPr>
                      <w:rFonts w:hint="default" w:ascii="Times New Roman" w:hAnsi="Times New Roman" w:eastAsia="宋体" w:cs="Times New Roman"/>
                      <w:b/>
                      <w:bCs/>
                      <w:smallCaps w:val="0"/>
                      <w:color w:val="auto"/>
                      <w:spacing w:val="0"/>
                      <w:szCs w:val="21"/>
                      <w:lang w:bidi="ar"/>
                    </w:rPr>
                    <w:t>现状浓度（μg/m</w:t>
                  </w:r>
                  <w:r>
                    <w:rPr>
                      <w:rFonts w:hint="default" w:ascii="Times New Roman" w:hAnsi="Times New Roman" w:eastAsia="宋体" w:cs="Times New Roman"/>
                      <w:b/>
                      <w:bCs/>
                      <w:smallCaps w:val="0"/>
                      <w:color w:val="auto"/>
                      <w:spacing w:val="0"/>
                      <w:szCs w:val="21"/>
                      <w:vertAlign w:val="superscript"/>
                      <w:lang w:bidi="ar"/>
                    </w:rPr>
                    <w:t>3</w:t>
                  </w:r>
                  <w:r>
                    <w:rPr>
                      <w:rFonts w:hint="default" w:ascii="Times New Roman" w:hAnsi="Times New Roman" w:eastAsia="宋体" w:cs="Times New Roman"/>
                      <w:b/>
                      <w:bCs/>
                      <w:smallCaps w:val="0"/>
                      <w:color w:val="auto"/>
                      <w:spacing w:val="0"/>
                      <w:szCs w:val="21"/>
                      <w:lang w:bidi="ar"/>
                    </w:rPr>
                    <w:t>）</w:t>
                  </w:r>
                </w:p>
              </w:tc>
              <w:tc>
                <w:tcPr>
                  <w:tcW w:w="1232" w:type="dxa"/>
                  <w:tcBorders>
                    <w:tl2br w:val="nil"/>
                    <w:tr2bl w:val="nil"/>
                  </w:tcBorders>
                  <w:noWrap w:val="0"/>
                  <w:vAlign w:val="center"/>
                </w:tcPr>
                <w:p w14:paraId="4BA63358">
                  <w:pPr>
                    <w:widowControl/>
                    <w:jc w:val="center"/>
                    <w:rPr>
                      <w:rFonts w:hint="default" w:ascii="Times New Roman" w:hAnsi="Times New Roman" w:eastAsia="宋体" w:cs="Times New Roman"/>
                      <w:b/>
                      <w:bCs/>
                      <w:smallCaps w:val="0"/>
                      <w:color w:val="auto"/>
                      <w:spacing w:val="0"/>
                      <w:szCs w:val="21"/>
                    </w:rPr>
                  </w:pPr>
                  <w:r>
                    <w:rPr>
                      <w:rFonts w:hint="default" w:ascii="Times New Roman" w:hAnsi="Times New Roman" w:eastAsia="宋体" w:cs="Times New Roman"/>
                      <w:b/>
                      <w:bCs/>
                      <w:smallCaps w:val="0"/>
                      <w:color w:val="auto"/>
                      <w:spacing w:val="0"/>
                      <w:szCs w:val="21"/>
                      <w:lang w:bidi="ar"/>
                    </w:rPr>
                    <w:t>标准值（μg/m</w:t>
                  </w:r>
                  <w:r>
                    <w:rPr>
                      <w:rFonts w:hint="default" w:ascii="Times New Roman" w:hAnsi="Times New Roman" w:eastAsia="宋体" w:cs="Times New Roman"/>
                      <w:b/>
                      <w:bCs/>
                      <w:smallCaps w:val="0"/>
                      <w:color w:val="auto"/>
                      <w:spacing w:val="0"/>
                      <w:szCs w:val="21"/>
                      <w:vertAlign w:val="superscript"/>
                      <w:lang w:bidi="ar"/>
                    </w:rPr>
                    <w:t>3</w:t>
                  </w:r>
                  <w:r>
                    <w:rPr>
                      <w:rFonts w:hint="default" w:ascii="Times New Roman" w:hAnsi="Times New Roman" w:eastAsia="宋体" w:cs="Times New Roman"/>
                      <w:b/>
                      <w:bCs/>
                      <w:smallCaps w:val="0"/>
                      <w:color w:val="auto"/>
                      <w:spacing w:val="0"/>
                      <w:szCs w:val="21"/>
                      <w:lang w:bidi="ar"/>
                    </w:rPr>
                    <w:t>）</w:t>
                  </w:r>
                </w:p>
              </w:tc>
              <w:tc>
                <w:tcPr>
                  <w:tcW w:w="1187" w:type="dxa"/>
                  <w:tcBorders>
                    <w:tl2br w:val="nil"/>
                    <w:tr2bl w:val="nil"/>
                  </w:tcBorders>
                  <w:noWrap w:val="0"/>
                  <w:vAlign w:val="center"/>
                </w:tcPr>
                <w:p w14:paraId="74735A1A">
                  <w:pPr>
                    <w:widowControl/>
                    <w:jc w:val="center"/>
                    <w:rPr>
                      <w:rFonts w:hint="default" w:ascii="Times New Roman" w:hAnsi="Times New Roman" w:eastAsia="宋体" w:cs="Times New Roman"/>
                      <w:b/>
                      <w:bCs/>
                      <w:smallCaps w:val="0"/>
                      <w:color w:val="auto"/>
                      <w:spacing w:val="0"/>
                      <w:szCs w:val="21"/>
                      <w:lang w:eastAsia="zh-CN"/>
                    </w:rPr>
                  </w:pPr>
                  <w:r>
                    <w:rPr>
                      <w:rFonts w:hint="default" w:ascii="Times New Roman" w:hAnsi="Times New Roman" w:eastAsia="宋体" w:cs="Times New Roman"/>
                      <w:b/>
                      <w:bCs/>
                      <w:smallCaps w:val="0"/>
                      <w:color w:val="auto"/>
                      <w:spacing w:val="0"/>
                      <w:szCs w:val="21"/>
                      <w:lang w:val="en-US" w:eastAsia="zh-CN" w:bidi="ar"/>
                    </w:rPr>
                    <w:t>达标率（%）</w:t>
                  </w:r>
                </w:p>
              </w:tc>
              <w:tc>
                <w:tcPr>
                  <w:tcW w:w="766" w:type="dxa"/>
                  <w:tcBorders>
                    <w:tl2br w:val="nil"/>
                    <w:tr2bl w:val="nil"/>
                  </w:tcBorders>
                  <w:noWrap w:val="0"/>
                  <w:vAlign w:val="center"/>
                </w:tcPr>
                <w:p w14:paraId="41943270">
                  <w:pPr>
                    <w:widowControl/>
                    <w:jc w:val="center"/>
                    <w:rPr>
                      <w:rFonts w:hint="default" w:ascii="Times New Roman" w:hAnsi="Times New Roman" w:eastAsia="宋体" w:cs="Times New Roman"/>
                      <w:b/>
                      <w:bCs/>
                      <w:smallCaps w:val="0"/>
                      <w:color w:val="auto"/>
                      <w:spacing w:val="0"/>
                      <w:szCs w:val="21"/>
                    </w:rPr>
                  </w:pPr>
                  <w:r>
                    <w:rPr>
                      <w:rFonts w:hint="default" w:ascii="Times New Roman" w:hAnsi="Times New Roman" w:eastAsia="宋体" w:cs="Times New Roman"/>
                      <w:b/>
                      <w:bCs/>
                      <w:smallCaps w:val="0"/>
                      <w:color w:val="auto"/>
                      <w:spacing w:val="0"/>
                      <w:szCs w:val="21"/>
                      <w:lang w:bidi="ar"/>
                    </w:rPr>
                    <w:t>达标情况</w:t>
                  </w:r>
                </w:p>
              </w:tc>
            </w:tr>
            <w:tr w14:paraId="328CEF3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restart"/>
                  <w:tcBorders>
                    <w:tl2br w:val="nil"/>
                    <w:tr2bl w:val="nil"/>
                  </w:tcBorders>
                  <w:noWrap w:val="0"/>
                  <w:vAlign w:val="center"/>
                </w:tcPr>
                <w:p w14:paraId="5EBED525">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常州全市</w:t>
                  </w:r>
                </w:p>
              </w:tc>
              <w:tc>
                <w:tcPr>
                  <w:tcW w:w="913" w:type="dxa"/>
                  <w:vMerge w:val="restart"/>
                  <w:tcBorders>
                    <w:tl2br w:val="nil"/>
                    <w:tr2bl w:val="nil"/>
                  </w:tcBorders>
                  <w:noWrap w:val="0"/>
                  <w:vAlign w:val="center"/>
                </w:tcPr>
                <w:p w14:paraId="55984C22">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SO</w:t>
                  </w:r>
                  <w:r>
                    <w:rPr>
                      <w:rFonts w:hint="default" w:ascii="Times New Roman" w:hAnsi="Times New Roman" w:eastAsia="宋体" w:cs="Times New Roman"/>
                      <w:smallCaps w:val="0"/>
                      <w:color w:val="auto"/>
                      <w:spacing w:val="0"/>
                      <w:szCs w:val="21"/>
                      <w:vertAlign w:val="subscript"/>
                      <w:lang w:bidi="ar"/>
                    </w:rPr>
                    <w:t>2</w:t>
                  </w:r>
                </w:p>
              </w:tc>
              <w:tc>
                <w:tcPr>
                  <w:tcW w:w="2148" w:type="dxa"/>
                  <w:tcBorders>
                    <w:tl2br w:val="nil"/>
                    <w:tr2bl w:val="nil"/>
                  </w:tcBorders>
                  <w:noWrap w:val="0"/>
                  <w:vAlign w:val="center"/>
                </w:tcPr>
                <w:p w14:paraId="293D3DDE">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年平均浓度</w:t>
                  </w:r>
                </w:p>
              </w:tc>
              <w:tc>
                <w:tcPr>
                  <w:tcW w:w="1369" w:type="dxa"/>
                  <w:tcBorders>
                    <w:tl2br w:val="nil"/>
                    <w:tr2bl w:val="nil"/>
                  </w:tcBorders>
                  <w:noWrap w:val="0"/>
                  <w:vAlign w:val="center"/>
                </w:tcPr>
                <w:p w14:paraId="77C090BD">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8</w:t>
                  </w:r>
                </w:p>
              </w:tc>
              <w:tc>
                <w:tcPr>
                  <w:tcW w:w="1232" w:type="dxa"/>
                  <w:tcBorders>
                    <w:tl2br w:val="nil"/>
                    <w:tr2bl w:val="nil"/>
                  </w:tcBorders>
                  <w:noWrap w:val="0"/>
                  <w:vAlign w:val="center"/>
                </w:tcPr>
                <w:p w14:paraId="46878FF5">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60</w:t>
                  </w:r>
                </w:p>
              </w:tc>
              <w:tc>
                <w:tcPr>
                  <w:tcW w:w="1187" w:type="dxa"/>
                  <w:tcBorders>
                    <w:tl2br w:val="nil"/>
                    <w:tr2bl w:val="nil"/>
                  </w:tcBorders>
                  <w:noWrap w:val="0"/>
                  <w:vAlign w:val="center"/>
                </w:tcPr>
                <w:p w14:paraId="1BE0A4A3">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w:t>
                  </w:r>
                </w:p>
              </w:tc>
              <w:tc>
                <w:tcPr>
                  <w:tcW w:w="766" w:type="dxa"/>
                  <w:tcBorders>
                    <w:tl2br w:val="nil"/>
                    <w:tr2bl w:val="nil"/>
                  </w:tcBorders>
                  <w:noWrap w:val="0"/>
                  <w:vAlign w:val="center"/>
                </w:tcPr>
                <w:p w14:paraId="41E2C1A4">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达标</w:t>
                  </w:r>
                </w:p>
              </w:tc>
            </w:tr>
            <w:tr w14:paraId="7FEA708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7374EED2">
                  <w:pPr>
                    <w:widowControl/>
                    <w:jc w:val="center"/>
                    <w:rPr>
                      <w:rFonts w:hint="default" w:ascii="Times New Roman" w:hAnsi="Times New Roman" w:eastAsia="宋体" w:cs="Times New Roman"/>
                      <w:smallCaps w:val="0"/>
                      <w:color w:val="auto"/>
                      <w:spacing w:val="0"/>
                      <w:szCs w:val="21"/>
                      <w:lang w:bidi="ar"/>
                    </w:rPr>
                  </w:pPr>
                </w:p>
              </w:tc>
              <w:tc>
                <w:tcPr>
                  <w:tcW w:w="913" w:type="dxa"/>
                  <w:vMerge w:val="continue"/>
                  <w:tcBorders>
                    <w:tl2br w:val="nil"/>
                    <w:tr2bl w:val="nil"/>
                  </w:tcBorders>
                  <w:noWrap w:val="0"/>
                  <w:vAlign w:val="center"/>
                </w:tcPr>
                <w:p w14:paraId="2709BDFF">
                  <w:pPr>
                    <w:widowControl/>
                    <w:jc w:val="center"/>
                    <w:rPr>
                      <w:rFonts w:hint="default" w:ascii="Times New Roman" w:hAnsi="Times New Roman" w:eastAsia="宋体" w:cs="Times New Roman"/>
                      <w:smallCaps w:val="0"/>
                      <w:color w:val="auto"/>
                      <w:spacing w:val="0"/>
                      <w:szCs w:val="21"/>
                      <w:lang w:bidi="ar"/>
                    </w:rPr>
                  </w:pPr>
                </w:p>
              </w:tc>
              <w:tc>
                <w:tcPr>
                  <w:tcW w:w="2148" w:type="dxa"/>
                  <w:tcBorders>
                    <w:tl2br w:val="nil"/>
                    <w:tr2bl w:val="nil"/>
                  </w:tcBorders>
                  <w:noWrap w:val="0"/>
                  <w:vAlign w:val="center"/>
                </w:tcPr>
                <w:p w14:paraId="6A66327C">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24小时平均第98百分位数</w:t>
                  </w:r>
                </w:p>
              </w:tc>
              <w:tc>
                <w:tcPr>
                  <w:tcW w:w="1369" w:type="dxa"/>
                  <w:tcBorders>
                    <w:tl2br w:val="nil"/>
                    <w:tr2bl w:val="nil"/>
                  </w:tcBorders>
                  <w:noWrap w:val="0"/>
                  <w:vAlign w:val="center"/>
                </w:tcPr>
                <w:p w14:paraId="2046FD19">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4-17</w:t>
                  </w:r>
                </w:p>
              </w:tc>
              <w:tc>
                <w:tcPr>
                  <w:tcW w:w="1232" w:type="dxa"/>
                  <w:tcBorders>
                    <w:tl2br w:val="nil"/>
                    <w:tr2bl w:val="nil"/>
                  </w:tcBorders>
                  <w:noWrap w:val="0"/>
                  <w:vAlign w:val="center"/>
                </w:tcPr>
                <w:p w14:paraId="5AA5DDEC">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150</w:t>
                  </w:r>
                </w:p>
              </w:tc>
              <w:tc>
                <w:tcPr>
                  <w:tcW w:w="1187" w:type="dxa"/>
                  <w:tcBorders>
                    <w:tl2br w:val="nil"/>
                    <w:tr2bl w:val="nil"/>
                  </w:tcBorders>
                  <w:noWrap w:val="0"/>
                  <w:vAlign w:val="center"/>
                </w:tcPr>
                <w:p w14:paraId="5E8C9FB9">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100</w:t>
                  </w:r>
                </w:p>
              </w:tc>
              <w:tc>
                <w:tcPr>
                  <w:tcW w:w="766" w:type="dxa"/>
                  <w:tcBorders>
                    <w:tl2br w:val="nil"/>
                    <w:tr2bl w:val="nil"/>
                  </w:tcBorders>
                  <w:noWrap w:val="0"/>
                  <w:vAlign w:val="center"/>
                </w:tcPr>
                <w:p w14:paraId="02D07FEF">
                  <w:pPr>
                    <w:widowControl/>
                    <w:jc w:val="center"/>
                    <w:rPr>
                      <w:rFonts w:hint="default" w:ascii="Times New Roman" w:hAnsi="Times New Roman" w:eastAsia="宋体" w:cs="Times New Roman"/>
                      <w:smallCaps w:val="0"/>
                      <w:color w:val="auto"/>
                      <w:spacing w:val="0"/>
                      <w:szCs w:val="21"/>
                      <w:lang w:eastAsia="zh-CN" w:bidi="ar"/>
                    </w:rPr>
                  </w:pPr>
                  <w:r>
                    <w:rPr>
                      <w:rFonts w:hint="default" w:ascii="Times New Roman" w:hAnsi="Times New Roman" w:eastAsia="宋体" w:cs="Times New Roman"/>
                      <w:smallCaps w:val="0"/>
                      <w:color w:val="auto"/>
                      <w:spacing w:val="0"/>
                      <w:szCs w:val="21"/>
                      <w:lang w:bidi="ar"/>
                    </w:rPr>
                    <w:t>达标</w:t>
                  </w:r>
                </w:p>
              </w:tc>
            </w:tr>
            <w:tr w14:paraId="5DC9A04A">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14E5D81C">
                  <w:pPr>
                    <w:rPr>
                      <w:rFonts w:hint="default" w:ascii="Times New Roman" w:hAnsi="Times New Roman" w:eastAsia="宋体" w:cs="Times New Roman"/>
                      <w:smallCaps w:val="0"/>
                      <w:color w:val="auto"/>
                      <w:spacing w:val="0"/>
                      <w:sz w:val="20"/>
                      <w:szCs w:val="20"/>
                    </w:rPr>
                  </w:pPr>
                </w:p>
              </w:tc>
              <w:tc>
                <w:tcPr>
                  <w:tcW w:w="913" w:type="dxa"/>
                  <w:vMerge w:val="restart"/>
                  <w:tcBorders>
                    <w:tl2br w:val="nil"/>
                    <w:tr2bl w:val="nil"/>
                  </w:tcBorders>
                  <w:noWrap w:val="0"/>
                  <w:vAlign w:val="center"/>
                </w:tcPr>
                <w:p w14:paraId="312FAA26">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NO</w:t>
                  </w:r>
                  <w:r>
                    <w:rPr>
                      <w:rFonts w:hint="default" w:ascii="Times New Roman" w:hAnsi="Times New Roman" w:eastAsia="宋体" w:cs="Times New Roman"/>
                      <w:smallCaps w:val="0"/>
                      <w:color w:val="auto"/>
                      <w:spacing w:val="0"/>
                      <w:szCs w:val="21"/>
                      <w:vertAlign w:val="subscript"/>
                      <w:lang w:bidi="ar"/>
                    </w:rPr>
                    <w:t>2</w:t>
                  </w:r>
                </w:p>
              </w:tc>
              <w:tc>
                <w:tcPr>
                  <w:tcW w:w="2148" w:type="dxa"/>
                  <w:tcBorders>
                    <w:tl2br w:val="nil"/>
                    <w:tr2bl w:val="nil"/>
                  </w:tcBorders>
                  <w:noWrap w:val="0"/>
                  <w:vAlign w:val="center"/>
                </w:tcPr>
                <w:p w14:paraId="16E1C993">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年平均浓度</w:t>
                  </w:r>
                </w:p>
              </w:tc>
              <w:tc>
                <w:tcPr>
                  <w:tcW w:w="1369" w:type="dxa"/>
                  <w:tcBorders>
                    <w:tl2br w:val="nil"/>
                    <w:tr2bl w:val="nil"/>
                  </w:tcBorders>
                  <w:noWrap w:val="0"/>
                  <w:vAlign w:val="center"/>
                </w:tcPr>
                <w:p w14:paraId="672179A2">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30</w:t>
                  </w:r>
                </w:p>
              </w:tc>
              <w:tc>
                <w:tcPr>
                  <w:tcW w:w="1232" w:type="dxa"/>
                  <w:tcBorders>
                    <w:tl2br w:val="nil"/>
                    <w:tr2bl w:val="nil"/>
                  </w:tcBorders>
                  <w:noWrap w:val="0"/>
                  <w:vAlign w:val="center"/>
                </w:tcPr>
                <w:p w14:paraId="501B1EF3">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40</w:t>
                  </w:r>
                </w:p>
              </w:tc>
              <w:tc>
                <w:tcPr>
                  <w:tcW w:w="1187" w:type="dxa"/>
                  <w:tcBorders>
                    <w:tl2br w:val="nil"/>
                    <w:tr2bl w:val="nil"/>
                  </w:tcBorders>
                  <w:noWrap w:val="0"/>
                  <w:vAlign w:val="center"/>
                </w:tcPr>
                <w:p w14:paraId="508FED4F">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w:t>
                  </w:r>
                </w:p>
              </w:tc>
              <w:tc>
                <w:tcPr>
                  <w:tcW w:w="766" w:type="dxa"/>
                  <w:tcBorders>
                    <w:tl2br w:val="nil"/>
                    <w:tr2bl w:val="nil"/>
                  </w:tcBorders>
                  <w:noWrap w:val="0"/>
                  <w:vAlign w:val="center"/>
                </w:tcPr>
                <w:p w14:paraId="0C7A1741">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达标</w:t>
                  </w:r>
                </w:p>
              </w:tc>
            </w:tr>
            <w:tr w14:paraId="2CD6408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4651C473">
                  <w:pPr>
                    <w:rPr>
                      <w:rFonts w:hint="default" w:ascii="Times New Roman" w:hAnsi="Times New Roman" w:eastAsia="宋体" w:cs="Times New Roman"/>
                      <w:smallCaps w:val="0"/>
                      <w:color w:val="auto"/>
                      <w:spacing w:val="0"/>
                      <w:sz w:val="20"/>
                      <w:szCs w:val="20"/>
                    </w:rPr>
                  </w:pPr>
                </w:p>
              </w:tc>
              <w:tc>
                <w:tcPr>
                  <w:tcW w:w="913" w:type="dxa"/>
                  <w:vMerge w:val="continue"/>
                  <w:tcBorders>
                    <w:tl2br w:val="nil"/>
                    <w:tr2bl w:val="nil"/>
                  </w:tcBorders>
                  <w:noWrap w:val="0"/>
                  <w:vAlign w:val="center"/>
                </w:tcPr>
                <w:p w14:paraId="2FF9D2D3">
                  <w:pPr>
                    <w:widowControl/>
                    <w:jc w:val="center"/>
                    <w:rPr>
                      <w:rFonts w:hint="default" w:ascii="Times New Roman" w:hAnsi="Times New Roman" w:eastAsia="宋体" w:cs="Times New Roman"/>
                      <w:smallCaps w:val="0"/>
                      <w:color w:val="auto"/>
                      <w:spacing w:val="0"/>
                      <w:szCs w:val="21"/>
                      <w:lang w:bidi="ar"/>
                    </w:rPr>
                  </w:pPr>
                </w:p>
              </w:tc>
              <w:tc>
                <w:tcPr>
                  <w:tcW w:w="2148" w:type="dxa"/>
                  <w:tcBorders>
                    <w:tl2br w:val="nil"/>
                    <w:tr2bl w:val="nil"/>
                  </w:tcBorders>
                  <w:noWrap w:val="0"/>
                  <w:vAlign w:val="center"/>
                </w:tcPr>
                <w:p w14:paraId="11CBDA5E">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val="en-US" w:eastAsia="zh-CN" w:bidi="ar"/>
                    </w:rPr>
                    <w:t>24小时平均第98百分位数</w:t>
                  </w:r>
                </w:p>
              </w:tc>
              <w:tc>
                <w:tcPr>
                  <w:tcW w:w="1369" w:type="dxa"/>
                  <w:tcBorders>
                    <w:tl2br w:val="nil"/>
                    <w:tr2bl w:val="nil"/>
                  </w:tcBorders>
                  <w:noWrap w:val="0"/>
                  <w:vAlign w:val="center"/>
                </w:tcPr>
                <w:p w14:paraId="17BC4B2E">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6-106</w:t>
                  </w:r>
                </w:p>
              </w:tc>
              <w:tc>
                <w:tcPr>
                  <w:tcW w:w="1232" w:type="dxa"/>
                  <w:tcBorders>
                    <w:tl2br w:val="nil"/>
                    <w:tr2bl w:val="nil"/>
                  </w:tcBorders>
                  <w:noWrap w:val="0"/>
                  <w:vAlign w:val="center"/>
                </w:tcPr>
                <w:p w14:paraId="61A3F49A">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80</w:t>
                  </w:r>
                </w:p>
              </w:tc>
              <w:tc>
                <w:tcPr>
                  <w:tcW w:w="1187" w:type="dxa"/>
                  <w:tcBorders>
                    <w:tl2br w:val="nil"/>
                    <w:tr2bl w:val="nil"/>
                  </w:tcBorders>
                  <w:noWrap w:val="0"/>
                  <w:vAlign w:val="center"/>
                </w:tcPr>
                <w:p w14:paraId="04AF3BA4">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98.1</w:t>
                  </w:r>
                </w:p>
              </w:tc>
              <w:tc>
                <w:tcPr>
                  <w:tcW w:w="766" w:type="dxa"/>
                  <w:tcBorders>
                    <w:tl2br w:val="nil"/>
                    <w:tr2bl w:val="nil"/>
                  </w:tcBorders>
                  <w:noWrap w:val="0"/>
                  <w:vAlign w:val="center"/>
                </w:tcPr>
                <w:p w14:paraId="4F736E4F">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bidi="ar"/>
                    </w:rPr>
                    <w:t>达标</w:t>
                  </w:r>
                </w:p>
              </w:tc>
            </w:tr>
            <w:tr w14:paraId="6B66AA6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659B26EA">
                  <w:pPr>
                    <w:rPr>
                      <w:rFonts w:hint="default" w:ascii="Times New Roman" w:hAnsi="Times New Roman" w:eastAsia="宋体" w:cs="Times New Roman"/>
                      <w:smallCaps w:val="0"/>
                      <w:color w:val="auto"/>
                      <w:spacing w:val="0"/>
                      <w:sz w:val="20"/>
                      <w:szCs w:val="20"/>
                    </w:rPr>
                  </w:pPr>
                </w:p>
              </w:tc>
              <w:tc>
                <w:tcPr>
                  <w:tcW w:w="913" w:type="dxa"/>
                  <w:vMerge w:val="restart"/>
                  <w:tcBorders>
                    <w:tl2br w:val="nil"/>
                    <w:tr2bl w:val="nil"/>
                  </w:tcBorders>
                  <w:noWrap w:val="0"/>
                  <w:vAlign w:val="center"/>
                </w:tcPr>
                <w:p w14:paraId="3011BDDF">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PM</w:t>
                  </w:r>
                  <w:r>
                    <w:rPr>
                      <w:rFonts w:hint="default" w:ascii="Times New Roman" w:hAnsi="Times New Roman" w:eastAsia="宋体" w:cs="Times New Roman"/>
                      <w:smallCaps w:val="0"/>
                      <w:color w:val="auto"/>
                      <w:spacing w:val="0"/>
                      <w:szCs w:val="21"/>
                      <w:vertAlign w:val="subscript"/>
                      <w:lang w:bidi="ar"/>
                    </w:rPr>
                    <w:t>10</w:t>
                  </w:r>
                </w:p>
              </w:tc>
              <w:tc>
                <w:tcPr>
                  <w:tcW w:w="2148" w:type="dxa"/>
                  <w:tcBorders>
                    <w:tl2br w:val="nil"/>
                    <w:tr2bl w:val="nil"/>
                  </w:tcBorders>
                  <w:noWrap w:val="0"/>
                  <w:vAlign w:val="center"/>
                </w:tcPr>
                <w:p w14:paraId="5BD2FA3D">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年平均浓度</w:t>
                  </w:r>
                </w:p>
              </w:tc>
              <w:tc>
                <w:tcPr>
                  <w:tcW w:w="1369" w:type="dxa"/>
                  <w:tcBorders>
                    <w:tl2br w:val="nil"/>
                    <w:tr2bl w:val="nil"/>
                  </w:tcBorders>
                  <w:noWrap w:val="0"/>
                  <w:vAlign w:val="center"/>
                </w:tcPr>
                <w:p w14:paraId="31421AF9">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57</w:t>
                  </w:r>
                </w:p>
              </w:tc>
              <w:tc>
                <w:tcPr>
                  <w:tcW w:w="1232" w:type="dxa"/>
                  <w:tcBorders>
                    <w:tl2br w:val="nil"/>
                    <w:tr2bl w:val="nil"/>
                  </w:tcBorders>
                  <w:noWrap w:val="0"/>
                  <w:vAlign w:val="center"/>
                </w:tcPr>
                <w:p w14:paraId="38DF7CD9">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70</w:t>
                  </w:r>
                </w:p>
              </w:tc>
              <w:tc>
                <w:tcPr>
                  <w:tcW w:w="1187" w:type="dxa"/>
                  <w:tcBorders>
                    <w:tl2br w:val="nil"/>
                    <w:tr2bl w:val="nil"/>
                  </w:tcBorders>
                  <w:noWrap w:val="0"/>
                  <w:vAlign w:val="center"/>
                </w:tcPr>
                <w:p w14:paraId="4FC52675">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w:t>
                  </w:r>
                </w:p>
              </w:tc>
              <w:tc>
                <w:tcPr>
                  <w:tcW w:w="766" w:type="dxa"/>
                  <w:tcBorders>
                    <w:tl2br w:val="nil"/>
                    <w:tr2bl w:val="nil"/>
                  </w:tcBorders>
                  <w:noWrap w:val="0"/>
                  <w:vAlign w:val="center"/>
                </w:tcPr>
                <w:p w14:paraId="06E15B8B">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达标</w:t>
                  </w:r>
                </w:p>
              </w:tc>
            </w:tr>
            <w:tr w14:paraId="41051A7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188AA8F0">
                  <w:pPr>
                    <w:rPr>
                      <w:rFonts w:hint="default" w:ascii="Times New Roman" w:hAnsi="Times New Roman" w:eastAsia="宋体" w:cs="Times New Roman"/>
                      <w:smallCaps w:val="0"/>
                      <w:color w:val="auto"/>
                      <w:spacing w:val="0"/>
                      <w:sz w:val="20"/>
                      <w:szCs w:val="20"/>
                    </w:rPr>
                  </w:pPr>
                </w:p>
              </w:tc>
              <w:tc>
                <w:tcPr>
                  <w:tcW w:w="913" w:type="dxa"/>
                  <w:vMerge w:val="continue"/>
                  <w:tcBorders>
                    <w:tl2br w:val="nil"/>
                    <w:tr2bl w:val="nil"/>
                  </w:tcBorders>
                  <w:noWrap w:val="0"/>
                  <w:vAlign w:val="center"/>
                </w:tcPr>
                <w:p w14:paraId="5EC54D55">
                  <w:pPr>
                    <w:widowControl/>
                    <w:jc w:val="center"/>
                    <w:rPr>
                      <w:rFonts w:hint="default" w:ascii="Times New Roman" w:hAnsi="Times New Roman" w:eastAsia="宋体" w:cs="Times New Roman"/>
                      <w:smallCaps w:val="0"/>
                      <w:color w:val="auto"/>
                      <w:spacing w:val="0"/>
                      <w:szCs w:val="21"/>
                      <w:lang w:bidi="ar"/>
                    </w:rPr>
                  </w:pPr>
                </w:p>
              </w:tc>
              <w:tc>
                <w:tcPr>
                  <w:tcW w:w="2148" w:type="dxa"/>
                  <w:tcBorders>
                    <w:tl2br w:val="nil"/>
                    <w:tr2bl w:val="nil"/>
                  </w:tcBorders>
                  <w:noWrap w:val="0"/>
                  <w:vAlign w:val="center"/>
                </w:tcPr>
                <w:p w14:paraId="1E5BCE05">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val="en-US" w:eastAsia="zh-CN" w:bidi="ar"/>
                    </w:rPr>
                    <w:t>24小时平均第95百分位数</w:t>
                  </w:r>
                </w:p>
              </w:tc>
              <w:tc>
                <w:tcPr>
                  <w:tcW w:w="1369" w:type="dxa"/>
                  <w:tcBorders>
                    <w:tl2br w:val="nil"/>
                    <w:tr2bl w:val="nil"/>
                  </w:tcBorders>
                  <w:noWrap w:val="0"/>
                  <w:vAlign w:val="center"/>
                </w:tcPr>
                <w:p w14:paraId="5F42B57D">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12-188</w:t>
                  </w:r>
                </w:p>
              </w:tc>
              <w:tc>
                <w:tcPr>
                  <w:tcW w:w="1232" w:type="dxa"/>
                  <w:tcBorders>
                    <w:tl2br w:val="nil"/>
                    <w:tr2bl w:val="nil"/>
                  </w:tcBorders>
                  <w:noWrap w:val="0"/>
                  <w:vAlign w:val="center"/>
                </w:tcPr>
                <w:p w14:paraId="06827D4E">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150</w:t>
                  </w:r>
                </w:p>
              </w:tc>
              <w:tc>
                <w:tcPr>
                  <w:tcW w:w="1187" w:type="dxa"/>
                  <w:tcBorders>
                    <w:tl2br w:val="nil"/>
                    <w:tr2bl w:val="nil"/>
                  </w:tcBorders>
                  <w:noWrap w:val="0"/>
                  <w:vAlign w:val="center"/>
                </w:tcPr>
                <w:p w14:paraId="1AEA06A0">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98.8</w:t>
                  </w:r>
                </w:p>
              </w:tc>
              <w:tc>
                <w:tcPr>
                  <w:tcW w:w="766" w:type="dxa"/>
                  <w:tcBorders>
                    <w:tl2br w:val="nil"/>
                    <w:tr2bl w:val="nil"/>
                  </w:tcBorders>
                  <w:noWrap w:val="0"/>
                  <w:vAlign w:val="center"/>
                </w:tcPr>
                <w:p w14:paraId="5E78D943">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bidi="ar"/>
                    </w:rPr>
                    <w:t>达标</w:t>
                  </w:r>
                </w:p>
              </w:tc>
            </w:tr>
            <w:tr w14:paraId="7D80255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1C87EE39">
                  <w:pPr>
                    <w:rPr>
                      <w:rFonts w:hint="default" w:ascii="Times New Roman" w:hAnsi="Times New Roman" w:eastAsia="宋体" w:cs="Times New Roman"/>
                      <w:smallCaps w:val="0"/>
                      <w:color w:val="auto"/>
                      <w:spacing w:val="0"/>
                      <w:sz w:val="20"/>
                      <w:szCs w:val="20"/>
                    </w:rPr>
                  </w:pPr>
                </w:p>
              </w:tc>
              <w:tc>
                <w:tcPr>
                  <w:tcW w:w="913" w:type="dxa"/>
                  <w:vMerge w:val="restart"/>
                  <w:tcBorders>
                    <w:tl2br w:val="nil"/>
                    <w:tr2bl w:val="nil"/>
                  </w:tcBorders>
                  <w:noWrap w:val="0"/>
                  <w:vAlign w:val="center"/>
                </w:tcPr>
                <w:p w14:paraId="2FDC587C">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PM</w:t>
                  </w:r>
                  <w:r>
                    <w:rPr>
                      <w:rFonts w:hint="default" w:ascii="Times New Roman" w:hAnsi="Times New Roman" w:eastAsia="宋体" w:cs="Times New Roman"/>
                      <w:smallCaps w:val="0"/>
                      <w:color w:val="auto"/>
                      <w:spacing w:val="0"/>
                      <w:szCs w:val="21"/>
                      <w:vertAlign w:val="subscript"/>
                      <w:lang w:bidi="ar"/>
                    </w:rPr>
                    <w:t>2.5</w:t>
                  </w:r>
                </w:p>
              </w:tc>
              <w:tc>
                <w:tcPr>
                  <w:tcW w:w="2148" w:type="dxa"/>
                  <w:tcBorders>
                    <w:tl2br w:val="nil"/>
                    <w:tr2bl w:val="nil"/>
                  </w:tcBorders>
                  <w:noWrap w:val="0"/>
                  <w:vAlign w:val="center"/>
                </w:tcPr>
                <w:p w14:paraId="32FFC0A7">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年平均浓度</w:t>
                  </w:r>
                </w:p>
              </w:tc>
              <w:tc>
                <w:tcPr>
                  <w:tcW w:w="1369" w:type="dxa"/>
                  <w:tcBorders>
                    <w:tl2br w:val="nil"/>
                    <w:tr2bl w:val="nil"/>
                  </w:tcBorders>
                  <w:noWrap w:val="0"/>
                  <w:vAlign w:val="center"/>
                </w:tcPr>
                <w:p w14:paraId="4F09D69D">
                  <w:pPr>
                    <w:widowControl/>
                    <w:jc w:val="center"/>
                    <w:rPr>
                      <w:rFonts w:hint="default" w:ascii="Times New Roman" w:hAnsi="Times New Roman" w:eastAsia="宋体" w:cs="Times New Roman"/>
                      <w:smallCaps w:val="0"/>
                      <w:color w:val="auto"/>
                      <w:spacing w:val="0"/>
                      <w:szCs w:val="21"/>
                      <w:lang w:val="en-US" w:bidi="ar"/>
                    </w:rPr>
                  </w:pPr>
                  <w:r>
                    <w:rPr>
                      <w:rFonts w:hint="default" w:ascii="Times New Roman" w:hAnsi="Times New Roman" w:eastAsia="宋体" w:cs="Times New Roman"/>
                      <w:smallCaps w:val="0"/>
                      <w:color w:val="auto"/>
                      <w:spacing w:val="0"/>
                      <w:szCs w:val="21"/>
                      <w:lang w:val="en-US" w:eastAsia="zh-CN" w:bidi="ar"/>
                    </w:rPr>
                    <w:t>34</w:t>
                  </w:r>
                </w:p>
              </w:tc>
              <w:tc>
                <w:tcPr>
                  <w:tcW w:w="1232" w:type="dxa"/>
                  <w:tcBorders>
                    <w:tl2br w:val="nil"/>
                    <w:tr2bl w:val="nil"/>
                  </w:tcBorders>
                  <w:noWrap w:val="0"/>
                  <w:vAlign w:val="center"/>
                </w:tcPr>
                <w:p w14:paraId="214239B8">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35</w:t>
                  </w:r>
                </w:p>
              </w:tc>
              <w:tc>
                <w:tcPr>
                  <w:tcW w:w="1187" w:type="dxa"/>
                  <w:tcBorders>
                    <w:tl2br w:val="nil"/>
                    <w:tr2bl w:val="nil"/>
                  </w:tcBorders>
                  <w:noWrap w:val="0"/>
                  <w:vAlign w:val="center"/>
                </w:tcPr>
                <w:p w14:paraId="252601E7">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w:t>
                  </w:r>
                </w:p>
              </w:tc>
              <w:tc>
                <w:tcPr>
                  <w:tcW w:w="766" w:type="dxa"/>
                  <w:tcBorders>
                    <w:tl2br w:val="nil"/>
                    <w:tr2bl w:val="nil"/>
                  </w:tcBorders>
                  <w:noWrap w:val="0"/>
                  <w:vAlign w:val="center"/>
                </w:tcPr>
                <w:p w14:paraId="66C2C021">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达标</w:t>
                  </w:r>
                </w:p>
              </w:tc>
            </w:tr>
            <w:tr w14:paraId="3AE88DE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3E82EBC0">
                  <w:pPr>
                    <w:rPr>
                      <w:rFonts w:hint="default" w:ascii="Times New Roman" w:hAnsi="Times New Roman" w:eastAsia="宋体" w:cs="Times New Roman"/>
                      <w:smallCaps w:val="0"/>
                      <w:color w:val="auto"/>
                      <w:spacing w:val="0"/>
                      <w:sz w:val="20"/>
                      <w:szCs w:val="20"/>
                    </w:rPr>
                  </w:pPr>
                </w:p>
              </w:tc>
              <w:tc>
                <w:tcPr>
                  <w:tcW w:w="913" w:type="dxa"/>
                  <w:vMerge w:val="continue"/>
                  <w:tcBorders>
                    <w:tl2br w:val="nil"/>
                    <w:tr2bl w:val="nil"/>
                  </w:tcBorders>
                  <w:noWrap w:val="0"/>
                  <w:vAlign w:val="center"/>
                </w:tcPr>
                <w:p w14:paraId="6DBD9266">
                  <w:pPr>
                    <w:widowControl/>
                    <w:jc w:val="center"/>
                    <w:rPr>
                      <w:rFonts w:hint="default" w:ascii="Times New Roman" w:hAnsi="Times New Roman" w:eastAsia="宋体" w:cs="Times New Roman"/>
                      <w:smallCaps w:val="0"/>
                      <w:color w:val="auto"/>
                      <w:spacing w:val="0"/>
                      <w:szCs w:val="21"/>
                      <w:lang w:bidi="ar"/>
                    </w:rPr>
                  </w:pPr>
                </w:p>
              </w:tc>
              <w:tc>
                <w:tcPr>
                  <w:tcW w:w="2148" w:type="dxa"/>
                  <w:tcBorders>
                    <w:tl2br w:val="nil"/>
                    <w:tr2bl w:val="nil"/>
                  </w:tcBorders>
                  <w:noWrap w:val="0"/>
                  <w:vAlign w:val="center"/>
                </w:tcPr>
                <w:p w14:paraId="5B99F5B8">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val="en-US" w:eastAsia="zh-CN" w:bidi="ar"/>
                    </w:rPr>
                    <w:t>24小时平均第95百分位数</w:t>
                  </w:r>
                </w:p>
              </w:tc>
              <w:tc>
                <w:tcPr>
                  <w:tcW w:w="1369" w:type="dxa"/>
                  <w:tcBorders>
                    <w:tl2br w:val="nil"/>
                    <w:tr2bl w:val="nil"/>
                  </w:tcBorders>
                  <w:noWrap w:val="0"/>
                  <w:vAlign w:val="center"/>
                </w:tcPr>
                <w:p w14:paraId="49254C50">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6-151</w:t>
                  </w:r>
                </w:p>
              </w:tc>
              <w:tc>
                <w:tcPr>
                  <w:tcW w:w="1232" w:type="dxa"/>
                  <w:tcBorders>
                    <w:tl2br w:val="nil"/>
                    <w:tr2bl w:val="nil"/>
                  </w:tcBorders>
                  <w:noWrap w:val="0"/>
                  <w:vAlign w:val="center"/>
                </w:tcPr>
                <w:p w14:paraId="242B59F8">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75</w:t>
                  </w:r>
                </w:p>
              </w:tc>
              <w:tc>
                <w:tcPr>
                  <w:tcW w:w="1187" w:type="dxa"/>
                  <w:tcBorders>
                    <w:tl2br w:val="nil"/>
                    <w:tr2bl w:val="nil"/>
                  </w:tcBorders>
                  <w:noWrap w:val="0"/>
                  <w:vAlign w:val="center"/>
                </w:tcPr>
                <w:p w14:paraId="7DC1D299">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93.6</w:t>
                  </w:r>
                </w:p>
              </w:tc>
              <w:tc>
                <w:tcPr>
                  <w:tcW w:w="766" w:type="dxa"/>
                  <w:tcBorders>
                    <w:tl2br w:val="nil"/>
                    <w:tr2bl w:val="nil"/>
                  </w:tcBorders>
                  <w:noWrap w:val="0"/>
                  <w:vAlign w:val="center"/>
                </w:tcPr>
                <w:p w14:paraId="377D2801">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不达标</w:t>
                  </w:r>
                </w:p>
              </w:tc>
            </w:tr>
            <w:tr w14:paraId="51A697F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18D924DD">
                  <w:pPr>
                    <w:rPr>
                      <w:rFonts w:hint="default" w:ascii="Times New Roman" w:hAnsi="Times New Roman" w:eastAsia="宋体" w:cs="Times New Roman"/>
                      <w:smallCaps w:val="0"/>
                      <w:color w:val="auto"/>
                      <w:spacing w:val="0"/>
                      <w:sz w:val="20"/>
                      <w:szCs w:val="20"/>
                    </w:rPr>
                  </w:pPr>
                </w:p>
              </w:tc>
              <w:tc>
                <w:tcPr>
                  <w:tcW w:w="913" w:type="dxa"/>
                  <w:vMerge w:val="restart"/>
                  <w:tcBorders>
                    <w:tl2br w:val="nil"/>
                    <w:tr2bl w:val="nil"/>
                  </w:tcBorders>
                  <w:noWrap w:val="0"/>
                  <w:vAlign w:val="center"/>
                </w:tcPr>
                <w:p w14:paraId="6469F81E">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CO</w:t>
                  </w:r>
                </w:p>
              </w:tc>
              <w:tc>
                <w:tcPr>
                  <w:tcW w:w="2148" w:type="dxa"/>
                  <w:tcBorders>
                    <w:tl2br w:val="nil"/>
                    <w:tr2bl w:val="nil"/>
                  </w:tcBorders>
                  <w:noWrap w:val="0"/>
                  <w:vAlign w:val="center"/>
                </w:tcPr>
                <w:p w14:paraId="002F9B3F">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日平均第95百分位</w:t>
                  </w:r>
                </w:p>
              </w:tc>
              <w:tc>
                <w:tcPr>
                  <w:tcW w:w="1369" w:type="dxa"/>
                  <w:tcBorders>
                    <w:tl2br w:val="nil"/>
                    <w:tr2bl w:val="nil"/>
                  </w:tcBorders>
                  <w:noWrap w:val="0"/>
                  <w:vAlign w:val="center"/>
                </w:tcPr>
                <w:p w14:paraId="4C8A6913">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1100</w:t>
                  </w:r>
                </w:p>
              </w:tc>
              <w:tc>
                <w:tcPr>
                  <w:tcW w:w="1232" w:type="dxa"/>
                  <w:tcBorders>
                    <w:tl2br w:val="nil"/>
                    <w:tr2bl w:val="nil"/>
                  </w:tcBorders>
                  <w:noWrap w:val="0"/>
                  <w:vAlign w:val="center"/>
                </w:tcPr>
                <w:p w14:paraId="5353E2EE">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4000</w:t>
                  </w:r>
                </w:p>
              </w:tc>
              <w:tc>
                <w:tcPr>
                  <w:tcW w:w="1187" w:type="dxa"/>
                  <w:tcBorders>
                    <w:tl2br w:val="nil"/>
                    <w:tr2bl w:val="nil"/>
                  </w:tcBorders>
                  <w:noWrap w:val="0"/>
                  <w:vAlign w:val="center"/>
                </w:tcPr>
                <w:p w14:paraId="340109B6">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w:t>
                  </w:r>
                </w:p>
              </w:tc>
              <w:tc>
                <w:tcPr>
                  <w:tcW w:w="766" w:type="dxa"/>
                  <w:tcBorders>
                    <w:tl2br w:val="nil"/>
                    <w:tr2bl w:val="nil"/>
                  </w:tcBorders>
                  <w:noWrap w:val="0"/>
                  <w:vAlign w:val="center"/>
                </w:tcPr>
                <w:p w14:paraId="3C9C3903">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达标</w:t>
                  </w:r>
                </w:p>
              </w:tc>
            </w:tr>
            <w:tr w14:paraId="4A1BB78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1EAD07B6">
                  <w:pPr>
                    <w:rPr>
                      <w:rFonts w:hint="default" w:ascii="Times New Roman" w:hAnsi="Times New Roman" w:eastAsia="宋体" w:cs="Times New Roman"/>
                      <w:smallCaps w:val="0"/>
                      <w:color w:val="auto"/>
                      <w:spacing w:val="0"/>
                      <w:sz w:val="20"/>
                      <w:szCs w:val="20"/>
                    </w:rPr>
                  </w:pPr>
                </w:p>
              </w:tc>
              <w:tc>
                <w:tcPr>
                  <w:tcW w:w="913" w:type="dxa"/>
                  <w:vMerge w:val="continue"/>
                  <w:tcBorders>
                    <w:tl2br w:val="nil"/>
                    <w:tr2bl w:val="nil"/>
                  </w:tcBorders>
                  <w:noWrap w:val="0"/>
                  <w:vAlign w:val="center"/>
                </w:tcPr>
                <w:p w14:paraId="2ADE6BCE">
                  <w:pPr>
                    <w:widowControl/>
                    <w:jc w:val="center"/>
                    <w:rPr>
                      <w:rFonts w:hint="default" w:ascii="Times New Roman" w:hAnsi="Times New Roman" w:eastAsia="宋体" w:cs="Times New Roman"/>
                      <w:smallCaps w:val="0"/>
                      <w:color w:val="auto"/>
                      <w:spacing w:val="0"/>
                      <w:szCs w:val="21"/>
                      <w:lang w:bidi="ar"/>
                    </w:rPr>
                  </w:pPr>
                </w:p>
              </w:tc>
              <w:tc>
                <w:tcPr>
                  <w:tcW w:w="2148" w:type="dxa"/>
                  <w:tcBorders>
                    <w:tl2br w:val="nil"/>
                    <w:tr2bl w:val="nil"/>
                  </w:tcBorders>
                  <w:noWrap w:val="0"/>
                  <w:vAlign w:val="center"/>
                </w:tcPr>
                <w:p w14:paraId="437093A8">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日均值浓度</w:t>
                  </w:r>
                </w:p>
              </w:tc>
              <w:tc>
                <w:tcPr>
                  <w:tcW w:w="1369" w:type="dxa"/>
                  <w:tcBorders>
                    <w:tl2br w:val="nil"/>
                    <w:tr2bl w:val="nil"/>
                  </w:tcBorders>
                  <w:noWrap w:val="0"/>
                  <w:vAlign w:val="center"/>
                </w:tcPr>
                <w:p w14:paraId="20BC2432">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400-1500</w:t>
                  </w:r>
                </w:p>
              </w:tc>
              <w:tc>
                <w:tcPr>
                  <w:tcW w:w="1232" w:type="dxa"/>
                  <w:tcBorders>
                    <w:tl2br w:val="nil"/>
                    <w:tr2bl w:val="nil"/>
                  </w:tcBorders>
                  <w:noWrap w:val="0"/>
                  <w:vAlign w:val="center"/>
                </w:tcPr>
                <w:p w14:paraId="1393DDF7">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4000</w:t>
                  </w:r>
                </w:p>
              </w:tc>
              <w:tc>
                <w:tcPr>
                  <w:tcW w:w="1187" w:type="dxa"/>
                  <w:tcBorders>
                    <w:tl2br w:val="nil"/>
                    <w:tr2bl w:val="nil"/>
                  </w:tcBorders>
                  <w:noWrap w:val="0"/>
                  <w:vAlign w:val="center"/>
                </w:tcPr>
                <w:p w14:paraId="26C32BBA">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100</w:t>
                  </w:r>
                </w:p>
              </w:tc>
              <w:tc>
                <w:tcPr>
                  <w:tcW w:w="766" w:type="dxa"/>
                  <w:tcBorders>
                    <w:tl2br w:val="nil"/>
                    <w:tr2bl w:val="nil"/>
                  </w:tcBorders>
                  <w:noWrap w:val="0"/>
                  <w:vAlign w:val="center"/>
                </w:tcPr>
                <w:p w14:paraId="2370D2CA">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达标</w:t>
                  </w:r>
                </w:p>
              </w:tc>
            </w:tr>
            <w:tr w14:paraId="3771F2C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6059FEE8">
                  <w:pPr>
                    <w:rPr>
                      <w:rFonts w:hint="default" w:ascii="Times New Roman" w:hAnsi="Times New Roman" w:eastAsia="宋体" w:cs="Times New Roman"/>
                      <w:smallCaps w:val="0"/>
                      <w:color w:val="auto"/>
                      <w:spacing w:val="0"/>
                      <w:sz w:val="20"/>
                      <w:szCs w:val="20"/>
                    </w:rPr>
                  </w:pPr>
                </w:p>
              </w:tc>
              <w:tc>
                <w:tcPr>
                  <w:tcW w:w="913" w:type="dxa"/>
                  <w:vMerge w:val="restart"/>
                  <w:tcBorders>
                    <w:tl2br w:val="nil"/>
                    <w:tr2bl w:val="nil"/>
                  </w:tcBorders>
                  <w:noWrap w:val="0"/>
                  <w:vAlign w:val="center"/>
                </w:tcPr>
                <w:p w14:paraId="3DF5C440">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O</w:t>
                  </w:r>
                  <w:r>
                    <w:rPr>
                      <w:rFonts w:hint="default" w:ascii="Times New Roman" w:hAnsi="Times New Roman" w:eastAsia="宋体" w:cs="Times New Roman"/>
                      <w:smallCaps w:val="0"/>
                      <w:color w:val="auto"/>
                      <w:spacing w:val="0"/>
                      <w:szCs w:val="21"/>
                      <w:vertAlign w:val="subscript"/>
                      <w:lang w:bidi="ar"/>
                    </w:rPr>
                    <w:t>3</w:t>
                  </w:r>
                </w:p>
              </w:tc>
              <w:tc>
                <w:tcPr>
                  <w:tcW w:w="2148" w:type="dxa"/>
                  <w:tcBorders>
                    <w:tl2br w:val="nil"/>
                    <w:tr2bl w:val="nil"/>
                  </w:tcBorders>
                  <w:noWrap w:val="0"/>
                  <w:vAlign w:val="center"/>
                </w:tcPr>
                <w:p w14:paraId="586467A3">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bidi="ar"/>
                    </w:rPr>
                    <w:t>日最大8h滑动平均值第90百分位数</w:t>
                  </w:r>
                </w:p>
              </w:tc>
              <w:tc>
                <w:tcPr>
                  <w:tcW w:w="1369" w:type="dxa"/>
                  <w:tcBorders>
                    <w:tl2br w:val="nil"/>
                    <w:tr2bl w:val="nil"/>
                  </w:tcBorders>
                  <w:noWrap w:val="0"/>
                  <w:vAlign w:val="center"/>
                </w:tcPr>
                <w:p w14:paraId="0C392B00">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174</w:t>
                  </w:r>
                </w:p>
              </w:tc>
              <w:tc>
                <w:tcPr>
                  <w:tcW w:w="1232" w:type="dxa"/>
                  <w:tcBorders>
                    <w:tl2br w:val="nil"/>
                    <w:tr2bl w:val="nil"/>
                  </w:tcBorders>
                  <w:noWrap w:val="0"/>
                  <w:vAlign w:val="center"/>
                </w:tcPr>
                <w:p w14:paraId="651B720A">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bidi="ar"/>
                    </w:rPr>
                    <w:t>160</w:t>
                  </w:r>
                </w:p>
              </w:tc>
              <w:tc>
                <w:tcPr>
                  <w:tcW w:w="1187" w:type="dxa"/>
                  <w:tcBorders>
                    <w:tl2br w:val="nil"/>
                    <w:tr2bl w:val="nil"/>
                  </w:tcBorders>
                  <w:noWrap w:val="0"/>
                  <w:vAlign w:val="center"/>
                </w:tcPr>
                <w:p w14:paraId="3CA57E63">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85.5</w:t>
                  </w:r>
                </w:p>
              </w:tc>
              <w:tc>
                <w:tcPr>
                  <w:tcW w:w="766" w:type="dxa"/>
                  <w:tcBorders>
                    <w:tl2br w:val="nil"/>
                    <w:tr2bl w:val="nil"/>
                  </w:tcBorders>
                  <w:noWrap w:val="0"/>
                  <w:vAlign w:val="center"/>
                </w:tcPr>
                <w:p w14:paraId="36EA2C54">
                  <w:pPr>
                    <w:widowControl/>
                    <w:jc w:val="center"/>
                    <w:rPr>
                      <w:rFonts w:hint="default" w:ascii="Times New Roman" w:hAnsi="Times New Roman" w:eastAsia="宋体" w:cs="Times New Roman"/>
                      <w:smallCaps w:val="0"/>
                      <w:color w:val="auto"/>
                      <w:spacing w:val="0"/>
                      <w:szCs w:val="21"/>
                      <w:lang w:eastAsia="zh-CN" w:bidi="ar"/>
                    </w:rPr>
                  </w:pPr>
                  <w:r>
                    <w:rPr>
                      <w:rFonts w:hint="default" w:ascii="Times New Roman" w:hAnsi="Times New Roman" w:eastAsia="宋体" w:cs="Times New Roman"/>
                      <w:smallCaps w:val="0"/>
                      <w:color w:val="auto"/>
                      <w:spacing w:val="0"/>
                      <w:szCs w:val="21"/>
                      <w:lang w:val="en-US" w:eastAsia="zh-CN" w:bidi="ar"/>
                    </w:rPr>
                    <w:t>不达标</w:t>
                  </w:r>
                </w:p>
              </w:tc>
            </w:tr>
            <w:tr w14:paraId="6AC03627">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3" w:type="dxa"/>
                  <w:vMerge w:val="continue"/>
                  <w:tcBorders>
                    <w:tl2br w:val="nil"/>
                    <w:tr2bl w:val="nil"/>
                  </w:tcBorders>
                  <w:noWrap w:val="0"/>
                  <w:vAlign w:val="center"/>
                </w:tcPr>
                <w:p w14:paraId="5600316B">
                  <w:pPr>
                    <w:rPr>
                      <w:rFonts w:hint="default" w:ascii="Times New Roman" w:hAnsi="Times New Roman" w:eastAsia="宋体" w:cs="Times New Roman"/>
                      <w:smallCaps w:val="0"/>
                      <w:color w:val="auto"/>
                      <w:spacing w:val="0"/>
                      <w:sz w:val="20"/>
                      <w:szCs w:val="20"/>
                    </w:rPr>
                  </w:pPr>
                </w:p>
              </w:tc>
              <w:tc>
                <w:tcPr>
                  <w:tcW w:w="913" w:type="dxa"/>
                  <w:vMerge w:val="continue"/>
                  <w:tcBorders>
                    <w:tl2br w:val="nil"/>
                    <w:tr2bl w:val="nil"/>
                  </w:tcBorders>
                  <w:noWrap w:val="0"/>
                  <w:vAlign w:val="center"/>
                </w:tcPr>
                <w:p w14:paraId="23A7BD5C">
                  <w:pPr>
                    <w:widowControl/>
                    <w:jc w:val="center"/>
                    <w:rPr>
                      <w:rFonts w:hint="default" w:ascii="Times New Roman" w:hAnsi="Times New Roman" w:eastAsia="宋体" w:cs="Times New Roman"/>
                      <w:smallCaps w:val="0"/>
                      <w:color w:val="auto"/>
                      <w:spacing w:val="0"/>
                      <w:szCs w:val="21"/>
                      <w:lang w:bidi="ar"/>
                    </w:rPr>
                  </w:pPr>
                </w:p>
              </w:tc>
              <w:tc>
                <w:tcPr>
                  <w:tcW w:w="2148" w:type="dxa"/>
                  <w:tcBorders>
                    <w:tl2br w:val="nil"/>
                    <w:tr2bl w:val="nil"/>
                  </w:tcBorders>
                  <w:noWrap w:val="0"/>
                  <w:vAlign w:val="center"/>
                </w:tcPr>
                <w:p w14:paraId="40F8AFEE">
                  <w:pPr>
                    <w:widowControl/>
                    <w:jc w:val="center"/>
                    <w:rPr>
                      <w:rFonts w:hint="default" w:ascii="Times New Roman" w:hAnsi="Times New Roman" w:eastAsia="宋体" w:cs="Times New Roman"/>
                      <w:smallCaps w:val="0"/>
                      <w:color w:val="auto"/>
                      <w:spacing w:val="0"/>
                      <w:szCs w:val="21"/>
                      <w:lang w:bidi="ar"/>
                    </w:rPr>
                  </w:pPr>
                  <w:r>
                    <w:rPr>
                      <w:rFonts w:hint="default" w:ascii="Times New Roman" w:hAnsi="Times New Roman" w:eastAsia="宋体" w:cs="Times New Roman"/>
                      <w:smallCaps w:val="0"/>
                      <w:color w:val="auto"/>
                      <w:spacing w:val="0"/>
                      <w:szCs w:val="21"/>
                      <w:lang w:val="en-US" w:eastAsia="zh-CN" w:bidi="ar"/>
                    </w:rPr>
                    <w:t>日均值浓度</w:t>
                  </w:r>
                </w:p>
              </w:tc>
              <w:tc>
                <w:tcPr>
                  <w:tcW w:w="1369" w:type="dxa"/>
                  <w:tcBorders>
                    <w:tl2br w:val="nil"/>
                    <w:tr2bl w:val="nil"/>
                  </w:tcBorders>
                  <w:noWrap w:val="0"/>
                  <w:vAlign w:val="center"/>
                </w:tcPr>
                <w:p w14:paraId="218BE6CC">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11-246</w:t>
                  </w:r>
                </w:p>
              </w:tc>
              <w:tc>
                <w:tcPr>
                  <w:tcW w:w="1232" w:type="dxa"/>
                  <w:tcBorders>
                    <w:tl2br w:val="nil"/>
                    <w:tr2bl w:val="nil"/>
                  </w:tcBorders>
                  <w:noWrap w:val="0"/>
                  <w:vAlign w:val="center"/>
                </w:tcPr>
                <w:p w14:paraId="56B2CE56">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160</w:t>
                  </w:r>
                </w:p>
              </w:tc>
              <w:tc>
                <w:tcPr>
                  <w:tcW w:w="1187" w:type="dxa"/>
                  <w:tcBorders>
                    <w:tl2br w:val="nil"/>
                    <w:tr2bl w:val="nil"/>
                  </w:tcBorders>
                  <w:noWrap w:val="0"/>
                  <w:vAlign w:val="center"/>
                </w:tcPr>
                <w:p w14:paraId="54CA31EA">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85.5</w:t>
                  </w:r>
                </w:p>
              </w:tc>
              <w:tc>
                <w:tcPr>
                  <w:tcW w:w="766" w:type="dxa"/>
                  <w:tcBorders>
                    <w:tl2br w:val="nil"/>
                    <w:tr2bl w:val="nil"/>
                  </w:tcBorders>
                  <w:noWrap w:val="0"/>
                  <w:vAlign w:val="center"/>
                </w:tcPr>
                <w:p w14:paraId="1F3F5A7B">
                  <w:pPr>
                    <w:widowControl/>
                    <w:jc w:val="center"/>
                    <w:rPr>
                      <w:rFonts w:hint="default" w:ascii="Times New Roman" w:hAnsi="Times New Roman" w:eastAsia="宋体" w:cs="Times New Roman"/>
                      <w:smallCaps w:val="0"/>
                      <w:color w:val="auto"/>
                      <w:spacing w:val="0"/>
                      <w:szCs w:val="21"/>
                      <w:lang w:val="en-US" w:eastAsia="zh-CN" w:bidi="ar"/>
                    </w:rPr>
                  </w:pPr>
                  <w:r>
                    <w:rPr>
                      <w:rFonts w:hint="default" w:ascii="Times New Roman" w:hAnsi="Times New Roman" w:eastAsia="宋体" w:cs="Times New Roman"/>
                      <w:smallCaps w:val="0"/>
                      <w:color w:val="auto"/>
                      <w:spacing w:val="0"/>
                      <w:szCs w:val="21"/>
                      <w:lang w:val="en-US" w:eastAsia="zh-CN" w:bidi="ar"/>
                    </w:rPr>
                    <w:t>不达标</w:t>
                  </w:r>
                </w:p>
              </w:tc>
            </w:tr>
          </w:tbl>
          <w:p w14:paraId="06605689">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Cs/>
                <w:smallCaps w:val="0"/>
                <w:snapToGrid w:val="0"/>
                <w:color w:val="auto"/>
                <w:spacing w:val="0"/>
                <w:kern w:val="0"/>
                <w:sz w:val="24"/>
                <w:szCs w:val="24"/>
              </w:rPr>
            </w:pPr>
            <w:r>
              <w:rPr>
                <w:rFonts w:hint="default" w:ascii="Times New Roman" w:hAnsi="Times New Roman" w:eastAsia="宋体" w:cs="Times New Roman"/>
                <w:smallCaps w:val="0"/>
                <w:snapToGrid w:val="0"/>
                <w:color w:val="auto"/>
                <w:spacing w:val="0"/>
                <w:kern w:val="0"/>
                <w:sz w:val="24"/>
                <w:szCs w:val="24"/>
                <w:lang w:bidi="ar"/>
              </w:rPr>
              <w:t>202</w:t>
            </w:r>
            <w:r>
              <w:rPr>
                <w:rFonts w:hint="default" w:ascii="Times New Roman" w:hAnsi="Times New Roman" w:eastAsia="宋体" w:cs="Times New Roman"/>
                <w:smallCaps w:val="0"/>
                <w:snapToGrid w:val="0"/>
                <w:color w:val="auto"/>
                <w:spacing w:val="0"/>
                <w:kern w:val="0"/>
                <w:sz w:val="24"/>
                <w:szCs w:val="24"/>
                <w:lang w:val="en-US" w:eastAsia="zh-CN" w:bidi="ar"/>
              </w:rPr>
              <w:t>3</w:t>
            </w:r>
            <w:r>
              <w:rPr>
                <w:rFonts w:hint="default" w:ascii="Times New Roman" w:hAnsi="Times New Roman" w:eastAsia="宋体" w:cs="Times New Roman"/>
                <w:smallCaps w:val="0"/>
                <w:snapToGrid w:val="0"/>
                <w:color w:val="auto"/>
                <w:spacing w:val="0"/>
                <w:kern w:val="0"/>
                <w:sz w:val="24"/>
                <w:szCs w:val="24"/>
                <w:lang w:bidi="ar"/>
              </w:rPr>
              <w:t>年常州市环境空气中SO</w:t>
            </w:r>
            <w:r>
              <w:rPr>
                <w:rFonts w:hint="default" w:ascii="Times New Roman" w:hAnsi="Times New Roman" w:eastAsia="宋体" w:cs="Times New Roman"/>
                <w:smallCaps w:val="0"/>
                <w:snapToGrid w:val="0"/>
                <w:color w:val="auto"/>
                <w:spacing w:val="0"/>
                <w:kern w:val="0"/>
                <w:sz w:val="24"/>
                <w:szCs w:val="24"/>
                <w:vertAlign w:val="subscript"/>
                <w:lang w:bidi="ar"/>
              </w:rPr>
              <w:t>2</w:t>
            </w:r>
            <w:r>
              <w:rPr>
                <w:rFonts w:hint="default" w:ascii="Times New Roman" w:hAnsi="Times New Roman" w:eastAsia="宋体" w:cs="Times New Roman"/>
                <w:smallCaps w:val="0"/>
                <w:snapToGrid w:val="0"/>
                <w:color w:val="auto"/>
                <w:spacing w:val="0"/>
                <w:kern w:val="0"/>
                <w:sz w:val="24"/>
                <w:szCs w:val="24"/>
                <w:lang w:bidi="ar"/>
              </w:rPr>
              <w:t>、NO</w:t>
            </w:r>
            <w:r>
              <w:rPr>
                <w:rFonts w:hint="default" w:ascii="Times New Roman" w:hAnsi="Times New Roman" w:eastAsia="宋体" w:cs="Times New Roman"/>
                <w:smallCaps w:val="0"/>
                <w:snapToGrid w:val="0"/>
                <w:color w:val="auto"/>
                <w:spacing w:val="0"/>
                <w:kern w:val="0"/>
                <w:sz w:val="24"/>
                <w:szCs w:val="24"/>
                <w:vertAlign w:val="subscript"/>
                <w:lang w:bidi="ar"/>
              </w:rPr>
              <w:t>2</w:t>
            </w:r>
            <w:r>
              <w:rPr>
                <w:rFonts w:hint="default" w:ascii="Times New Roman" w:hAnsi="Times New Roman" w:eastAsia="宋体" w:cs="Times New Roman"/>
                <w:smallCaps w:val="0"/>
                <w:snapToGrid w:val="0"/>
                <w:color w:val="auto"/>
                <w:spacing w:val="0"/>
                <w:kern w:val="0"/>
                <w:sz w:val="24"/>
                <w:szCs w:val="24"/>
                <w:lang w:bidi="ar"/>
              </w:rPr>
              <w:t>、可吸入颗粒物（PM</w:t>
            </w:r>
            <w:r>
              <w:rPr>
                <w:rFonts w:hint="default" w:ascii="Times New Roman" w:hAnsi="Times New Roman" w:eastAsia="宋体" w:cs="Times New Roman"/>
                <w:smallCaps w:val="0"/>
                <w:snapToGrid w:val="0"/>
                <w:color w:val="auto"/>
                <w:spacing w:val="0"/>
                <w:kern w:val="0"/>
                <w:sz w:val="24"/>
                <w:szCs w:val="24"/>
                <w:vertAlign w:val="subscript"/>
                <w:lang w:bidi="ar"/>
              </w:rPr>
              <w:t>10</w:t>
            </w:r>
            <w:r>
              <w:rPr>
                <w:rFonts w:hint="default" w:ascii="Times New Roman" w:hAnsi="Times New Roman" w:eastAsia="宋体" w:cs="Times New Roman"/>
                <w:smallCaps w:val="0"/>
                <w:snapToGrid w:val="0"/>
                <w:color w:val="auto"/>
                <w:spacing w:val="0"/>
                <w:kern w:val="0"/>
                <w:sz w:val="24"/>
                <w:szCs w:val="24"/>
                <w:lang w:bidi="ar"/>
              </w:rPr>
              <w:t>）</w:t>
            </w:r>
            <w:r>
              <w:rPr>
                <w:rFonts w:hint="default" w:ascii="Times New Roman" w:hAnsi="Times New Roman" w:eastAsia="宋体" w:cs="Times New Roman"/>
                <w:smallCaps w:val="0"/>
                <w:snapToGrid w:val="0"/>
                <w:color w:val="auto"/>
                <w:spacing w:val="0"/>
                <w:kern w:val="0"/>
                <w:sz w:val="24"/>
                <w:szCs w:val="24"/>
                <w:lang w:val="en-US" w:eastAsia="zh-CN" w:bidi="ar"/>
              </w:rPr>
              <w:t>和</w:t>
            </w:r>
            <w:r>
              <w:rPr>
                <w:rFonts w:hint="default" w:ascii="Times New Roman" w:hAnsi="Times New Roman" w:eastAsia="宋体" w:cs="Times New Roman"/>
                <w:smallCaps w:val="0"/>
                <w:snapToGrid w:val="0"/>
                <w:color w:val="auto"/>
                <w:spacing w:val="0"/>
                <w:kern w:val="0"/>
                <w:sz w:val="24"/>
                <w:szCs w:val="24"/>
                <w:lang w:bidi="ar"/>
              </w:rPr>
              <w:t>细颗粒物（PM</w:t>
            </w:r>
            <w:r>
              <w:rPr>
                <w:rFonts w:hint="default" w:ascii="Times New Roman" w:hAnsi="Times New Roman" w:eastAsia="宋体" w:cs="Times New Roman"/>
                <w:smallCaps w:val="0"/>
                <w:snapToGrid w:val="0"/>
                <w:color w:val="auto"/>
                <w:spacing w:val="0"/>
                <w:kern w:val="0"/>
                <w:sz w:val="24"/>
                <w:szCs w:val="24"/>
                <w:vertAlign w:val="subscript"/>
                <w:lang w:bidi="ar"/>
              </w:rPr>
              <w:t>2.5</w:t>
            </w:r>
            <w:r>
              <w:rPr>
                <w:rFonts w:hint="default" w:ascii="Times New Roman" w:hAnsi="Times New Roman" w:eastAsia="宋体" w:cs="Times New Roman"/>
                <w:smallCaps w:val="0"/>
                <w:snapToGrid w:val="0"/>
                <w:color w:val="auto"/>
                <w:spacing w:val="0"/>
                <w:kern w:val="0"/>
                <w:sz w:val="24"/>
                <w:szCs w:val="24"/>
                <w:lang w:bidi="ar"/>
              </w:rPr>
              <w:t>）</w:t>
            </w:r>
            <w:r>
              <w:rPr>
                <w:rFonts w:hint="default" w:ascii="Times New Roman" w:hAnsi="Times New Roman" w:eastAsia="宋体" w:cs="Times New Roman"/>
                <w:smallCaps w:val="0"/>
                <w:snapToGrid w:val="0"/>
                <w:color w:val="auto"/>
                <w:spacing w:val="0"/>
                <w:kern w:val="0"/>
                <w:sz w:val="24"/>
                <w:szCs w:val="24"/>
                <w:lang w:val="en-US" w:eastAsia="zh-CN" w:bidi="ar"/>
              </w:rPr>
              <w:t>年均值</w:t>
            </w:r>
            <w:r>
              <w:rPr>
                <w:rFonts w:hint="default" w:ascii="Times New Roman" w:hAnsi="Times New Roman" w:eastAsia="宋体" w:cs="Times New Roman"/>
                <w:smallCaps w:val="0"/>
                <w:snapToGrid w:val="0"/>
                <w:color w:val="auto"/>
                <w:spacing w:val="0"/>
                <w:kern w:val="0"/>
                <w:sz w:val="24"/>
                <w:szCs w:val="24"/>
                <w:lang w:bidi="ar"/>
              </w:rPr>
              <w:t>均达到</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bidi="ar"/>
              </w:rPr>
              <w:t>环境空气质量</w:t>
            </w:r>
            <w:r>
              <w:rPr>
                <w:rFonts w:hint="default" w:ascii="Times New Roman" w:hAnsi="Times New Roman" w:eastAsia="宋体" w:cs="Times New Roman"/>
                <w:smallCaps w:val="0"/>
                <w:snapToGrid w:val="0"/>
                <w:color w:val="auto"/>
                <w:spacing w:val="0"/>
                <w:kern w:val="0"/>
                <w:sz w:val="24"/>
                <w:szCs w:val="24"/>
                <w:lang w:val="en-US" w:eastAsia="zh-CN" w:bidi="ar"/>
              </w:rPr>
              <w:t>标准</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val="en-US" w:eastAsia="zh-CN" w:bidi="ar"/>
              </w:rPr>
              <w:t>GB3095-2012</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bidi="ar"/>
              </w:rPr>
              <w:t>二级标准；SO</w:t>
            </w:r>
            <w:r>
              <w:rPr>
                <w:rFonts w:hint="default" w:ascii="Times New Roman" w:hAnsi="Times New Roman" w:eastAsia="宋体" w:cs="Times New Roman"/>
                <w:smallCaps w:val="0"/>
                <w:snapToGrid w:val="0"/>
                <w:color w:val="auto"/>
                <w:spacing w:val="0"/>
                <w:kern w:val="0"/>
                <w:sz w:val="24"/>
                <w:szCs w:val="24"/>
                <w:vertAlign w:val="subscript"/>
                <w:lang w:bidi="ar"/>
              </w:rPr>
              <w:t>2</w:t>
            </w:r>
            <w:r>
              <w:rPr>
                <w:rFonts w:hint="default" w:ascii="Times New Roman" w:hAnsi="Times New Roman" w:eastAsia="宋体" w:cs="Times New Roman"/>
                <w:smallCaps w:val="0"/>
                <w:snapToGrid w:val="0"/>
                <w:color w:val="auto"/>
                <w:spacing w:val="0"/>
                <w:kern w:val="0"/>
                <w:sz w:val="24"/>
                <w:szCs w:val="24"/>
                <w:lang w:bidi="ar"/>
              </w:rPr>
              <w:t>、NO</w:t>
            </w:r>
            <w:r>
              <w:rPr>
                <w:rFonts w:hint="default" w:ascii="Times New Roman" w:hAnsi="Times New Roman" w:eastAsia="宋体" w:cs="Times New Roman"/>
                <w:smallCaps w:val="0"/>
                <w:snapToGrid w:val="0"/>
                <w:color w:val="auto"/>
                <w:spacing w:val="0"/>
                <w:kern w:val="0"/>
                <w:sz w:val="24"/>
                <w:szCs w:val="24"/>
                <w:vertAlign w:val="subscript"/>
                <w:lang w:bidi="ar"/>
              </w:rPr>
              <w:t>2</w:t>
            </w:r>
            <w:r>
              <w:rPr>
                <w:rFonts w:hint="default" w:ascii="Times New Roman" w:hAnsi="Times New Roman" w:eastAsia="宋体" w:cs="Times New Roman"/>
                <w:smallCaps w:val="0"/>
                <w:snapToGrid w:val="0"/>
                <w:color w:val="auto"/>
                <w:spacing w:val="0"/>
                <w:kern w:val="0"/>
                <w:sz w:val="24"/>
                <w:szCs w:val="24"/>
                <w:lang w:bidi="ar"/>
              </w:rPr>
              <w:t>、可吸入颗粒物（PM</w:t>
            </w:r>
            <w:r>
              <w:rPr>
                <w:rFonts w:hint="default" w:ascii="Times New Roman" w:hAnsi="Times New Roman" w:eastAsia="宋体" w:cs="Times New Roman"/>
                <w:smallCaps w:val="0"/>
                <w:snapToGrid w:val="0"/>
                <w:color w:val="auto"/>
                <w:spacing w:val="0"/>
                <w:kern w:val="0"/>
                <w:sz w:val="24"/>
                <w:szCs w:val="24"/>
                <w:vertAlign w:val="subscript"/>
                <w:lang w:bidi="ar"/>
              </w:rPr>
              <w:t>10</w:t>
            </w:r>
            <w:r>
              <w:rPr>
                <w:rFonts w:hint="default" w:ascii="Times New Roman" w:hAnsi="Times New Roman" w:eastAsia="宋体" w:cs="Times New Roman"/>
                <w:smallCaps w:val="0"/>
                <w:snapToGrid w:val="0"/>
                <w:color w:val="auto"/>
                <w:spacing w:val="0"/>
                <w:kern w:val="0"/>
                <w:sz w:val="24"/>
                <w:szCs w:val="24"/>
                <w:lang w:bidi="ar"/>
              </w:rPr>
              <w:t>）</w:t>
            </w:r>
            <w:r>
              <w:rPr>
                <w:rFonts w:hint="default" w:ascii="Times New Roman" w:hAnsi="Times New Roman" w:eastAsia="宋体" w:cs="Times New Roman"/>
                <w:smallCaps w:val="0"/>
                <w:snapToGrid w:val="0"/>
                <w:color w:val="auto"/>
                <w:spacing w:val="0"/>
                <w:kern w:val="0"/>
                <w:sz w:val="24"/>
                <w:szCs w:val="24"/>
                <w:lang w:val="en-US" w:eastAsia="zh-CN" w:bidi="ar"/>
              </w:rPr>
              <w:t>及CO日均值的第95百分位数均达到</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bidi="ar"/>
              </w:rPr>
              <w:t>环境空气质量</w:t>
            </w:r>
            <w:r>
              <w:rPr>
                <w:rFonts w:hint="default" w:ascii="Times New Roman" w:hAnsi="Times New Roman" w:eastAsia="宋体" w:cs="Times New Roman"/>
                <w:smallCaps w:val="0"/>
                <w:snapToGrid w:val="0"/>
                <w:color w:val="auto"/>
                <w:spacing w:val="0"/>
                <w:kern w:val="0"/>
                <w:sz w:val="24"/>
                <w:szCs w:val="24"/>
                <w:lang w:val="en-US" w:eastAsia="zh-CN" w:bidi="ar"/>
              </w:rPr>
              <w:t>标准</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val="en-US" w:eastAsia="zh-CN" w:bidi="ar"/>
              </w:rPr>
              <w:t>GB3095-2012</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bidi="ar"/>
              </w:rPr>
              <w:t>二级标准</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bidi="ar"/>
              </w:rPr>
              <w:t>细颗粒物（PM</w:t>
            </w:r>
            <w:r>
              <w:rPr>
                <w:rFonts w:hint="default" w:ascii="Times New Roman" w:hAnsi="Times New Roman" w:eastAsia="宋体" w:cs="Times New Roman"/>
                <w:smallCaps w:val="0"/>
                <w:snapToGrid w:val="0"/>
                <w:color w:val="auto"/>
                <w:spacing w:val="0"/>
                <w:kern w:val="0"/>
                <w:sz w:val="24"/>
                <w:szCs w:val="24"/>
                <w:vertAlign w:val="subscript"/>
                <w:lang w:bidi="ar"/>
              </w:rPr>
              <w:t>2.5</w:t>
            </w:r>
            <w:r>
              <w:rPr>
                <w:rFonts w:hint="default" w:ascii="Times New Roman" w:hAnsi="Times New Roman" w:eastAsia="宋体" w:cs="Times New Roman"/>
                <w:smallCaps w:val="0"/>
                <w:snapToGrid w:val="0"/>
                <w:color w:val="auto"/>
                <w:spacing w:val="0"/>
                <w:kern w:val="0"/>
                <w:sz w:val="24"/>
                <w:szCs w:val="24"/>
                <w:lang w:bidi="ar"/>
              </w:rPr>
              <w:t>）</w:t>
            </w:r>
            <w:r>
              <w:rPr>
                <w:rFonts w:hint="default" w:ascii="Times New Roman" w:hAnsi="Times New Roman" w:eastAsia="宋体" w:cs="Times New Roman"/>
                <w:smallCaps w:val="0"/>
                <w:snapToGrid w:val="0"/>
                <w:color w:val="auto"/>
                <w:spacing w:val="0"/>
                <w:kern w:val="0"/>
                <w:sz w:val="24"/>
                <w:szCs w:val="24"/>
                <w:lang w:val="en-US" w:eastAsia="zh-CN" w:bidi="ar"/>
              </w:rPr>
              <w:t>日均值和</w:t>
            </w:r>
            <w:r>
              <w:rPr>
                <w:rFonts w:hint="default" w:ascii="Times New Roman" w:hAnsi="Times New Roman" w:eastAsia="宋体" w:cs="Times New Roman"/>
                <w:smallCaps w:val="0"/>
                <w:snapToGrid w:val="0"/>
                <w:color w:val="auto"/>
                <w:spacing w:val="0"/>
                <w:kern w:val="0"/>
                <w:sz w:val="24"/>
                <w:szCs w:val="24"/>
                <w:lang w:bidi="ar"/>
              </w:rPr>
              <w:t>O</w:t>
            </w:r>
            <w:r>
              <w:rPr>
                <w:rFonts w:hint="default" w:ascii="Times New Roman" w:hAnsi="Times New Roman" w:eastAsia="宋体" w:cs="Times New Roman"/>
                <w:smallCaps w:val="0"/>
                <w:snapToGrid w:val="0"/>
                <w:color w:val="auto"/>
                <w:spacing w:val="0"/>
                <w:kern w:val="0"/>
                <w:sz w:val="24"/>
                <w:szCs w:val="24"/>
                <w:vertAlign w:val="subscript"/>
                <w:lang w:bidi="ar"/>
              </w:rPr>
              <w:t>3</w:t>
            </w:r>
            <w:r>
              <w:rPr>
                <w:rFonts w:hint="default" w:ascii="Times New Roman" w:hAnsi="Times New Roman" w:eastAsia="宋体" w:cs="Times New Roman"/>
                <w:smallCaps w:val="0"/>
                <w:snapToGrid w:val="0"/>
                <w:color w:val="auto"/>
                <w:spacing w:val="0"/>
                <w:kern w:val="0"/>
                <w:sz w:val="24"/>
                <w:szCs w:val="24"/>
                <w:vertAlign w:val="baseline"/>
                <w:lang w:bidi="ar"/>
              </w:rPr>
              <w:t>日最大8h滑动平均值第90百分位数</w:t>
            </w:r>
            <w:r>
              <w:rPr>
                <w:rFonts w:hint="default" w:ascii="Times New Roman" w:hAnsi="Times New Roman" w:eastAsia="宋体" w:cs="Times New Roman"/>
                <w:smallCaps w:val="0"/>
                <w:snapToGrid w:val="0"/>
                <w:color w:val="auto"/>
                <w:spacing w:val="0"/>
                <w:kern w:val="0"/>
                <w:sz w:val="24"/>
                <w:szCs w:val="24"/>
                <w:vertAlign w:val="baseline"/>
                <w:lang w:val="en-US" w:eastAsia="zh-CN" w:bidi="ar"/>
              </w:rPr>
              <w:t>均</w:t>
            </w:r>
            <w:r>
              <w:rPr>
                <w:rFonts w:hint="default" w:ascii="Times New Roman" w:hAnsi="Times New Roman" w:eastAsia="宋体" w:cs="Times New Roman"/>
                <w:smallCaps w:val="0"/>
                <w:snapToGrid w:val="0"/>
                <w:color w:val="auto"/>
                <w:spacing w:val="0"/>
                <w:kern w:val="0"/>
                <w:sz w:val="24"/>
                <w:szCs w:val="24"/>
                <w:lang w:bidi="ar"/>
              </w:rPr>
              <w:t>超</w:t>
            </w:r>
            <w:r>
              <w:rPr>
                <w:rFonts w:hint="default" w:ascii="Times New Roman" w:hAnsi="Times New Roman" w:eastAsia="宋体" w:cs="Times New Roman"/>
                <w:smallCaps w:val="0"/>
                <w:snapToGrid w:val="0"/>
                <w:color w:val="auto"/>
                <w:spacing w:val="0"/>
                <w:kern w:val="0"/>
                <w:sz w:val="24"/>
                <w:szCs w:val="24"/>
                <w:lang w:val="en-US" w:eastAsia="zh-CN" w:bidi="ar"/>
              </w:rPr>
              <w:t>过</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bidi="ar"/>
              </w:rPr>
              <w:t>环境空气质量</w:t>
            </w:r>
            <w:r>
              <w:rPr>
                <w:rFonts w:hint="default" w:ascii="Times New Roman" w:hAnsi="Times New Roman" w:eastAsia="宋体" w:cs="Times New Roman"/>
                <w:smallCaps w:val="0"/>
                <w:snapToGrid w:val="0"/>
                <w:color w:val="auto"/>
                <w:spacing w:val="0"/>
                <w:kern w:val="0"/>
                <w:sz w:val="24"/>
                <w:szCs w:val="24"/>
                <w:lang w:val="en-US" w:eastAsia="zh-CN" w:bidi="ar"/>
              </w:rPr>
              <w:t>标准</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val="en-US" w:eastAsia="zh-CN" w:bidi="ar"/>
              </w:rPr>
              <w:t>GB3095-2012</w:t>
            </w:r>
            <w:r>
              <w:rPr>
                <w:rFonts w:hint="default" w:ascii="Times New Roman" w:hAnsi="Times New Roman" w:eastAsia="宋体" w:cs="Times New Roman"/>
                <w:smallCaps w:val="0"/>
                <w:snapToGrid w:val="0"/>
                <w:color w:val="auto"/>
                <w:spacing w:val="0"/>
                <w:kern w:val="0"/>
                <w:sz w:val="24"/>
                <w:szCs w:val="24"/>
                <w:lang w:eastAsia="zh-CN" w:bidi="ar"/>
              </w:rPr>
              <w:t>）</w:t>
            </w:r>
            <w:r>
              <w:rPr>
                <w:rFonts w:hint="default" w:ascii="Times New Roman" w:hAnsi="Times New Roman" w:eastAsia="宋体" w:cs="Times New Roman"/>
                <w:smallCaps w:val="0"/>
                <w:snapToGrid w:val="0"/>
                <w:color w:val="auto"/>
                <w:spacing w:val="0"/>
                <w:kern w:val="0"/>
                <w:sz w:val="24"/>
                <w:szCs w:val="24"/>
                <w:lang w:bidi="ar"/>
              </w:rPr>
              <w:t>二级标准，</w:t>
            </w:r>
            <w:r>
              <w:rPr>
                <w:rFonts w:hint="default" w:ascii="Times New Roman" w:hAnsi="Times New Roman" w:eastAsia="宋体" w:cs="Times New Roman"/>
                <w:smallCaps w:val="0"/>
                <w:snapToGrid w:val="0"/>
                <w:color w:val="auto"/>
                <w:spacing w:val="0"/>
                <w:kern w:val="0"/>
                <w:sz w:val="24"/>
                <w:szCs w:val="24"/>
                <w:lang w:val="en-US" w:eastAsia="zh-CN" w:bidi="ar"/>
              </w:rPr>
              <w:t>根据</w:t>
            </w:r>
            <w:r>
              <w:rPr>
                <w:rFonts w:hint="default" w:ascii="Times New Roman" w:hAnsi="Times New Roman" w:eastAsia="宋体" w:cs="Times New Roman"/>
                <w:smallCaps w:val="0"/>
                <w:snapToGrid w:val="0"/>
                <w:color w:val="auto"/>
                <w:spacing w:val="0"/>
                <w:kern w:val="0"/>
                <w:sz w:val="24"/>
                <w:szCs w:val="24"/>
              </w:rPr>
              <w:t>《环境影响评价技术导则大气环境》（HJ2.2-2018）</w:t>
            </w:r>
            <w:r>
              <w:rPr>
                <w:rFonts w:hint="default" w:ascii="Times New Roman" w:hAnsi="Times New Roman" w:eastAsia="宋体" w:cs="Times New Roman"/>
                <w:smallCaps w:val="0"/>
                <w:snapToGrid w:val="0"/>
                <w:color w:val="auto"/>
                <w:spacing w:val="0"/>
                <w:kern w:val="0"/>
                <w:sz w:val="24"/>
                <w:szCs w:val="24"/>
                <w:lang w:eastAsia="zh-CN"/>
              </w:rPr>
              <w:t>“</w:t>
            </w:r>
            <w:r>
              <w:rPr>
                <w:rFonts w:hint="default" w:ascii="Times New Roman" w:hAnsi="Times New Roman" w:eastAsia="宋体" w:cs="Times New Roman"/>
                <w:smallCaps w:val="0"/>
                <w:snapToGrid w:val="0"/>
                <w:color w:val="auto"/>
                <w:spacing w:val="0"/>
                <w:kern w:val="0"/>
                <w:sz w:val="24"/>
                <w:szCs w:val="24"/>
                <w:lang w:val="en-US" w:eastAsia="zh-CN"/>
              </w:rPr>
              <w:t>6.4.1.1城市环境空气质量达标情况评价指标为</w:t>
            </w:r>
            <w:r>
              <w:rPr>
                <w:rFonts w:hint="default" w:ascii="Times New Roman" w:hAnsi="Times New Roman" w:eastAsia="宋体" w:cs="Times New Roman"/>
                <w:smallCaps w:val="0"/>
                <w:snapToGrid w:val="0"/>
                <w:color w:val="auto"/>
                <w:spacing w:val="0"/>
                <w:kern w:val="0"/>
                <w:sz w:val="24"/>
                <w:szCs w:val="24"/>
                <w:lang w:bidi="ar"/>
              </w:rPr>
              <w:t>SO</w:t>
            </w:r>
            <w:r>
              <w:rPr>
                <w:rFonts w:hint="default" w:ascii="Times New Roman" w:hAnsi="Times New Roman" w:eastAsia="宋体" w:cs="Times New Roman"/>
                <w:smallCaps w:val="0"/>
                <w:snapToGrid w:val="0"/>
                <w:color w:val="auto"/>
                <w:spacing w:val="0"/>
                <w:kern w:val="0"/>
                <w:sz w:val="24"/>
                <w:szCs w:val="24"/>
                <w:vertAlign w:val="subscript"/>
                <w:lang w:bidi="ar"/>
              </w:rPr>
              <w:t>2</w:t>
            </w:r>
            <w:r>
              <w:rPr>
                <w:rFonts w:hint="default" w:ascii="Times New Roman" w:hAnsi="Times New Roman" w:eastAsia="宋体" w:cs="Times New Roman"/>
                <w:smallCaps w:val="0"/>
                <w:snapToGrid w:val="0"/>
                <w:color w:val="auto"/>
                <w:spacing w:val="0"/>
                <w:kern w:val="0"/>
                <w:sz w:val="24"/>
                <w:szCs w:val="24"/>
                <w:lang w:bidi="ar"/>
              </w:rPr>
              <w:t>、NO</w:t>
            </w:r>
            <w:r>
              <w:rPr>
                <w:rFonts w:hint="default" w:ascii="Times New Roman" w:hAnsi="Times New Roman" w:eastAsia="宋体" w:cs="Times New Roman"/>
                <w:smallCaps w:val="0"/>
                <w:snapToGrid w:val="0"/>
                <w:color w:val="auto"/>
                <w:spacing w:val="0"/>
                <w:kern w:val="0"/>
                <w:sz w:val="24"/>
                <w:szCs w:val="24"/>
                <w:vertAlign w:val="subscript"/>
                <w:lang w:bidi="ar"/>
              </w:rPr>
              <w:t>2</w:t>
            </w:r>
            <w:r>
              <w:rPr>
                <w:rFonts w:hint="default" w:ascii="Times New Roman" w:hAnsi="Times New Roman" w:eastAsia="宋体" w:cs="Times New Roman"/>
                <w:smallCaps w:val="0"/>
                <w:snapToGrid w:val="0"/>
                <w:color w:val="auto"/>
                <w:spacing w:val="0"/>
                <w:kern w:val="0"/>
                <w:sz w:val="24"/>
                <w:szCs w:val="24"/>
                <w:lang w:bidi="ar"/>
              </w:rPr>
              <w:t>、PM</w:t>
            </w:r>
            <w:r>
              <w:rPr>
                <w:rFonts w:hint="default" w:ascii="Times New Roman" w:hAnsi="Times New Roman" w:eastAsia="宋体" w:cs="Times New Roman"/>
                <w:smallCaps w:val="0"/>
                <w:snapToGrid w:val="0"/>
                <w:color w:val="auto"/>
                <w:spacing w:val="0"/>
                <w:kern w:val="0"/>
                <w:sz w:val="24"/>
                <w:szCs w:val="24"/>
                <w:vertAlign w:val="subscript"/>
                <w:lang w:val="en-US" w:eastAsia="zh-CN" w:bidi="ar"/>
              </w:rPr>
              <w:t>10</w:t>
            </w:r>
            <w:r>
              <w:rPr>
                <w:rFonts w:hint="default" w:ascii="Times New Roman" w:hAnsi="Times New Roman" w:eastAsia="宋体" w:cs="Times New Roman"/>
                <w:smallCaps w:val="0"/>
                <w:snapToGrid w:val="0"/>
                <w:color w:val="auto"/>
                <w:spacing w:val="0"/>
                <w:kern w:val="0"/>
                <w:sz w:val="24"/>
                <w:szCs w:val="24"/>
                <w:lang w:bidi="ar"/>
              </w:rPr>
              <w:t>、PM</w:t>
            </w:r>
            <w:r>
              <w:rPr>
                <w:rFonts w:hint="default" w:ascii="Times New Roman" w:hAnsi="Times New Roman" w:eastAsia="宋体" w:cs="Times New Roman"/>
                <w:smallCaps w:val="0"/>
                <w:snapToGrid w:val="0"/>
                <w:color w:val="auto"/>
                <w:spacing w:val="0"/>
                <w:kern w:val="0"/>
                <w:sz w:val="24"/>
                <w:szCs w:val="24"/>
                <w:vertAlign w:val="subscript"/>
                <w:lang w:bidi="ar"/>
              </w:rPr>
              <w:t>2.5</w:t>
            </w:r>
            <w:r>
              <w:rPr>
                <w:rFonts w:hint="default" w:ascii="Times New Roman" w:hAnsi="Times New Roman" w:eastAsia="宋体" w:cs="Times New Roman"/>
                <w:smallCaps w:val="0"/>
                <w:snapToGrid w:val="0"/>
                <w:color w:val="auto"/>
                <w:spacing w:val="0"/>
                <w:kern w:val="0"/>
                <w:sz w:val="24"/>
                <w:szCs w:val="24"/>
                <w:lang w:bidi="ar"/>
              </w:rPr>
              <w:t>、CO</w:t>
            </w:r>
            <w:r>
              <w:rPr>
                <w:rFonts w:hint="default" w:ascii="Times New Roman" w:hAnsi="Times New Roman" w:eastAsia="宋体" w:cs="Times New Roman"/>
                <w:smallCaps w:val="0"/>
                <w:snapToGrid w:val="0"/>
                <w:color w:val="auto"/>
                <w:spacing w:val="0"/>
                <w:kern w:val="0"/>
                <w:sz w:val="24"/>
                <w:szCs w:val="24"/>
                <w:lang w:val="en-US" w:eastAsia="zh-CN" w:bidi="ar"/>
              </w:rPr>
              <w:t>和</w:t>
            </w:r>
            <w:r>
              <w:rPr>
                <w:rFonts w:hint="default" w:ascii="Times New Roman" w:hAnsi="Times New Roman" w:eastAsia="宋体" w:cs="Times New Roman"/>
                <w:smallCaps w:val="0"/>
                <w:snapToGrid w:val="0"/>
                <w:color w:val="auto"/>
                <w:spacing w:val="0"/>
                <w:kern w:val="0"/>
                <w:sz w:val="24"/>
                <w:szCs w:val="24"/>
                <w:lang w:bidi="ar"/>
              </w:rPr>
              <w:t>O</w:t>
            </w:r>
            <w:r>
              <w:rPr>
                <w:rFonts w:hint="default" w:ascii="Times New Roman" w:hAnsi="Times New Roman" w:eastAsia="宋体" w:cs="Times New Roman"/>
                <w:smallCaps w:val="0"/>
                <w:snapToGrid w:val="0"/>
                <w:color w:val="auto"/>
                <w:spacing w:val="0"/>
                <w:kern w:val="0"/>
                <w:sz w:val="24"/>
                <w:szCs w:val="24"/>
                <w:vertAlign w:val="subscript"/>
                <w:lang w:bidi="ar"/>
              </w:rPr>
              <w:t>3</w:t>
            </w:r>
            <w:r>
              <w:rPr>
                <w:rFonts w:hint="default" w:ascii="Times New Roman" w:hAnsi="Times New Roman" w:eastAsia="宋体" w:cs="Times New Roman"/>
                <w:smallCaps w:val="0"/>
                <w:snapToGrid w:val="0"/>
                <w:color w:val="auto"/>
                <w:spacing w:val="0"/>
                <w:kern w:val="0"/>
                <w:sz w:val="24"/>
                <w:szCs w:val="24"/>
                <w:lang w:bidi="ar"/>
              </w:rPr>
              <w:t>，</w:t>
            </w:r>
            <w:r>
              <w:rPr>
                <w:rFonts w:hint="default" w:ascii="Times New Roman" w:hAnsi="Times New Roman" w:eastAsia="宋体" w:cs="Times New Roman"/>
                <w:smallCaps w:val="0"/>
                <w:snapToGrid w:val="0"/>
                <w:color w:val="auto"/>
                <w:spacing w:val="0"/>
                <w:kern w:val="0"/>
                <w:sz w:val="24"/>
                <w:szCs w:val="24"/>
                <w:lang w:val="en-US" w:eastAsia="zh-CN" w:bidi="ar"/>
              </w:rPr>
              <w:t>六项污染物全部达标即为城市环境空气质量达标</w:t>
            </w:r>
            <w:r>
              <w:rPr>
                <w:rFonts w:hint="default" w:ascii="Times New Roman" w:hAnsi="Times New Roman" w:eastAsia="宋体" w:cs="Times New Roman"/>
                <w:smallCaps w:val="0"/>
                <w:snapToGrid w:val="0"/>
                <w:color w:val="auto"/>
                <w:spacing w:val="0"/>
                <w:kern w:val="0"/>
                <w:sz w:val="24"/>
                <w:szCs w:val="24"/>
                <w:lang w:eastAsia="zh-CN"/>
              </w:rPr>
              <w:t>”，</w:t>
            </w:r>
            <w:r>
              <w:rPr>
                <w:rFonts w:hint="default" w:ascii="Times New Roman" w:hAnsi="Times New Roman" w:eastAsia="宋体" w:cs="Times New Roman"/>
                <w:smallCaps w:val="0"/>
                <w:snapToGrid w:val="0"/>
                <w:color w:val="auto"/>
                <w:spacing w:val="0"/>
                <w:kern w:val="0"/>
                <w:sz w:val="24"/>
                <w:szCs w:val="24"/>
                <w:lang w:bidi="ar"/>
              </w:rPr>
              <w:t>因此判定为非达标区</w:t>
            </w:r>
            <w:r>
              <w:rPr>
                <w:rFonts w:hint="default" w:ascii="Times New Roman" w:hAnsi="Times New Roman" w:eastAsia="宋体" w:cs="Times New Roman"/>
                <w:bCs/>
                <w:smallCaps w:val="0"/>
                <w:snapToGrid w:val="0"/>
                <w:color w:val="auto"/>
                <w:spacing w:val="0"/>
                <w:kern w:val="0"/>
                <w:sz w:val="24"/>
                <w:szCs w:val="24"/>
              </w:rPr>
              <w:t>。</w:t>
            </w:r>
          </w:p>
          <w:p w14:paraId="4FE97753">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snapToGrid w:val="0"/>
                <w:color w:val="auto"/>
                <w:spacing w:val="0"/>
                <w:kern w:val="0"/>
                <w:sz w:val="24"/>
                <w:szCs w:val="24"/>
              </w:rPr>
            </w:pPr>
            <w:r>
              <w:rPr>
                <w:rFonts w:hint="default" w:ascii="Times New Roman" w:hAnsi="Times New Roman" w:eastAsia="宋体" w:cs="Times New Roman"/>
                <w:bCs w:val="0"/>
                <w:smallCaps w:val="0"/>
                <w:snapToGrid w:val="0"/>
                <w:color w:val="auto"/>
                <w:spacing w:val="0"/>
                <w:kern w:val="0"/>
                <w:sz w:val="24"/>
                <w:szCs w:val="24"/>
              </w:rPr>
              <w:t>区域整治计划：</w:t>
            </w:r>
          </w:p>
          <w:p w14:paraId="4823FB93">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snapToGrid w:val="0"/>
                <w:color w:val="auto"/>
                <w:spacing w:val="0"/>
                <w:kern w:val="0"/>
                <w:sz w:val="24"/>
                <w:szCs w:val="24"/>
                <w:lang w:eastAsia="zh-CN"/>
              </w:rPr>
            </w:pPr>
            <w:r>
              <w:rPr>
                <w:rFonts w:hint="default" w:ascii="Times New Roman" w:hAnsi="Times New Roman" w:eastAsia="宋体" w:cs="Times New Roman"/>
                <w:bCs w:val="0"/>
                <w:smallCaps w:val="0"/>
                <w:snapToGrid w:val="0"/>
                <w:color w:val="auto"/>
                <w:spacing w:val="0"/>
                <w:kern w:val="0"/>
                <w:sz w:val="24"/>
                <w:szCs w:val="24"/>
              </w:rPr>
              <w:t>根据常州市生态文明建设委员会关于印发《2024年度全面推进美丽常州建设工作方案》的通知，主要举措如下</w:t>
            </w:r>
            <w:r>
              <w:rPr>
                <w:rFonts w:hint="default" w:ascii="Times New Roman" w:hAnsi="Times New Roman" w:eastAsia="宋体" w:cs="Times New Roman"/>
                <w:bCs w:val="0"/>
                <w:smallCaps w:val="0"/>
                <w:snapToGrid w:val="0"/>
                <w:color w:val="auto"/>
                <w:spacing w:val="0"/>
                <w:kern w:val="0"/>
                <w:sz w:val="24"/>
                <w:szCs w:val="24"/>
                <w:lang w:eastAsia="zh-CN"/>
              </w:rPr>
              <w:t>：</w:t>
            </w:r>
          </w:p>
          <w:p w14:paraId="349DC65F">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snapToGrid w:val="0"/>
                <w:color w:val="auto"/>
                <w:spacing w:val="0"/>
                <w:kern w:val="0"/>
                <w:sz w:val="24"/>
                <w:szCs w:val="24"/>
              </w:rPr>
            </w:pPr>
            <w:r>
              <w:rPr>
                <w:rFonts w:hint="default" w:ascii="Times New Roman" w:hAnsi="Times New Roman" w:eastAsia="宋体" w:cs="Times New Roman"/>
                <w:bCs w:val="0"/>
                <w:smallCaps w:val="0"/>
                <w:snapToGrid w:val="0"/>
                <w:color w:val="auto"/>
                <w:spacing w:val="0"/>
                <w:kern w:val="0"/>
                <w:sz w:val="24"/>
                <w:szCs w:val="24"/>
              </w:rPr>
              <w:t>开展火电煤堆场专项整治行动。年内完成国能常州发电有限公司、常州经开区亚太热电2家火电“一企一策”综合整治，年底前完成广达热电关闭退出工作。抓好钢铁、水泥、铸造、垃圾焚烧、汽修“五大行业"整治。完成宝润钢铁全流程超低排放改造</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完成江苏常宝钢管股份有限公司2台工业炉窑烟气脱硝或低氨改造</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完成光大常高新垃圾焚烧提标改造。</w:t>
            </w:r>
          </w:p>
          <w:p w14:paraId="687CB124">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snapToGrid w:val="0"/>
                <w:color w:val="auto"/>
                <w:spacing w:val="0"/>
                <w:kern w:val="0"/>
                <w:sz w:val="24"/>
                <w:szCs w:val="24"/>
              </w:rPr>
            </w:pPr>
            <w:r>
              <w:rPr>
                <w:rFonts w:hint="default" w:ascii="Times New Roman" w:hAnsi="Times New Roman" w:eastAsia="宋体" w:cs="Times New Roman"/>
                <w:bCs w:val="0"/>
                <w:smallCaps w:val="0"/>
                <w:snapToGrid w:val="0"/>
                <w:color w:val="auto"/>
                <w:spacing w:val="0"/>
                <w:kern w:val="0"/>
                <w:sz w:val="24"/>
                <w:szCs w:val="24"/>
              </w:rPr>
              <w:t>推进燃烧法工艺(RTO、RCO、TO)治污设施建设</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力争4月底前完成50%以上的年度VOCs治理重点工程项目。9月底前完成154家汽修行业企业全面排查和系统治理。强化挥发性有机物全过程全环节综合治理</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实施源头替代工程</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年内木质家具制造、工程机械替代比例力争达到80%，汽车零部件及配件制造、钢结构(防腐级别C4及以上的除外)替代比例力争达到60%。</w:t>
            </w:r>
          </w:p>
          <w:p w14:paraId="532FA569">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snapToGrid w:val="0"/>
                <w:color w:val="auto"/>
                <w:spacing w:val="0"/>
                <w:kern w:val="0"/>
                <w:sz w:val="24"/>
                <w:szCs w:val="24"/>
              </w:rPr>
            </w:pPr>
            <w:r>
              <w:rPr>
                <w:rFonts w:hint="default" w:ascii="Times New Roman" w:hAnsi="Times New Roman" w:eastAsia="宋体" w:cs="Times New Roman"/>
                <w:bCs w:val="0"/>
                <w:smallCaps w:val="0"/>
                <w:snapToGrid w:val="0"/>
                <w:color w:val="auto"/>
                <w:spacing w:val="0"/>
                <w:kern w:val="0"/>
                <w:sz w:val="24"/>
                <w:szCs w:val="24"/>
              </w:rPr>
              <w:t>开展虚假“油改水”专项清理。常州滨江经济开发区新材料产业园、金坛新材料科技产业园制定化工园区综合整治方案</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建立统一的泄露检测与修复信息管理平台。对挥发性有机液体储罐开展排查，4月底前符合要求的力争实现全更换。中石油、中石化两个油库完成储罐浮盘高效密封改造。持续加强原油成品油码头和油船挥发性有机物治理。开展55家水泥行业企业和43家玻璃行业企业排查整治，对733家铸造企业“回头看”</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培育环保绩效AB级水平标杆企业37家以上。鼓励开展清洁生产审核的铸造企业</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主动提升清洁生产先进水平。</w:t>
            </w:r>
          </w:p>
          <w:p w14:paraId="6EB2B59D">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snapToGrid w:val="0"/>
                <w:color w:val="auto"/>
                <w:spacing w:val="0"/>
                <w:kern w:val="0"/>
                <w:sz w:val="24"/>
                <w:szCs w:val="24"/>
              </w:rPr>
            </w:pPr>
            <w:r>
              <w:rPr>
                <w:rFonts w:hint="default" w:ascii="Times New Roman" w:hAnsi="Times New Roman" w:eastAsia="宋体" w:cs="Times New Roman"/>
                <w:bCs w:val="0"/>
                <w:smallCaps w:val="0"/>
                <w:snapToGrid w:val="0"/>
                <w:color w:val="auto"/>
                <w:spacing w:val="0"/>
                <w:kern w:val="0"/>
                <w:sz w:val="24"/>
                <w:szCs w:val="24"/>
              </w:rPr>
              <w:t>强化施工工地、道路、园林绿化、裸地以及港口码头等扬尘治理，严格执行《常州市扬尘污染防治管理办法》要求，施工工地严格执行“六个百分百”要求</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“两区三厂”范围内无大面积未覆盖裸土。推进规模以上工地安装扬尘在线监测和视频监控设备</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鼓励实施监测超标预警和喷淋、雾炮等设施的远程控制与自动降尘有效联动。持续对全市63个镇(街道)园区实施降尘考核，全市降坐不得高于2.2吨/平方千米·月。</w:t>
            </w:r>
          </w:p>
          <w:p w14:paraId="71C72A12">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snapToGrid w:val="0"/>
                <w:color w:val="auto"/>
                <w:spacing w:val="0"/>
                <w:kern w:val="0"/>
                <w:sz w:val="24"/>
                <w:szCs w:val="24"/>
                <w:lang w:eastAsia="zh-CN"/>
              </w:rPr>
            </w:pPr>
            <w:r>
              <w:rPr>
                <w:rFonts w:hint="default" w:ascii="Times New Roman" w:hAnsi="Times New Roman" w:eastAsia="宋体" w:cs="Times New Roman"/>
                <w:bCs w:val="0"/>
                <w:smallCaps w:val="0"/>
                <w:snapToGrid w:val="0"/>
                <w:color w:val="auto"/>
                <w:spacing w:val="0"/>
                <w:kern w:val="0"/>
                <w:sz w:val="24"/>
                <w:szCs w:val="24"/>
              </w:rPr>
              <w:t>开展餐饮油烟专项治理，推动产生油烟或异味的餐饮服务单位安装油烟净化装置并定期维护</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每季度清洗一次烟道。推进建设钟楼吾悦国际综合体为主要集中治理区域的餐饮油烟治理示范街区。严格落实《江苏省重污染天气应急预案》有关要求，9月底前完成绩效分级、应急减排清单和豁免企业清单修订工作。加强秸秆禁烧，全面提升秸秆收、运、贮、用等方面能力。加强春节、中秋、国庆等重点时段的烟花爆竹燃放管控工作</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严防禁放区内发生聚集性违规燃放。溧阳高新区开展减污降碳协同创新试点，制定形成试点任务清单</w:t>
            </w:r>
            <w:r>
              <w:rPr>
                <w:rFonts w:hint="default" w:ascii="Times New Roman" w:hAnsi="Times New Roman" w:eastAsia="宋体" w:cs="Times New Roman"/>
                <w:bCs w:val="0"/>
                <w:smallCaps w:val="0"/>
                <w:snapToGrid w:val="0"/>
                <w:color w:val="auto"/>
                <w:spacing w:val="0"/>
                <w:kern w:val="0"/>
                <w:sz w:val="24"/>
                <w:szCs w:val="24"/>
                <w:lang w:eastAsia="zh-CN"/>
              </w:rPr>
              <w:t>。</w:t>
            </w:r>
          </w:p>
          <w:p w14:paraId="64BC08FB">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snapToGrid w:val="0"/>
                <w:color w:val="auto"/>
                <w:spacing w:val="0"/>
                <w:kern w:val="0"/>
                <w:sz w:val="24"/>
                <w:szCs w:val="24"/>
              </w:rPr>
            </w:pPr>
            <w:r>
              <w:rPr>
                <w:rFonts w:hint="default" w:ascii="Times New Roman" w:hAnsi="Times New Roman" w:eastAsia="宋体" w:cs="Times New Roman"/>
                <w:bCs w:val="0"/>
                <w:smallCaps w:val="0"/>
                <w:snapToGrid w:val="0"/>
                <w:color w:val="auto"/>
                <w:spacing w:val="0"/>
                <w:kern w:val="0"/>
                <w:sz w:val="24"/>
                <w:szCs w:val="24"/>
              </w:rPr>
              <w:t>项目所在区域环境空气质量目前暂不达标</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采取上述措施后</w:t>
            </w:r>
            <w:r>
              <w:rPr>
                <w:rFonts w:hint="default" w:ascii="Times New Roman" w:hAnsi="Times New Roman" w:eastAsia="宋体" w:cs="Times New Roman"/>
                <w:bCs w:val="0"/>
                <w:smallCaps w:val="0"/>
                <w:snapToGrid w:val="0"/>
                <w:color w:val="auto"/>
                <w:spacing w:val="0"/>
                <w:kern w:val="0"/>
                <w:sz w:val="24"/>
                <w:szCs w:val="24"/>
                <w:lang w:eastAsia="zh-CN"/>
              </w:rPr>
              <w:t>，</w:t>
            </w:r>
            <w:r>
              <w:rPr>
                <w:rFonts w:hint="default" w:ascii="Times New Roman" w:hAnsi="Times New Roman" w:eastAsia="宋体" w:cs="Times New Roman"/>
                <w:bCs w:val="0"/>
                <w:smallCaps w:val="0"/>
                <w:snapToGrid w:val="0"/>
                <w:color w:val="auto"/>
                <w:spacing w:val="0"/>
                <w:kern w:val="0"/>
                <w:sz w:val="24"/>
                <w:szCs w:val="24"/>
              </w:rPr>
              <w:t>大气环境质量状况可以得到进一步改善。</w:t>
            </w:r>
          </w:p>
          <w:p w14:paraId="42CD4CC6">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snapToGrid w:val="0"/>
                <w:color w:val="auto"/>
                <w:spacing w:val="0"/>
                <w:kern w:val="0"/>
                <w:position w:val="0"/>
                <w:sz w:val="24"/>
                <w:szCs w:val="24"/>
              </w:rPr>
            </w:pPr>
            <w:r>
              <w:rPr>
                <w:rFonts w:hint="default" w:ascii="Times New Roman" w:hAnsi="Times New Roman" w:eastAsia="宋体" w:cs="Times New Roman"/>
                <w:smallCaps w:val="0"/>
                <w:snapToGrid w:val="0"/>
                <w:color w:val="auto"/>
                <w:spacing w:val="0"/>
                <w:kern w:val="0"/>
                <w:position w:val="0"/>
                <w:sz w:val="24"/>
                <w:szCs w:val="24"/>
              </w:rPr>
              <w:t>（2）项目拟建地环境空气质量现状</w:t>
            </w:r>
          </w:p>
          <w:p w14:paraId="4F6FD3C0">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snapToGrid w:val="0"/>
                <w:color w:val="auto"/>
                <w:spacing w:val="0"/>
                <w:kern w:val="0"/>
                <w:position w:val="0"/>
                <w:sz w:val="24"/>
                <w:szCs w:val="24"/>
              </w:rPr>
            </w:pPr>
            <w:r>
              <w:rPr>
                <w:rFonts w:hint="default" w:ascii="Times New Roman" w:hAnsi="Times New Roman" w:eastAsia="宋体" w:cs="Times New Roman"/>
                <w:smallCaps w:val="0"/>
                <w:snapToGrid w:val="0"/>
                <w:color w:val="auto"/>
                <w:spacing w:val="0"/>
                <w:kern w:val="0"/>
                <w:position w:val="0"/>
                <w:sz w:val="24"/>
                <w:szCs w:val="24"/>
              </w:rPr>
              <w:t>根据《关于印发《建设项目环境影响报告表》内容、格式及编制技术指南的通知》(环办环评〔2020〕33号)“排放国家、地方环境空气质量标准中有标准限值要求的特征污染物时，引用建设项目周边5千米范围内近3年的现有监测数据”，本项目特征污染物为</w:t>
            </w:r>
            <w:r>
              <w:rPr>
                <w:rFonts w:hint="default" w:ascii="Times New Roman" w:hAnsi="Times New Roman" w:eastAsia="宋体" w:cs="Times New Roman"/>
                <w:smallCaps w:val="0"/>
                <w:snapToGrid w:val="0"/>
                <w:color w:val="auto"/>
                <w:spacing w:val="0"/>
                <w:kern w:val="0"/>
                <w:position w:val="0"/>
                <w:sz w:val="24"/>
                <w:szCs w:val="24"/>
                <w:lang w:val="en-US" w:eastAsia="zh-CN"/>
              </w:rPr>
              <w:t>非甲烷总烃</w:t>
            </w:r>
            <w:r>
              <w:rPr>
                <w:rFonts w:hint="default" w:ascii="Times New Roman" w:hAnsi="Times New Roman" w:eastAsia="宋体" w:cs="Times New Roman"/>
                <w:smallCaps w:val="0"/>
                <w:snapToGrid w:val="0"/>
                <w:color w:val="auto"/>
                <w:spacing w:val="0"/>
                <w:kern w:val="0"/>
                <w:position w:val="0"/>
                <w:sz w:val="24"/>
                <w:szCs w:val="24"/>
              </w:rPr>
              <w:t>，非甲烷总烃引用TST202411058特斯特(江苏)检测科技有限公司于2024.11.11-2024.11.17对</w:t>
            </w:r>
            <w:r>
              <w:rPr>
                <w:rFonts w:hint="eastAsia" w:eastAsia="宋体" w:cs="Times New Roman"/>
                <w:smallCaps w:val="0"/>
                <w:snapToGrid w:val="0"/>
                <w:color w:val="auto"/>
                <w:spacing w:val="0"/>
                <w:kern w:val="0"/>
                <w:position w:val="0"/>
                <w:sz w:val="24"/>
                <w:szCs w:val="24"/>
                <w:lang w:eastAsia="zh-CN"/>
              </w:rPr>
              <w:t>常州市金坛区金东环保工程有限公司东侧</w:t>
            </w:r>
            <w:r>
              <w:rPr>
                <w:rFonts w:hint="default" w:ascii="Times New Roman" w:hAnsi="Times New Roman" w:eastAsia="宋体" w:cs="Times New Roman"/>
                <w:smallCaps w:val="0"/>
                <w:snapToGrid w:val="0"/>
                <w:color w:val="auto"/>
                <w:spacing w:val="0"/>
                <w:kern w:val="0"/>
                <w:position w:val="0"/>
                <w:sz w:val="24"/>
                <w:szCs w:val="24"/>
              </w:rPr>
              <w:t>（距离本项目</w:t>
            </w:r>
            <w:r>
              <w:rPr>
                <w:rFonts w:hint="eastAsia" w:eastAsia="宋体" w:cs="Times New Roman"/>
                <w:smallCaps w:val="0"/>
                <w:snapToGrid w:val="0"/>
                <w:color w:val="auto"/>
                <w:spacing w:val="0"/>
                <w:kern w:val="0"/>
                <w:position w:val="0"/>
                <w:sz w:val="24"/>
                <w:szCs w:val="24"/>
                <w:lang w:val="en-US" w:eastAsia="zh-CN"/>
              </w:rPr>
              <w:t>2.3</w:t>
            </w:r>
            <w:r>
              <w:rPr>
                <w:rFonts w:hint="default" w:ascii="Times New Roman" w:hAnsi="Times New Roman" w:eastAsia="宋体" w:cs="Times New Roman"/>
                <w:smallCaps w:val="0"/>
                <w:snapToGrid w:val="0"/>
                <w:color w:val="auto"/>
                <w:spacing w:val="0"/>
                <w:kern w:val="0"/>
                <w:position w:val="0"/>
                <w:sz w:val="24"/>
                <w:szCs w:val="24"/>
              </w:rPr>
              <w:t>km＜5km）监测的非甲烷总烃。</w:t>
            </w:r>
          </w:p>
          <w:p w14:paraId="127F3816">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snapToGrid w:val="0"/>
                <w:color w:val="auto"/>
                <w:spacing w:val="0"/>
                <w:kern w:val="0"/>
                <w:position w:val="0"/>
                <w:sz w:val="24"/>
                <w:szCs w:val="24"/>
              </w:rPr>
            </w:pPr>
            <w:r>
              <w:rPr>
                <w:rFonts w:hint="default" w:ascii="Times New Roman" w:hAnsi="Times New Roman" w:eastAsia="宋体" w:cs="Times New Roman"/>
                <w:smallCaps w:val="0"/>
                <w:snapToGrid w:val="0"/>
                <w:color w:val="auto"/>
                <w:spacing w:val="0"/>
                <w:kern w:val="0"/>
                <w:position w:val="0"/>
                <w:sz w:val="24"/>
                <w:szCs w:val="24"/>
              </w:rPr>
              <w:t>引用的监测点位（常州市金坛区金东环保工程有限公司东侧G1）位于本项目大气环境影响评价范围内，监测数据距今尚在3年有效期内，监测期间至今区域内未新增明显的大气污染源；本次引用的大气环境质量数据符合引用原则。</w:t>
            </w:r>
          </w:p>
          <w:p w14:paraId="0A2EB808">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snapToGrid w:val="0"/>
                <w:color w:val="auto"/>
                <w:spacing w:val="0"/>
                <w:kern w:val="0"/>
                <w:position w:val="0"/>
                <w:sz w:val="24"/>
                <w:szCs w:val="24"/>
                <w:highlight w:val="yellow"/>
              </w:rPr>
            </w:pPr>
            <w:r>
              <w:rPr>
                <w:rFonts w:hint="default" w:ascii="Times New Roman" w:hAnsi="Times New Roman" w:eastAsia="宋体" w:cs="Times New Roman"/>
                <w:smallCaps w:val="0"/>
                <w:snapToGrid w:val="0"/>
                <w:color w:val="auto"/>
                <w:spacing w:val="0"/>
                <w:kern w:val="0"/>
                <w:position w:val="0"/>
                <w:sz w:val="24"/>
                <w:szCs w:val="24"/>
              </w:rPr>
              <w:t>其他污染物补充监测点位信息见表3-2，其他污染物环境质量现状（监测结果）见表3-3，引用数据报告编号：TST202502019。</w:t>
            </w:r>
          </w:p>
          <w:p w14:paraId="2D02B273">
            <w:pPr>
              <w:pStyle w:val="2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lang w:val="en-US" w:eastAsia="zh-CN" w:bidi="ar-SA"/>
              </w:rPr>
              <w:t>表3-3其他污染物补充监测点位基本信息</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autofit"/>
              <w:tblCellMar>
                <w:top w:w="0" w:type="dxa"/>
                <w:left w:w="108" w:type="dxa"/>
                <w:bottom w:w="0" w:type="dxa"/>
                <w:right w:w="108" w:type="dxa"/>
              </w:tblCellMar>
            </w:tblPr>
            <w:tblGrid>
              <w:gridCol w:w="2333"/>
              <w:gridCol w:w="1197"/>
              <w:gridCol w:w="2361"/>
              <w:gridCol w:w="1037"/>
              <w:gridCol w:w="1460"/>
            </w:tblGrid>
            <w:tr w14:paraId="339E4C7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272" w:hRule="atLeast"/>
                <w:jc w:val="center"/>
              </w:trPr>
              <w:tc>
                <w:tcPr>
                  <w:tcW w:w="1390" w:type="pct"/>
                  <w:vMerge w:val="restart"/>
                  <w:tcBorders>
                    <w:top w:val="single" w:color="000000" w:sz="12" w:space="0"/>
                    <w:left w:val="nil"/>
                    <w:bottom w:val="single" w:color="auto" w:sz="4" w:space="0"/>
                    <w:right w:val="single" w:color="auto" w:sz="4" w:space="0"/>
                  </w:tcBorders>
                  <w:noWrap w:val="0"/>
                  <w:vAlign w:val="center"/>
                </w:tcPr>
                <w:p w14:paraId="49D9DC1B">
                  <w:pPr>
                    <w:jc w:val="center"/>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监测点</w:t>
                  </w:r>
                </w:p>
              </w:tc>
              <w:tc>
                <w:tcPr>
                  <w:tcW w:w="713" w:type="pct"/>
                  <w:vMerge w:val="restart"/>
                  <w:tcBorders>
                    <w:top w:val="single" w:color="000000" w:sz="12" w:space="0"/>
                    <w:left w:val="single" w:color="auto" w:sz="4" w:space="0"/>
                    <w:bottom w:val="single" w:color="000000" w:sz="4" w:space="0"/>
                    <w:right w:val="single" w:color="auto" w:sz="4" w:space="0"/>
                  </w:tcBorders>
                  <w:noWrap w:val="0"/>
                  <w:vAlign w:val="center"/>
                </w:tcPr>
                <w:p w14:paraId="2D14D1AB">
                  <w:pPr>
                    <w:jc w:val="center"/>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监测因子</w:t>
                  </w:r>
                </w:p>
              </w:tc>
              <w:tc>
                <w:tcPr>
                  <w:tcW w:w="1407" w:type="pct"/>
                  <w:vMerge w:val="restart"/>
                  <w:tcBorders>
                    <w:top w:val="single" w:color="000000" w:sz="12" w:space="0"/>
                    <w:left w:val="single" w:color="auto" w:sz="4" w:space="0"/>
                    <w:bottom w:val="single" w:color="000000" w:sz="4" w:space="0"/>
                    <w:right w:val="single" w:color="auto" w:sz="4" w:space="0"/>
                  </w:tcBorders>
                  <w:noWrap w:val="0"/>
                  <w:vAlign w:val="center"/>
                </w:tcPr>
                <w:p w14:paraId="12E4C244">
                  <w:pPr>
                    <w:jc w:val="center"/>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监测时段</w:t>
                  </w:r>
                </w:p>
              </w:tc>
              <w:tc>
                <w:tcPr>
                  <w:tcW w:w="618" w:type="pct"/>
                  <w:vMerge w:val="restart"/>
                  <w:tcBorders>
                    <w:top w:val="single" w:color="000000" w:sz="12" w:space="0"/>
                    <w:left w:val="single" w:color="auto" w:sz="4" w:space="0"/>
                    <w:bottom w:val="single" w:color="000000" w:sz="4" w:space="0"/>
                    <w:right w:val="single" w:color="auto" w:sz="4" w:space="0"/>
                  </w:tcBorders>
                  <w:noWrap w:val="0"/>
                  <w:vAlign w:val="center"/>
                </w:tcPr>
                <w:p w14:paraId="063E6B5E">
                  <w:pPr>
                    <w:jc w:val="center"/>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相对厂址方位</w:t>
                  </w:r>
                </w:p>
              </w:tc>
              <w:tc>
                <w:tcPr>
                  <w:tcW w:w="870" w:type="pct"/>
                  <w:vMerge w:val="restart"/>
                  <w:tcBorders>
                    <w:top w:val="single" w:color="000000" w:sz="12" w:space="0"/>
                    <w:left w:val="single" w:color="auto" w:sz="4" w:space="0"/>
                    <w:bottom w:val="single" w:color="000000" w:sz="4" w:space="0"/>
                    <w:right w:val="nil"/>
                  </w:tcBorders>
                  <w:noWrap w:val="0"/>
                  <w:vAlign w:val="center"/>
                </w:tcPr>
                <w:p w14:paraId="16FAB025">
                  <w:pPr>
                    <w:jc w:val="center"/>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相对本项目车间距离（m）</w:t>
                  </w:r>
                </w:p>
              </w:tc>
            </w:tr>
            <w:tr w14:paraId="555F641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272" w:hRule="atLeast"/>
                <w:jc w:val="center"/>
              </w:trPr>
              <w:tc>
                <w:tcPr>
                  <w:tcW w:w="1390" w:type="pct"/>
                  <w:vMerge w:val="continue"/>
                  <w:tcBorders>
                    <w:top w:val="single" w:color="000000" w:sz="12" w:space="0"/>
                    <w:left w:val="nil"/>
                    <w:bottom w:val="single" w:color="auto" w:sz="4" w:space="0"/>
                    <w:right w:val="single" w:color="auto" w:sz="4" w:space="0"/>
                  </w:tcBorders>
                  <w:noWrap w:val="0"/>
                  <w:vAlign w:val="center"/>
                </w:tcPr>
                <w:p w14:paraId="5ACCEDB8">
                  <w:pPr>
                    <w:widowControl/>
                    <w:jc w:val="left"/>
                    <w:rPr>
                      <w:rFonts w:hint="default" w:ascii="Times New Roman" w:hAnsi="Times New Roman" w:eastAsia="宋体" w:cs="Times New Roman"/>
                      <w:b/>
                      <w:bCs/>
                      <w:smallCaps w:val="0"/>
                      <w:color w:val="auto"/>
                      <w:spacing w:val="0"/>
                      <w:kern w:val="0"/>
                      <w:position w:val="0"/>
                    </w:rPr>
                  </w:pPr>
                </w:p>
              </w:tc>
              <w:tc>
                <w:tcPr>
                  <w:tcW w:w="713" w:type="pct"/>
                  <w:vMerge w:val="continue"/>
                  <w:tcBorders>
                    <w:top w:val="single" w:color="000000" w:sz="12" w:space="0"/>
                    <w:left w:val="single" w:color="auto" w:sz="4" w:space="0"/>
                    <w:bottom w:val="single" w:color="000000" w:sz="4" w:space="0"/>
                    <w:right w:val="single" w:color="auto" w:sz="4" w:space="0"/>
                  </w:tcBorders>
                  <w:noWrap w:val="0"/>
                  <w:vAlign w:val="center"/>
                </w:tcPr>
                <w:p w14:paraId="45E39AF2">
                  <w:pPr>
                    <w:widowControl/>
                    <w:jc w:val="left"/>
                    <w:rPr>
                      <w:rFonts w:hint="default" w:ascii="Times New Roman" w:hAnsi="Times New Roman" w:eastAsia="宋体" w:cs="Times New Roman"/>
                      <w:b/>
                      <w:bCs/>
                      <w:smallCaps w:val="0"/>
                      <w:color w:val="auto"/>
                      <w:spacing w:val="0"/>
                      <w:kern w:val="0"/>
                      <w:position w:val="0"/>
                    </w:rPr>
                  </w:pPr>
                </w:p>
              </w:tc>
              <w:tc>
                <w:tcPr>
                  <w:tcW w:w="1407" w:type="pct"/>
                  <w:vMerge w:val="continue"/>
                  <w:tcBorders>
                    <w:top w:val="single" w:color="000000" w:sz="12" w:space="0"/>
                    <w:left w:val="single" w:color="auto" w:sz="4" w:space="0"/>
                    <w:bottom w:val="single" w:color="000000" w:sz="4" w:space="0"/>
                    <w:right w:val="single" w:color="auto" w:sz="4" w:space="0"/>
                  </w:tcBorders>
                  <w:noWrap w:val="0"/>
                  <w:vAlign w:val="center"/>
                </w:tcPr>
                <w:p w14:paraId="518DC841">
                  <w:pPr>
                    <w:widowControl/>
                    <w:jc w:val="left"/>
                    <w:rPr>
                      <w:rFonts w:hint="default" w:ascii="Times New Roman" w:hAnsi="Times New Roman" w:eastAsia="宋体" w:cs="Times New Roman"/>
                      <w:b/>
                      <w:bCs/>
                      <w:smallCaps w:val="0"/>
                      <w:color w:val="auto"/>
                      <w:spacing w:val="0"/>
                      <w:kern w:val="0"/>
                      <w:position w:val="0"/>
                    </w:rPr>
                  </w:pPr>
                </w:p>
              </w:tc>
              <w:tc>
                <w:tcPr>
                  <w:tcW w:w="618" w:type="pct"/>
                  <w:vMerge w:val="continue"/>
                  <w:tcBorders>
                    <w:top w:val="single" w:color="000000" w:sz="12" w:space="0"/>
                    <w:left w:val="single" w:color="auto" w:sz="4" w:space="0"/>
                    <w:bottom w:val="single" w:color="000000" w:sz="4" w:space="0"/>
                    <w:right w:val="single" w:color="auto" w:sz="4" w:space="0"/>
                  </w:tcBorders>
                  <w:noWrap w:val="0"/>
                  <w:vAlign w:val="center"/>
                </w:tcPr>
                <w:p w14:paraId="1C3DE2EF">
                  <w:pPr>
                    <w:widowControl/>
                    <w:jc w:val="left"/>
                    <w:rPr>
                      <w:rFonts w:hint="default" w:ascii="Times New Roman" w:hAnsi="Times New Roman" w:eastAsia="宋体" w:cs="Times New Roman"/>
                      <w:b/>
                      <w:bCs/>
                      <w:smallCaps w:val="0"/>
                      <w:color w:val="auto"/>
                      <w:spacing w:val="0"/>
                      <w:kern w:val="0"/>
                      <w:position w:val="0"/>
                    </w:rPr>
                  </w:pPr>
                </w:p>
              </w:tc>
              <w:tc>
                <w:tcPr>
                  <w:tcW w:w="870" w:type="pct"/>
                  <w:vMerge w:val="continue"/>
                  <w:tcBorders>
                    <w:top w:val="single" w:color="000000" w:sz="12" w:space="0"/>
                    <w:left w:val="single" w:color="auto" w:sz="4" w:space="0"/>
                    <w:bottom w:val="single" w:color="000000" w:sz="4" w:space="0"/>
                    <w:right w:val="nil"/>
                  </w:tcBorders>
                  <w:noWrap w:val="0"/>
                  <w:vAlign w:val="center"/>
                </w:tcPr>
                <w:p w14:paraId="3280834A">
                  <w:pPr>
                    <w:widowControl/>
                    <w:jc w:val="left"/>
                    <w:rPr>
                      <w:rFonts w:hint="default" w:ascii="Times New Roman" w:hAnsi="Times New Roman" w:eastAsia="宋体" w:cs="Times New Roman"/>
                      <w:b/>
                      <w:bCs/>
                      <w:smallCaps w:val="0"/>
                      <w:color w:val="auto"/>
                      <w:spacing w:val="0"/>
                      <w:kern w:val="0"/>
                      <w:position w:val="0"/>
                    </w:rPr>
                  </w:pPr>
                </w:p>
              </w:tc>
            </w:tr>
            <w:tr w14:paraId="628CD5E9">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257" w:hRule="atLeast"/>
                <w:jc w:val="center"/>
              </w:trPr>
              <w:tc>
                <w:tcPr>
                  <w:tcW w:w="1390" w:type="pct"/>
                  <w:tcBorders>
                    <w:top w:val="single" w:color="auto" w:sz="4" w:space="0"/>
                    <w:left w:val="nil"/>
                    <w:bottom w:val="single" w:color="000000" w:sz="12" w:space="0"/>
                    <w:right w:val="single" w:color="auto" w:sz="4" w:space="0"/>
                  </w:tcBorders>
                  <w:shd w:val="clear" w:color="auto" w:fill="auto"/>
                  <w:noWrap w:val="0"/>
                  <w:vAlign w:val="center"/>
                </w:tcPr>
                <w:p w14:paraId="145F61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eastAsia" w:cs="Times New Roman"/>
                      <w:smallCaps w:val="0"/>
                      <w:color w:val="auto"/>
                      <w:spacing w:val="0"/>
                      <w:sz w:val="21"/>
                      <w:szCs w:val="21"/>
                      <w:lang w:val="en-US" w:eastAsia="zh-CN"/>
                    </w:rPr>
                    <w:t>常州市金坛区金东环保工程有限公司东侧</w:t>
                  </w:r>
                  <w:r>
                    <w:rPr>
                      <w:rFonts w:hint="default" w:ascii="Times New Roman" w:hAnsi="Times New Roman" w:eastAsia="宋体" w:cs="Times New Roman"/>
                      <w:smallCaps w:val="0"/>
                      <w:color w:val="auto"/>
                      <w:spacing w:val="0"/>
                      <w:sz w:val="21"/>
                      <w:szCs w:val="21"/>
                      <w:lang w:val="en-US" w:eastAsia="zh-CN"/>
                    </w:rPr>
                    <w:t>G1</w:t>
                  </w:r>
                </w:p>
              </w:tc>
              <w:tc>
                <w:tcPr>
                  <w:tcW w:w="713" w:type="pct"/>
                  <w:tcBorders>
                    <w:top w:val="single" w:color="000000" w:sz="4" w:space="0"/>
                    <w:left w:val="single" w:color="auto" w:sz="4" w:space="0"/>
                    <w:bottom w:val="single" w:color="000000" w:sz="12" w:space="0"/>
                    <w:right w:val="single" w:color="auto" w:sz="4" w:space="0"/>
                  </w:tcBorders>
                  <w:shd w:val="clear" w:color="auto" w:fill="auto"/>
                  <w:noWrap w:val="0"/>
                  <w:vAlign w:val="center"/>
                </w:tcPr>
                <w:p w14:paraId="1BA791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rPr>
                    <w:t>非甲烷总烃</w:t>
                  </w:r>
                </w:p>
              </w:tc>
              <w:tc>
                <w:tcPr>
                  <w:tcW w:w="1407" w:type="pct"/>
                  <w:tcBorders>
                    <w:top w:val="single" w:color="000000" w:sz="4" w:space="0"/>
                    <w:left w:val="single" w:color="auto" w:sz="4" w:space="0"/>
                    <w:bottom w:val="single" w:color="000000" w:sz="12" w:space="0"/>
                    <w:right w:val="single" w:color="auto" w:sz="4" w:space="0"/>
                  </w:tcBorders>
                  <w:shd w:val="clear" w:color="auto" w:fill="auto"/>
                  <w:noWrap w:val="0"/>
                  <w:vAlign w:val="center"/>
                </w:tcPr>
                <w:p w14:paraId="46CAE5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kern w:val="2"/>
                      <w:sz w:val="21"/>
                      <w:szCs w:val="21"/>
                      <w:lang w:val="en-US" w:eastAsia="zh-CN" w:bidi="ar-SA"/>
                    </w:rPr>
                    <w:t>2024.11.11-2024.11.17</w:t>
                  </w:r>
                </w:p>
              </w:tc>
              <w:tc>
                <w:tcPr>
                  <w:tcW w:w="618" w:type="pct"/>
                  <w:tcBorders>
                    <w:top w:val="single" w:color="000000" w:sz="4" w:space="0"/>
                    <w:left w:val="single" w:color="auto" w:sz="4" w:space="0"/>
                    <w:bottom w:val="single" w:color="000000" w:sz="12" w:space="0"/>
                    <w:right w:val="single" w:color="auto" w:sz="4" w:space="0"/>
                  </w:tcBorders>
                  <w:shd w:val="clear" w:color="auto" w:fill="auto"/>
                  <w:noWrap w:val="0"/>
                  <w:vAlign w:val="center"/>
                </w:tcPr>
                <w:p w14:paraId="0087E7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eastAsia" w:cs="Times New Roman"/>
                      <w:smallCaps w:val="0"/>
                      <w:color w:val="auto"/>
                      <w:spacing w:val="0"/>
                      <w:sz w:val="21"/>
                      <w:szCs w:val="21"/>
                      <w:lang w:val="en-US" w:eastAsia="zh-CN"/>
                    </w:rPr>
                    <w:t>SW</w:t>
                  </w:r>
                </w:p>
              </w:tc>
              <w:tc>
                <w:tcPr>
                  <w:tcW w:w="870" w:type="pct"/>
                  <w:tcBorders>
                    <w:top w:val="single" w:color="000000" w:sz="4" w:space="0"/>
                    <w:left w:val="single" w:color="auto" w:sz="4" w:space="0"/>
                    <w:bottom w:val="single" w:color="000000" w:sz="12" w:space="0"/>
                    <w:right w:val="nil"/>
                  </w:tcBorders>
                  <w:shd w:val="clear" w:color="auto" w:fill="auto"/>
                  <w:noWrap w:val="0"/>
                  <w:vAlign w:val="center"/>
                </w:tcPr>
                <w:p w14:paraId="6E9D9F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eastAsia" w:cs="Times New Roman"/>
                      <w:smallCaps w:val="0"/>
                      <w:color w:val="auto"/>
                      <w:spacing w:val="0"/>
                      <w:sz w:val="21"/>
                      <w:szCs w:val="21"/>
                      <w:lang w:val="en-US" w:eastAsia="zh-CN"/>
                    </w:rPr>
                    <w:t>2300</w:t>
                  </w:r>
                </w:p>
              </w:tc>
            </w:tr>
          </w:tbl>
          <w:p w14:paraId="03BFD91C">
            <w:pPr>
              <w:pStyle w:val="2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lang w:val="en-US" w:eastAsia="zh-CN" w:bidi="ar-SA"/>
              </w:rPr>
              <w:t>表3-4其他污染物补充监测结果</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16"/>
              <w:gridCol w:w="868"/>
              <w:gridCol w:w="1078"/>
              <w:gridCol w:w="1286"/>
              <w:gridCol w:w="1274"/>
              <w:gridCol w:w="954"/>
              <w:gridCol w:w="767"/>
            </w:tblGrid>
            <w:tr w14:paraId="10108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01" w:type="pct"/>
                  <w:tcBorders>
                    <w:top w:val="single" w:color="auto" w:sz="12" w:space="0"/>
                    <w:left w:val="nil"/>
                    <w:bottom w:val="single" w:color="auto" w:sz="4" w:space="0"/>
                    <w:right w:val="single" w:color="auto" w:sz="4" w:space="0"/>
                  </w:tcBorders>
                  <w:noWrap w:val="0"/>
                  <w:vAlign w:val="center"/>
                </w:tcPr>
                <w:p w14:paraId="5DD843C4">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监测点位</w:t>
                  </w:r>
                </w:p>
              </w:tc>
              <w:tc>
                <w:tcPr>
                  <w:tcW w:w="486" w:type="pct"/>
                  <w:tcBorders>
                    <w:top w:val="single" w:color="auto" w:sz="12" w:space="0"/>
                    <w:left w:val="single" w:color="auto" w:sz="4" w:space="0"/>
                    <w:bottom w:val="single" w:color="auto" w:sz="4" w:space="0"/>
                    <w:right w:val="single" w:color="auto" w:sz="4" w:space="0"/>
                  </w:tcBorders>
                  <w:noWrap w:val="0"/>
                  <w:vAlign w:val="center"/>
                </w:tcPr>
                <w:p w14:paraId="1545ABEA">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tc>
              <w:tc>
                <w:tcPr>
                  <w:tcW w:w="517" w:type="pct"/>
                  <w:tcBorders>
                    <w:top w:val="single" w:color="auto" w:sz="12" w:space="0"/>
                    <w:left w:val="single" w:color="auto" w:sz="4" w:space="0"/>
                    <w:bottom w:val="single" w:color="auto" w:sz="4" w:space="0"/>
                    <w:right w:val="single" w:color="auto" w:sz="4" w:space="0"/>
                  </w:tcBorders>
                  <w:noWrap w:val="0"/>
                  <w:vAlign w:val="center"/>
                </w:tcPr>
                <w:p w14:paraId="5733A047">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平均时间</w:t>
                  </w:r>
                </w:p>
              </w:tc>
              <w:tc>
                <w:tcPr>
                  <w:tcW w:w="642" w:type="pct"/>
                  <w:tcBorders>
                    <w:top w:val="single" w:color="auto" w:sz="12" w:space="0"/>
                    <w:left w:val="single" w:color="auto" w:sz="4" w:space="0"/>
                    <w:bottom w:val="single" w:color="auto" w:sz="4" w:space="0"/>
                    <w:right w:val="single" w:color="auto" w:sz="4" w:space="0"/>
                  </w:tcBorders>
                  <w:noWrap w:val="0"/>
                  <w:vAlign w:val="center"/>
                </w:tcPr>
                <w:p w14:paraId="792718D4">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评价标准mg/m</w:t>
                  </w:r>
                  <w:r>
                    <w:rPr>
                      <w:rFonts w:hint="default" w:ascii="Times New Roman" w:hAnsi="Times New Roman" w:eastAsia="宋体" w:cs="Times New Roman"/>
                      <w:b/>
                      <w:smallCaps w:val="0"/>
                      <w:color w:val="auto"/>
                      <w:spacing w:val="0"/>
                      <w:kern w:val="0"/>
                      <w:position w:val="0"/>
                      <w:szCs w:val="21"/>
                      <w:vertAlign w:val="superscript"/>
                    </w:rPr>
                    <w:t>3</w:t>
                  </w:r>
                </w:p>
              </w:tc>
              <w:tc>
                <w:tcPr>
                  <w:tcW w:w="766" w:type="pct"/>
                  <w:tcBorders>
                    <w:top w:val="single" w:color="auto" w:sz="12" w:space="0"/>
                    <w:left w:val="single" w:color="auto" w:sz="4" w:space="0"/>
                    <w:bottom w:val="single" w:color="auto" w:sz="4" w:space="0"/>
                    <w:right w:val="single" w:color="auto" w:sz="4" w:space="0"/>
                  </w:tcBorders>
                  <w:noWrap w:val="0"/>
                  <w:vAlign w:val="center"/>
                </w:tcPr>
                <w:p w14:paraId="2D9C15CA">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监测浓度范围mg/m</w:t>
                  </w:r>
                  <w:r>
                    <w:rPr>
                      <w:rFonts w:hint="default" w:ascii="Times New Roman" w:hAnsi="Times New Roman" w:eastAsia="宋体" w:cs="Times New Roman"/>
                      <w:b/>
                      <w:smallCaps w:val="0"/>
                      <w:color w:val="auto"/>
                      <w:spacing w:val="0"/>
                      <w:kern w:val="0"/>
                      <w:position w:val="0"/>
                      <w:szCs w:val="21"/>
                      <w:vertAlign w:val="superscript"/>
                    </w:rPr>
                    <w:t>3</w:t>
                  </w:r>
                </w:p>
              </w:tc>
              <w:tc>
                <w:tcPr>
                  <w:tcW w:w="759" w:type="pct"/>
                  <w:tcBorders>
                    <w:top w:val="single" w:color="auto" w:sz="12" w:space="0"/>
                    <w:left w:val="single" w:color="auto" w:sz="4" w:space="0"/>
                    <w:bottom w:val="single" w:color="auto" w:sz="4" w:space="0"/>
                    <w:right w:val="single" w:color="auto" w:sz="4" w:space="0"/>
                  </w:tcBorders>
                  <w:noWrap w:val="0"/>
                  <w:vAlign w:val="center"/>
                </w:tcPr>
                <w:p w14:paraId="23205944">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最大浓度占标率（%）</w:t>
                  </w:r>
                </w:p>
              </w:tc>
              <w:tc>
                <w:tcPr>
                  <w:tcW w:w="568" w:type="pct"/>
                  <w:tcBorders>
                    <w:top w:val="single" w:color="auto" w:sz="12" w:space="0"/>
                    <w:left w:val="single" w:color="auto" w:sz="4" w:space="0"/>
                    <w:bottom w:val="single" w:color="auto" w:sz="4" w:space="0"/>
                    <w:right w:val="single" w:color="auto" w:sz="4" w:space="0"/>
                  </w:tcBorders>
                  <w:noWrap w:val="0"/>
                  <w:vAlign w:val="center"/>
                </w:tcPr>
                <w:p w14:paraId="268C5D14">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超标频率（%）</w:t>
                  </w:r>
                </w:p>
              </w:tc>
              <w:tc>
                <w:tcPr>
                  <w:tcW w:w="457" w:type="pct"/>
                  <w:tcBorders>
                    <w:top w:val="single" w:color="auto" w:sz="12" w:space="0"/>
                    <w:left w:val="single" w:color="auto" w:sz="4" w:space="0"/>
                    <w:bottom w:val="single" w:color="auto" w:sz="4" w:space="0"/>
                    <w:right w:val="nil"/>
                  </w:tcBorders>
                  <w:noWrap w:val="0"/>
                  <w:vAlign w:val="center"/>
                </w:tcPr>
                <w:p w14:paraId="553ACCFA">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达标情况</w:t>
                  </w:r>
                </w:p>
              </w:tc>
            </w:tr>
            <w:tr w14:paraId="282EF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1" w:type="pct"/>
                  <w:tcBorders>
                    <w:left w:val="nil"/>
                    <w:bottom w:val="single" w:color="auto" w:sz="12" w:space="0"/>
                    <w:right w:val="single" w:color="auto" w:sz="4" w:space="0"/>
                  </w:tcBorders>
                  <w:shd w:val="clear" w:color="auto" w:fill="auto"/>
                  <w:noWrap w:val="0"/>
                  <w:vAlign w:val="center"/>
                </w:tcPr>
                <w:p w14:paraId="4E6AE1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eastAsia" w:cs="Times New Roman"/>
                      <w:smallCaps w:val="0"/>
                      <w:color w:val="auto"/>
                      <w:spacing w:val="0"/>
                      <w:sz w:val="21"/>
                      <w:szCs w:val="21"/>
                      <w:lang w:val="en-US" w:eastAsia="zh-CN"/>
                    </w:rPr>
                    <w:t>常州市金坛区金东环保工程有限公司东侧</w:t>
                  </w:r>
                  <w:r>
                    <w:rPr>
                      <w:rFonts w:hint="default" w:ascii="Times New Roman" w:hAnsi="Times New Roman" w:eastAsia="宋体" w:cs="Times New Roman"/>
                      <w:smallCaps w:val="0"/>
                      <w:color w:val="auto"/>
                      <w:spacing w:val="0"/>
                      <w:sz w:val="21"/>
                      <w:szCs w:val="21"/>
                      <w:lang w:val="en-US" w:eastAsia="zh-CN"/>
                    </w:rPr>
                    <w:t>G1</w:t>
                  </w:r>
                </w:p>
              </w:tc>
              <w:tc>
                <w:tcPr>
                  <w:tcW w:w="486"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02D01C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rPr>
                    <w:t>非甲烷总烃</w:t>
                  </w:r>
                </w:p>
              </w:tc>
              <w:tc>
                <w:tcPr>
                  <w:tcW w:w="517"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0363C2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rPr>
                    <w:t>小时值</w:t>
                  </w:r>
                </w:p>
              </w:tc>
              <w:tc>
                <w:tcPr>
                  <w:tcW w:w="642"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16090D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lang w:val="en-US" w:eastAsia="zh-CN"/>
                    </w:rPr>
                    <w:t>2</w:t>
                  </w:r>
                </w:p>
              </w:tc>
              <w:tc>
                <w:tcPr>
                  <w:tcW w:w="766"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6D1A8C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eastAsia" w:cs="Times New Roman"/>
                      <w:smallCaps w:val="0"/>
                      <w:color w:val="auto"/>
                      <w:spacing w:val="0"/>
                      <w:sz w:val="21"/>
                      <w:szCs w:val="21"/>
                      <w:lang w:val="en-US" w:eastAsia="zh-CN"/>
                    </w:rPr>
                    <w:t>0.11-0.63</w:t>
                  </w:r>
                </w:p>
              </w:tc>
              <w:tc>
                <w:tcPr>
                  <w:tcW w:w="759"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1219E7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eastAsia" w:cs="Times New Roman"/>
                      <w:smallCaps w:val="0"/>
                      <w:color w:val="auto"/>
                      <w:spacing w:val="0"/>
                      <w:sz w:val="21"/>
                      <w:szCs w:val="21"/>
                      <w:lang w:val="en-US" w:eastAsia="zh-CN"/>
                    </w:rPr>
                    <w:t>31.5</w:t>
                  </w:r>
                </w:p>
              </w:tc>
              <w:tc>
                <w:tcPr>
                  <w:tcW w:w="568"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67E462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rPr>
                    <w:t>0</w:t>
                  </w:r>
                </w:p>
              </w:tc>
              <w:tc>
                <w:tcPr>
                  <w:tcW w:w="457" w:type="pct"/>
                  <w:tcBorders>
                    <w:top w:val="single" w:color="auto" w:sz="4" w:space="0"/>
                    <w:left w:val="single" w:color="auto" w:sz="4" w:space="0"/>
                    <w:bottom w:val="single" w:color="auto" w:sz="12" w:space="0"/>
                    <w:right w:val="nil"/>
                  </w:tcBorders>
                  <w:shd w:val="clear" w:color="auto" w:fill="auto"/>
                  <w:noWrap w:val="0"/>
                  <w:vAlign w:val="center"/>
                </w:tcPr>
                <w:p w14:paraId="370223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rPr>
                    <w:t>达标</w:t>
                  </w:r>
                </w:p>
              </w:tc>
            </w:tr>
          </w:tbl>
          <w:p w14:paraId="72FDB7B1">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1"/>
              </w:rPr>
              <w:t>监测结果表明，评价区域内非甲烷总烃小时平均浓度符合《大气污染物综合排放标准详解》中推荐值。</w:t>
            </w:r>
          </w:p>
          <w:p w14:paraId="099204CD">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482" w:firstLineChars="200"/>
              <w:textAlignment w:val="auto"/>
              <w:rPr>
                <w:rFonts w:hint="default" w:ascii="Times New Roman" w:hAnsi="Times New Roman" w:eastAsia="宋体" w:cs="Times New Roman"/>
                <w:b/>
                <w:smallCaps w:val="0"/>
                <w:color w:val="auto"/>
                <w:spacing w:val="0"/>
                <w:kern w:val="0"/>
                <w:position w:val="0"/>
              </w:rPr>
            </w:pPr>
            <w:r>
              <w:rPr>
                <w:rFonts w:hint="default" w:ascii="Times New Roman" w:hAnsi="Times New Roman" w:eastAsia="宋体" w:cs="Times New Roman"/>
                <w:b/>
                <w:smallCaps w:val="0"/>
                <w:color w:val="auto"/>
                <w:spacing w:val="0"/>
                <w:kern w:val="0"/>
                <w:position w:val="0"/>
              </w:rPr>
              <w:t>2、地表水环境质量</w:t>
            </w:r>
          </w:p>
          <w:p w14:paraId="1DF9E247">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①区域环境质量情况</w:t>
            </w:r>
          </w:p>
          <w:p w14:paraId="73533700">
            <w:pPr>
              <w:pStyle w:val="15"/>
              <w:keepNext w:val="0"/>
              <w:keepLines w:val="0"/>
              <w:pageBreakBefore w:val="0"/>
              <w:widowControl w:val="0"/>
              <w:kinsoku/>
              <w:wordWrap/>
              <w:overflowPunct/>
              <w:topLinePunct w:val="0"/>
              <w:bidi w:val="0"/>
              <w:adjustRightInd w:val="0"/>
              <w:snapToGrid w:val="0"/>
              <w:spacing w:after="0"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1"/>
              </w:rPr>
              <w:t>根据《2023年常州市生态环境状况公报》中相关内容，国考断面：2023年，常州市纳入“十四五”国家地表水环境质量考核的20个断面中，年均水质达到或好于《地表水环境质量标准》(GB3838-2002)III类标准的断面比例为85%，无劣V类断面。纳入江苏省“十四五”水环境质量目标考核51个断面，年均水质达到或好于III类的比例为94.1%，无劣V类断面。</w:t>
            </w:r>
          </w:p>
          <w:p w14:paraId="3C2A12FC">
            <w:pPr>
              <w:pStyle w:val="15"/>
              <w:keepNext w:val="0"/>
              <w:keepLines w:val="0"/>
              <w:pageBreakBefore w:val="0"/>
              <w:widowControl w:val="0"/>
              <w:kinsoku/>
              <w:wordWrap/>
              <w:overflowPunct/>
              <w:topLinePunct w:val="0"/>
              <w:bidi w:val="0"/>
              <w:adjustRightInd w:val="0"/>
              <w:snapToGrid w:val="0"/>
              <w:spacing w:after="0"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1"/>
              </w:rPr>
              <w:t>②环境现状检测</w:t>
            </w:r>
          </w:p>
          <w:p w14:paraId="33C28CD1">
            <w:pPr>
              <w:pStyle w:val="15"/>
              <w:keepNext w:val="0"/>
              <w:keepLines w:val="0"/>
              <w:pageBreakBefore w:val="0"/>
              <w:widowControl w:val="0"/>
              <w:kinsoku/>
              <w:wordWrap/>
              <w:overflowPunct/>
              <w:topLinePunct w:val="0"/>
              <w:bidi w:val="0"/>
              <w:adjustRightInd w:val="0"/>
              <w:snapToGrid w:val="0"/>
              <w:spacing w:after="0"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1"/>
              </w:rPr>
              <w:t>根据《江苏省地表水（环境）功能区划（2021-2030年）》（苏环办[2022]82号），尧塘河属于III类地表水，执行《地表水环境质量标准》（GB3838-2002）中III类水质标准。</w:t>
            </w:r>
          </w:p>
          <w:p w14:paraId="03D8EF46">
            <w:pPr>
              <w:pStyle w:val="2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p>
          <w:p w14:paraId="6146C8FE">
            <w:pPr>
              <w:pStyle w:val="2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lang w:val="en-US" w:eastAsia="zh-CN" w:bidi="ar-SA"/>
              </w:rPr>
              <w:t>表3-5地表水环境质量</w:t>
            </w:r>
            <w:r>
              <w:rPr>
                <w:rFonts w:hint="eastAsia" w:ascii="Times New Roman" w:hAnsi="Times New Roman" w:cs="Times New Roman"/>
                <w:b/>
                <w:bCs/>
                <w:smallCaps w:val="0"/>
                <w:color w:val="auto"/>
                <w:spacing w:val="0"/>
                <w:kern w:val="0"/>
                <w:position w:val="0"/>
                <w:sz w:val="21"/>
                <w:szCs w:val="21"/>
                <w:lang w:val="en-US" w:eastAsia="zh-CN" w:bidi="ar-SA"/>
              </w:rPr>
              <w:t>评价标准</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45"/>
              <w:gridCol w:w="1632"/>
              <w:gridCol w:w="1138"/>
              <w:gridCol w:w="1639"/>
              <w:gridCol w:w="1326"/>
              <w:gridCol w:w="1205"/>
            </w:tblGrid>
            <w:tr w14:paraId="045AB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tcBorders>
                    <w:bottom w:val="single" w:color="auto" w:sz="12" w:space="0"/>
                  </w:tcBorders>
                  <w:noWrap w:val="0"/>
                  <w:vAlign w:val="center"/>
                </w:tcPr>
                <w:p w14:paraId="5A84ED9B">
                  <w:pPr>
                    <w:pStyle w:val="41"/>
                    <w:rPr>
                      <w:rFonts w:hint="default" w:ascii="Times New Roman" w:hAnsi="Times New Roman" w:eastAsia="宋体" w:cs="Times New Roman"/>
                      <w:b/>
                      <w:color w:val="auto"/>
                      <w:spacing w:val="0"/>
                      <w:kern w:val="0"/>
                      <w:lang w:val="en-US" w:eastAsia="zh-CN"/>
                    </w:rPr>
                  </w:pPr>
                  <w:r>
                    <w:rPr>
                      <w:rFonts w:hint="eastAsia" w:ascii="Times New Roman" w:hAnsi="Times New Roman" w:cs="Times New Roman"/>
                      <w:b/>
                      <w:color w:val="auto"/>
                      <w:spacing w:val="0"/>
                      <w:kern w:val="0"/>
                      <w:lang w:val="en-US" w:eastAsia="zh-CN"/>
                    </w:rPr>
                    <w:t>水域名称</w:t>
                  </w:r>
                </w:p>
              </w:tc>
              <w:tc>
                <w:tcPr>
                  <w:tcW w:w="949" w:type="pct"/>
                  <w:tcBorders>
                    <w:bottom w:val="single" w:color="auto" w:sz="12" w:space="0"/>
                  </w:tcBorders>
                  <w:noWrap w:val="0"/>
                  <w:vAlign w:val="center"/>
                </w:tcPr>
                <w:p w14:paraId="7414B4F7">
                  <w:pPr>
                    <w:pStyle w:val="41"/>
                    <w:rPr>
                      <w:rFonts w:hint="default" w:ascii="Times New Roman" w:hAnsi="Times New Roman" w:eastAsia="宋体" w:cs="Times New Roman"/>
                      <w:b/>
                      <w:color w:val="auto"/>
                      <w:spacing w:val="0"/>
                      <w:kern w:val="0"/>
                      <w:lang w:val="en-US" w:eastAsia="zh-CN"/>
                    </w:rPr>
                  </w:pPr>
                  <w:r>
                    <w:rPr>
                      <w:rFonts w:hint="eastAsia" w:ascii="Times New Roman" w:hAnsi="Times New Roman" w:cs="Times New Roman"/>
                      <w:b/>
                      <w:color w:val="auto"/>
                      <w:spacing w:val="0"/>
                      <w:kern w:val="0"/>
                      <w:lang w:val="en-US" w:eastAsia="zh-CN"/>
                    </w:rPr>
                    <w:t>执行标准</w:t>
                  </w:r>
                </w:p>
              </w:tc>
              <w:tc>
                <w:tcPr>
                  <w:tcW w:w="683" w:type="pct"/>
                  <w:tcBorders>
                    <w:bottom w:val="single" w:color="auto" w:sz="12" w:space="0"/>
                  </w:tcBorders>
                  <w:noWrap w:val="0"/>
                  <w:vAlign w:val="center"/>
                </w:tcPr>
                <w:p w14:paraId="4F0B69AC">
                  <w:pPr>
                    <w:pStyle w:val="41"/>
                    <w:rPr>
                      <w:rFonts w:hint="default" w:ascii="Times New Roman" w:hAnsi="Times New Roman" w:eastAsia="宋体" w:cs="Times New Roman"/>
                      <w:b/>
                      <w:color w:val="auto"/>
                      <w:spacing w:val="0"/>
                      <w:kern w:val="0"/>
                      <w:lang w:val="en-US" w:eastAsia="zh-CN"/>
                    </w:rPr>
                  </w:pPr>
                  <w:r>
                    <w:rPr>
                      <w:rFonts w:hint="eastAsia" w:ascii="Times New Roman" w:hAnsi="Times New Roman" w:cs="Times New Roman"/>
                      <w:b/>
                      <w:color w:val="auto"/>
                      <w:spacing w:val="0"/>
                      <w:kern w:val="0"/>
                      <w:lang w:val="en-US" w:eastAsia="zh-CN"/>
                    </w:rPr>
                    <w:t>表号及级别</w:t>
                  </w:r>
                </w:p>
              </w:tc>
              <w:tc>
                <w:tcPr>
                  <w:tcW w:w="982" w:type="pct"/>
                  <w:tcBorders>
                    <w:bottom w:val="single" w:color="auto" w:sz="12" w:space="0"/>
                  </w:tcBorders>
                  <w:noWrap w:val="0"/>
                  <w:vAlign w:val="center"/>
                </w:tcPr>
                <w:p w14:paraId="16700F87">
                  <w:pPr>
                    <w:pStyle w:val="41"/>
                    <w:rPr>
                      <w:rFonts w:hint="default" w:ascii="Times New Roman" w:hAnsi="Times New Roman" w:eastAsia="宋体" w:cs="Times New Roman"/>
                      <w:b/>
                      <w:color w:val="auto"/>
                      <w:spacing w:val="0"/>
                      <w:kern w:val="0"/>
                      <w:lang w:val="en-US" w:eastAsia="zh-CN"/>
                    </w:rPr>
                  </w:pPr>
                  <w:r>
                    <w:rPr>
                      <w:rFonts w:hint="eastAsia" w:ascii="Times New Roman" w:hAnsi="Times New Roman" w:cs="Times New Roman"/>
                      <w:b/>
                      <w:color w:val="auto"/>
                      <w:spacing w:val="0"/>
                      <w:kern w:val="0"/>
                      <w:lang w:val="en-US" w:eastAsia="zh-CN"/>
                    </w:rPr>
                    <w:t>污染物指标</w:t>
                  </w:r>
                </w:p>
              </w:tc>
              <w:tc>
                <w:tcPr>
                  <w:tcW w:w="795" w:type="pct"/>
                  <w:tcBorders>
                    <w:bottom w:val="single" w:color="auto" w:sz="12" w:space="0"/>
                  </w:tcBorders>
                  <w:noWrap w:val="0"/>
                  <w:vAlign w:val="center"/>
                </w:tcPr>
                <w:p w14:paraId="1624116A">
                  <w:pPr>
                    <w:pStyle w:val="41"/>
                    <w:rPr>
                      <w:rFonts w:hint="eastAsia" w:ascii="Times New Roman" w:hAnsi="Times New Roman" w:eastAsia="宋体" w:cs="Times New Roman"/>
                      <w:b/>
                      <w:color w:val="auto"/>
                      <w:spacing w:val="0"/>
                      <w:kern w:val="0"/>
                      <w:lang w:val="en-US" w:eastAsia="zh-CN"/>
                    </w:rPr>
                  </w:pPr>
                  <w:r>
                    <w:rPr>
                      <w:rFonts w:hint="eastAsia" w:ascii="Times New Roman" w:hAnsi="Times New Roman" w:cs="Times New Roman"/>
                      <w:b/>
                      <w:color w:val="auto"/>
                      <w:spacing w:val="0"/>
                      <w:kern w:val="0"/>
                      <w:lang w:val="en-US" w:eastAsia="zh-CN"/>
                    </w:rPr>
                    <w:t>单位</w:t>
                  </w:r>
                </w:p>
              </w:tc>
              <w:tc>
                <w:tcPr>
                  <w:tcW w:w="723" w:type="pct"/>
                  <w:tcBorders>
                    <w:bottom w:val="single" w:color="auto" w:sz="12" w:space="0"/>
                  </w:tcBorders>
                  <w:noWrap w:val="0"/>
                  <w:vAlign w:val="center"/>
                </w:tcPr>
                <w:p w14:paraId="212CBFE3">
                  <w:pPr>
                    <w:pStyle w:val="41"/>
                    <w:rPr>
                      <w:rFonts w:hint="default" w:ascii="Times New Roman" w:hAnsi="Times New Roman" w:eastAsia="宋体" w:cs="Times New Roman"/>
                      <w:b/>
                      <w:color w:val="auto"/>
                      <w:spacing w:val="0"/>
                      <w:kern w:val="0"/>
                      <w:lang w:val="en-US" w:eastAsia="zh-CN"/>
                    </w:rPr>
                  </w:pPr>
                  <w:r>
                    <w:rPr>
                      <w:rFonts w:hint="eastAsia" w:ascii="Times New Roman" w:hAnsi="Times New Roman" w:cs="Times New Roman"/>
                      <w:b/>
                      <w:color w:val="auto"/>
                      <w:spacing w:val="0"/>
                      <w:kern w:val="0"/>
                      <w:lang w:val="en-US" w:eastAsia="zh-CN"/>
                    </w:rPr>
                    <w:t>标准限值</w:t>
                  </w:r>
                </w:p>
              </w:tc>
            </w:tr>
            <w:tr w14:paraId="287E0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restart"/>
                  <w:tcBorders>
                    <w:top w:val="single" w:color="auto" w:sz="12" w:space="0"/>
                  </w:tcBorders>
                  <w:noWrap w:val="0"/>
                  <w:vAlign w:val="center"/>
                </w:tcPr>
                <w:p w14:paraId="1D13A4C3">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尧塘河</w:t>
                  </w:r>
                </w:p>
              </w:tc>
              <w:tc>
                <w:tcPr>
                  <w:tcW w:w="949" w:type="pct"/>
                  <w:vMerge w:val="restart"/>
                  <w:tcBorders>
                    <w:top w:val="single" w:color="auto" w:sz="12" w:space="0"/>
                  </w:tcBorders>
                  <w:noWrap w:val="0"/>
                  <w:vAlign w:val="center"/>
                </w:tcPr>
                <w:p w14:paraId="65241B9B">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《地表水环境质量标准》（GB3838-2002）</w:t>
                  </w:r>
                </w:p>
              </w:tc>
              <w:tc>
                <w:tcPr>
                  <w:tcW w:w="683" w:type="pct"/>
                  <w:vMerge w:val="restart"/>
                  <w:tcBorders>
                    <w:top w:val="single" w:color="auto" w:sz="12" w:space="0"/>
                  </w:tcBorders>
                  <w:noWrap w:val="0"/>
                  <w:vAlign w:val="center"/>
                </w:tcPr>
                <w:p w14:paraId="52830BBD">
                  <w:pPr>
                    <w:pStyle w:val="41"/>
                    <w:rPr>
                      <w:rFonts w:hint="default" w:ascii="Times New Roman" w:hAnsi="Times New Roman" w:eastAsia="宋体" w:cs="Times New Roman"/>
                      <w:color w:val="auto"/>
                      <w:spacing w:val="0"/>
                      <w:kern w:val="0"/>
                      <w:lang w:val="en-US" w:eastAsia="zh-CN"/>
                    </w:rPr>
                  </w:pPr>
                  <w:r>
                    <w:rPr>
                      <w:rFonts w:hint="default" w:ascii="Times New Roman" w:hAnsi="Times New Roman" w:eastAsia="宋体" w:cs="Times New Roman"/>
                      <w:color w:val="auto"/>
                      <w:spacing w:val="0"/>
                      <w:kern w:val="0"/>
                      <w:lang w:val="en-US" w:eastAsia="zh-CN"/>
                    </w:rPr>
                    <w:t>III类</w:t>
                  </w:r>
                </w:p>
              </w:tc>
              <w:tc>
                <w:tcPr>
                  <w:tcW w:w="982" w:type="pct"/>
                  <w:tcBorders>
                    <w:top w:val="single" w:color="auto" w:sz="12" w:space="0"/>
                  </w:tcBorders>
                  <w:noWrap w:val="0"/>
                  <w:vAlign w:val="center"/>
                </w:tcPr>
                <w:p w14:paraId="32D4EB49">
                  <w:pPr>
                    <w:pStyle w:val="41"/>
                    <w:rPr>
                      <w:rFonts w:hint="default" w:ascii="Times New Roman" w:hAnsi="Times New Roman" w:eastAsia="宋体" w:cs="Times New Roman"/>
                      <w:color w:val="auto"/>
                      <w:spacing w:val="0"/>
                      <w:kern w:val="0"/>
                      <w:lang w:val="en-US" w:eastAsia="zh-CN"/>
                    </w:rPr>
                  </w:pPr>
                  <w:r>
                    <w:rPr>
                      <w:rFonts w:hint="eastAsia" w:ascii="Times New Roman" w:hAnsi="Times New Roman" w:cs="Times New Roman"/>
                      <w:color w:val="auto"/>
                      <w:spacing w:val="0"/>
                      <w:kern w:val="0"/>
                      <w:lang w:val="en-US" w:eastAsia="zh-CN"/>
                    </w:rPr>
                    <w:t>pH</w:t>
                  </w:r>
                </w:p>
              </w:tc>
              <w:tc>
                <w:tcPr>
                  <w:tcW w:w="795" w:type="pct"/>
                  <w:tcBorders>
                    <w:top w:val="single" w:color="auto" w:sz="12" w:space="0"/>
                  </w:tcBorders>
                  <w:noWrap w:val="0"/>
                  <w:vAlign w:val="center"/>
                </w:tcPr>
                <w:p w14:paraId="631B37AA">
                  <w:pPr>
                    <w:pStyle w:val="41"/>
                    <w:rPr>
                      <w:rFonts w:hint="default" w:ascii="Times New Roman" w:hAnsi="Times New Roman" w:eastAsia="宋体" w:cs="Times New Roman"/>
                      <w:color w:val="auto"/>
                      <w:spacing w:val="0"/>
                      <w:kern w:val="0"/>
                      <w:lang w:val="en-US" w:eastAsia="zh-CN"/>
                    </w:rPr>
                  </w:pPr>
                  <w:r>
                    <w:rPr>
                      <w:rFonts w:hint="eastAsia" w:ascii="Times New Roman" w:hAnsi="Times New Roman" w:cs="Times New Roman"/>
                      <w:color w:val="auto"/>
                      <w:spacing w:val="0"/>
                      <w:kern w:val="0"/>
                      <w:lang w:val="en-US" w:eastAsia="zh-CN"/>
                    </w:rPr>
                    <w:t>-</w:t>
                  </w:r>
                </w:p>
              </w:tc>
              <w:tc>
                <w:tcPr>
                  <w:tcW w:w="723" w:type="pct"/>
                  <w:tcBorders>
                    <w:top w:val="single" w:color="auto" w:sz="12" w:space="0"/>
                  </w:tcBorders>
                  <w:noWrap w:val="0"/>
                  <w:vAlign w:val="center"/>
                </w:tcPr>
                <w:p w14:paraId="6036CD9C">
                  <w:pPr>
                    <w:pStyle w:val="41"/>
                    <w:rPr>
                      <w:rFonts w:hint="default" w:ascii="Times New Roman" w:hAnsi="Times New Roman" w:eastAsia="宋体" w:cs="Times New Roman"/>
                      <w:color w:val="auto"/>
                      <w:spacing w:val="0"/>
                      <w:kern w:val="0"/>
                      <w:lang w:val="en-US" w:eastAsia="zh-CN"/>
                    </w:rPr>
                  </w:pPr>
                  <w:r>
                    <w:rPr>
                      <w:rFonts w:hint="eastAsia" w:ascii="Times New Roman" w:hAnsi="Times New Roman" w:cs="Times New Roman"/>
                      <w:color w:val="auto"/>
                      <w:spacing w:val="0"/>
                      <w:kern w:val="0"/>
                      <w:lang w:val="en-US" w:eastAsia="zh-CN"/>
                    </w:rPr>
                    <w:t>6-9</w:t>
                  </w:r>
                </w:p>
              </w:tc>
            </w:tr>
            <w:tr w14:paraId="7A12D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continue"/>
                  <w:noWrap w:val="0"/>
                  <w:vAlign w:val="center"/>
                </w:tcPr>
                <w:p w14:paraId="35D2DFD3">
                  <w:pPr>
                    <w:pStyle w:val="41"/>
                    <w:rPr>
                      <w:rFonts w:hint="default" w:ascii="Times New Roman" w:hAnsi="Times New Roman" w:eastAsia="宋体" w:cs="Times New Roman"/>
                      <w:color w:val="auto"/>
                      <w:spacing w:val="0"/>
                      <w:kern w:val="0"/>
                    </w:rPr>
                  </w:pPr>
                </w:p>
              </w:tc>
              <w:tc>
                <w:tcPr>
                  <w:tcW w:w="949" w:type="pct"/>
                  <w:vMerge w:val="continue"/>
                  <w:noWrap w:val="0"/>
                  <w:vAlign w:val="center"/>
                </w:tcPr>
                <w:p w14:paraId="3C4D6300">
                  <w:pPr>
                    <w:pStyle w:val="41"/>
                    <w:rPr>
                      <w:rFonts w:hint="default" w:ascii="Times New Roman" w:hAnsi="Times New Roman" w:eastAsia="宋体" w:cs="Times New Roman"/>
                      <w:color w:val="auto"/>
                      <w:spacing w:val="0"/>
                      <w:kern w:val="0"/>
                    </w:rPr>
                  </w:pPr>
                </w:p>
              </w:tc>
              <w:tc>
                <w:tcPr>
                  <w:tcW w:w="683" w:type="pct"/>
                  <w:vMerge w:val="continue"/>
                  <w:noWrap w:val="0"/>
                  <w:vAlign w:val="center"/>
                </w:tcPr>
                <w:p w14:paraId="298D7A35">
                  <w:pPr>
                    <w:pStyle w:val="41"/>
                    <w:rPr>
                      <w:rFonts w:hint="default" w:ascii="Times New Roman" w:hAnsi="Times New Roman" w:eastAsia="宋体" w:cs="Times New Roman"/>
                      <w:color w:val="auto"/>
                      <w:spacing w:val="0"/>
                      <w:kern w:val="0"/>
                      <w:lang w:val="en-US" w:eastAsia="zh-CN"/>
                    </w:rPr>
                  </w:pPr>
                </w:p>
              </w:tc>
              <w:tc>
                <w:tcPr>
                  <w:tcW w:w="982" w:type="pct"/>
                  <w:noWrap w:val="0"/>
                  <w:vAlign w:val="center"/>
                </w:tcPr>
                <w:p w14:paraId="214F064F">
                  <w:pPr>
                    <w:pStyle w:val="41"/>
                    <w:rPr>
                      <w:rFonts w:hint="default" w:ascii="Times New Roman" w:hAnsi="Times New Roman" w:eastAsia="宋体" w:cs="Times New Roman"/>
                      <w:color w:val="auto"/>
                      <w:spacing w:val="0"/>
                      <w:kern w:val="0"/>
                      <w:lang w:val="en-US" w:eastAsia="zh-CN"/>
                    </w:rPr>
                  </w:pPr>
                  <w:r>
                    <w:rPr>
                      <w:rFonts w:hint="eastAsia" w:ascii="Times New Roman" w:hAnsi="Times New Roman" w:cs="Times New Roman"/>
                      <w:color w:val="auto"/>
                      <w:spacing w:val="0"/>
                      <w:kern w:val="0"/>
                      <w:lang w:val="en-US" w:eastAsia="zh-CN"/>
                    </w:rPr>
                    <w:t>COD</w:t>
                  </w:r>
                </w:p>
              </w:tc>
              <w:tc>
                <w:tcPr>
                  <w:tcW w:w="795" w:type="pct"/>
                  <w:vMerge w:val="restart"/>
                  <w:noWrap w:val="0"/>
                  <w:vAlign w:val="center"/>
                </w:tcPr>
                <w:p w14:paraId="37D9CA23">
                  <w:pPr>
                    <w:pStyle w:val="41"/>
                    <w:rPr>
                      <w:rFonts w:hint="default" w:ascii="Times New Roman" w:hAnsi="Times New Roman" w:eastAsia="宋体" w:cs="Times New Roman"/>
                      <w:color w:val="auto"/>
                      <w:spacing w:val="0"/>
                      <w:kern w:val="0"/>
                      <w:lang w:val="en-US" w:eastAsia="zh-CN"/>
                    </w:rPr>
                  </w:pPr>
                  <w:r>
                    <w:rPr>
                      <w:rFonts w:hint="eastAsia" w:ascii="Times New Roman" w:hAnsi="Times New Roman" w:cs="Times New Roman"/>
                      <w:color w:val="auto"/>
                      <w:spacing w:val="0"/>
                      <w:kern w:val="0"/>
                      <w:lang w:val="en-US" w:eastAsia="zh-CN"/>
                    </w:rPr>
                    <w:t>mg/L</w:t>
                  </w:r>
                </w:p>
              </w:tc>
              <w:tc>
                <w:tcPr>
                  <w:tcW w:w="723" w:type="pct"/>
                  <w:noWrap w:val="0"/>
                  <w:vAlign w:val="center"/>
                </w:tcPr>
                <w:p w14:paraId="5C73C9B6">
                  <w:pPr>
                    <w:pStyle w:val="41"/>
                    <w:rPr>
                      <w:rFonts w:hint="default" w:ascii="Times New Roman" w:hAnsi="Times New Roman" w:eastAsia="宋体" w:cs="Times New Roman"/>
                      <w:color w:val="auto"/>
                      <w:spacing w:val="0"/>
                      <w:kern w:val="0"/>
                      <w:lang w:val="en-US" w:eastAsia="zh-CN"/>
                    </w:rPr>
                  </w:pPr>
                  <w:r>
                    <w:rPr>
                      <w:rFonts w:hint="eastAsia" w:ascii="Times New Roman" w:hAnsi="Times New Roman" w:cs="Times New Roman"/>
                      <w:color w:val="auto"/>
                      <w:spacing w:val="0"/>
                      <w:kern w:val="0"/>
                      <w:lang w:val="en-US" w:eastAsia="zh-CN"/>
                    </w:rPr>
                    <w:t>20</w:t>
                  </w:r>
                </w:p>
              </w:tc>
            </w:tr>
            <w:tr w14:paraId="51D45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continue"/>
                  <w:noWrap w:val="0"/>
                  <w:vAlign w:val="center"/>
                </w:tcPr>
                <w:p w14:paraId="6E71CDC8">
                  <w:pPr>
                    <w:pStyle w:val="41"/>
                    <w:rPr>
                      <w:rFonts w:hint="default" w:ascii="Times New Roman" w:hAnsi="Times New Roman" w:eastAsia="宋体" w:cs="Times New Roman"/>
                      <w:color w:val="auto"/>
                      <w:spacing w:val="0"/>
                      <w:kern w:val="0"/>
                    </w:rPr>
                  </w:pPr>
                </w:p>
              </w:tc>
              <w:tc>
                <w:tcPr>
                  <w:tcW w:w="949" w:type="pct"/>
                  <w:vMerge w:val="continue"/>
                  <w:noWrap w:val="0"/>
                  <w:vAlign w:val="center"/>
                </w:tcPr>
                <w:p w14:paraId="6216D7F3">
                  <w:pPr>
                    <w:pStyle w:val="41"/>
                    <w:rPr>
                      <w:rFonts w:hint="default" w:ascii="Times New Roman" w:hAnsi="Times New Roman" w:eastAsia="宋体" w:cs="Times New Roman"/>
                      <w:color w:val="auto"/>
                      <w:spacing w:val="0"/>
                      <w:kern w:val="0"/>
                    </w:rPr>
                  </w:pPr>
                </w:p>
              </w:tc>
              <w:tc>
                <w:tcPr>
                  <w:tcW w:w="683" w:type="pct"/>
                  <w:vMerge w:val="continue"/>
                  <w:noWrap w:val="0"/>
                  <w:vAlign w:val="center"/>
                </w:tcPr>
                <w:p w14:paraId="4ACCFEEE">
                  <w:pPr>
                    <w:pStyle w:val="41"/>
                    <w:rPr>
                      <w:rFonts w:hint="default" w:ascii="Times New Roman" w:hAnsi="Times New Roman" w:eastAsia="宋体" w:cs="Times New Roman"/>
                      <w:color w:val="auto"/>
                      <w:spacing w:val="0"/>
                      <w:kern w:val="0"/>
                    </w:rPr>
                  </w:pPr>
                </w:p>
              </w:tc>
              <w:tc>
                <w:tcPr>
                  <w:tcW w:w="982" w:type="pct"/>
                  <w:noWrap w:val="0"/>
                  <w:vAlign w:val="center"/>
                </w:tcPr>
                <w:p w14:paraId="714CF2C8">
                  <w:pPr>
                    <w:pStyle w:val="41"/>
                    <w:rPr>
                      <w:rFonts w:hint="eastAsia" w:ascii="Times New Roman" w:hAnsi="Times New Roman" w:eastAsia="宋体" w:cs="Times New Roman"/>
                      <w:color w:val="auto"/>
                      <w:spacing w:val="0"/>
                      <w:kern w:val="0"/>
                      <w:lang w:val="en-US" w:eastAsia="zh-CN"/>
                    </w:rPr>
                  </w:pPr>
                  <w:r>
                    <w:rPr>
                      <w:rFonts w:hint="eastAsia" w:ascii="Times New Roman" w:hAnsi="Times New Roman" w:cs="Times New Roman"/>
                      <w:color w:val="auto"/>
                      <w:spacing w:val="0"/>
                      <w:kern w:val="0"/>
                      <w:lang w:val="en-US" w:eastAsia="zh-CN"/>
                    </w:rPr>
                    <w:t>氨氮</w:t>
                  </w:r>
                </w:p>
              </w:tc>
              <w:tc>
                <w:tcPr>
                  <w:tcW w:w="795" w:type="pct"/>
                  <w:vMerge w:val="continue"/>
                  <w:noWrap w:val="0"/>
                  <w:vAlign w:val="center"/>
                </w:tcPr>
                <w:p w14:paraId="2CFF03B8">
                  <w:pPr>
                    <w:pStyle w:val="41"/>
                    <w:rPr>
                      <w:rFonts w:hint="default" w:ascii="Times New Roman" w:hAnsi="Times New Roman" w:eastAsia="宋体" w:cs="Times New Roman"/>
                      <w:color w:val="auto"/>
                      <w:spacing w:val="0"/>
                      <w:kern w:val="0"/>
                    </w:rPr>
                  </w:pPr>
                </w:p>
              </w:tc>
              <w:tc>
                <w:tcPr>
                  <w:tcW w:w="723" w:type="pct"/>
                  <w:noWrap w:val="0"/>
                  <w:vAlign w:val="center"/>
                </w:tcPr>
                <w:p w14:paraId="3ABFE0CE">
                  <w:pPr>
                    <w:pStyle w:val="41"/>
                    <w:rPr>
                      <w:rFonts w:hint="default" w:ascii="Times New Roman" w:hAnsi="Times New Roman" w:eastAsia="宋体" w:cs="Times New Roman"/>
                      <w:color w:val="auto"/>
                      <w:spacing w:val="0"/>
                      <w:kern w:val="0"/>
                      <w:lang w:val="en-US" w:eastAsia="zh-CN"/>
                    </w:rPr>
                  </w:pPr>
                  <w:r>
                    <w:rPr>
                      <w:rFonts w:hint="eastAsia" w:ascii="Times New Roman" w:hAnsi="Times New Roman" w:cs="Times New Roman"/>
                      <w:color w:val="auto"/>
                      <w:spacing w:val="0"/>
                      <w:kern w:val="0"/>
                      <w:lang w:val="en-US" w:eastAsia="zh-CN"/>
                    </w:rPr>
                    <w:t>1.0</w:t>
                  </w:r>
                </w:p>
              </w:tc>
            </w:tr>
            <w:tr w14:paraId="2B9DE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continue"/>
                  <w:noWrap w:val="0"/>
                  <w:vAlign w:val="center"/>
                </w:tcPr>
                <w:p w14:paraId="1A2D9351">
                  <w:pPr>
                    <w:pStyle w:val="41"/>
                    <w:rPr>
                      <w:rFonts w:hint="default" w:ascii="Times New Roman" w:hAnsi="Times New Roman" w:eastAsia="宋体" w:cs="Times New Roman"/>
                      <w:color w:val="auto"/>
                      <w:spacing w:val="0"/>
                      <w:kern w:val="0"/>
                    </w:rPr>
                  </w:pPr>
                </w:p>
              </w:tc>
              <w:tc>
                <w:tcPr>
                  <w:tcW w:w="949" w:type="pct"/>
                  <w:vMerge w:val="continue"/>
                  <w:noWrap w:val="0"/>
                  <w:vAlign w:val="center"/>
                </w:tcPr>
                <w:p w14:paraId="5AF998A0">
                  <w:pPr>
                    <w:pStyle w:val="41"/>
                    <w:rPr>
                      <w:rFonts w:hint="default" w:ascii="Times New Roman" w:hAnsi="Times New Roman" w:eastAsia="宋体" w:cs="Times New Roman"/>
                      <w:color w:val="auto"/>
                      <w:spacing w:val="0"/>
                      <w:kern w:val="0"/>
                    </w:rPr>
                  </w:pPr>
                </w:p>
              </w:tc>
              <w:tc>
                <w:tcPr>
                  <w:tcW w:w="683" w:type="pct"/>
                  <w:vMerge w:val="continue"/>
                  <w:noWrap w:val="0"/>
                  <w:vAlign w:val="center"/>
                </w:tcPr>
                <w:p w14:paraId="320FFE4B">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p>
              </w:tc>
              <w:tc>
                <w:tcPr>
                  <w:tcW w:w="982" w:type="pct"/>
                  <w:noWrap w:val="0"/>
                  <w:vAlign w:val="center"/>
                </w:tcPr>
                <w:p w14:paraId="047D9786">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ascii="Times New Roman" w:hAnsi="Times New Roman" w:cs="Times New Roman"/>
                      <w:b w:val="0"/>
                      <w:color w:val="auto"/>
                      <w:spacing w:val="0"/>
                      <w:kern w:val="0"/>
                      <w:sz w:val="21"/>
                      <w:szCs w:val="20"/>
                      <w:lang w:val="en-US" w:eastAsia="zh-CN" w:bidi="ar-SA"/>
                    </w:rPr>
                    <w:t>总磷</w:t>
                  </w:r>
                </w:p>
              </w:tc>
              <w:tc>
                <w:tcPr>
                  <w:tcW w:w="795" w:type="pct"/>
                  <w:vMerge w:val="continue"/>
                  <w:noWrap w:val="0"/>
                  <w:vAlign w:val="center"/>
                </w:tcPr>
                <w:p w14:paraId="0F055FA3">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p>
              </w:tc>
              <w:tc>
                <w:tcPr>
                  <w:tcW w:w="723" w:type="pct"/>
                  <w:noWrap w:val="0"/>
                  <w:vAlign w:val="center"/>
                </w:tcPr>
                <w:p w14:paraId="1072F124">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ascii="Times New Roman" w:hAnsi="Times New Roman" w:cs="Times New Roman"/>
                      <w:b w:val="0"/>
                      <w:color w:val="auto"/>
                      <w:spacing w:val="0"/>
                      <w:kern w:val="0"/>
                      <w:sz w:val="21"/>
                      <w:szCs w:val="20"/>
                      <w:lang w:val="en-US" w:eastAsia="zh-CN" w:bidi="ar-SA"/>
                    </w:rPr>
                    <w:t>0.2</w:t>
                  </w:r>
                </w:p>
              </w:tc>
            </w:tr>
          </w:tbl>
          <w:p w14:paraId="4897DB2C">
            <w:pPr>
              <w:pStyle w:val="15"/>
              <w:keepNext w:val="0"/>
              <w:keepLines w:val="0"/>
              <w:pageBreakBefore w:val="0"/>
              <w:widowControl w:val="0"/>
              <w:kinsoku/>
              <w:wordWrap/>
              <w:overflowPunct/>
              <w:topLinePunct w:val="0"/>
              <w:bidi w:val="0"/>
              <w:adjustRightInd w:val="0"/>
              <w:snapToGrid w:val="0"/>
              <w:spacing w:after="0"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1"/>
              </w:rPr>
              <w:t>本项目</w:t>
            </w:r>
            <w:r>
              <w:rPr>
                <w:rFonts w:hint="default" w:ascii="Times New Roman" w:hAnsi="Times New Roman" w:eastAsia="宋体" w:cs="Times New Roman"/>
                <w:bCs/>
                <w:smallCaps w:val="0"/>
                <w:color w:val="auto"/>
                <w:spacing w:val="0"/>
                <w:kern w:val="0"/>
                <w:position w:val="0"/>
                <w:sz w:val="24"/>
                <w:szCs w:val="21"/>
                <w:lang w:val="en-US" w:eastAsia="zh-CN"/>
              </w:rPr>
              <w:t>无生产废水排放，现有项目废水主要为生活污水，</w:t>
            </w:r>
            <w:r>
              <w:rPr>
                <w:rFonts w:hint="default" w:ascii="Times New Roman" w:hAnsi="Times New Roman" w:eastAsia="宋体" w:cs="Times New Roman"/>
                <w:bCs/>
                <w:smallCaps w:val="0"/>
                <w:color w:val="auto"/>
                <w:spacing w:val="0"/>
                <w:kern w:val="0"/>
                <w:position w:val="0"/>
                <w:sz w:val="24"/>
                <w:szCs w:val="21"/>
              </w:rPr>
              <w:t>接管至金坛第二污水处理厂，纳污水体为尧塘河。地表水环境质量现状布设2个引用断面，分别位于金坛第二污水处理厂排口上游500m、下游2000m处，本次地表水环境质量现状引用</w:t>
            </w:r>
            <w:r>
              <w:rPr>
                <w:rFonts w:hint="eastAsia" w:cs="Times New Roman"/>
                <w:bCs/>
                <w:smallCaps w:val="0"/>
                <w:color w:val="auto"/>
                <w:spacing w:val="0"/>
                <w:kern w:val="0"/>
                <w:position w:val="0"/>
                <w:sz w:val="24"/>
                <w:szCs w:val="21"/>
                <w:lang w:eastAsia="zh-CN"/>
              </w:rPr>
              <w:t>特斯特(江苏)检测科技有限公司</w:t>
            </w:r>
            <w:r>
              <w:rPr>
                <w:rFonts w:hint="default" w:ascii="Times New Roman" w:hAnsi="Times New Roman" w:eastAsia="宋体" w:cs="Times New Roman"/>
                <w:bCs/>
                <w:smallCaps w:val="0"/>
                <w:color w:val="auto"/>
                <w:spacing w:val="0"/>
                <w:kern w:val="0"/>
                <w:position w:val="0"/>
                <w:sz w:val="24"/>
                <w:szCs w:val="21"/>
              </w:rPr>
              <w:t>于202</w:t>
            </w:r>
            <w:r>
              <w:rPr>
                <w:rFonts w:hint="eastAsia" w:cs="Times New Roman"/>
                <w:bCs/>
                <w:smallCaps w:val="0"/>
                <w:color w:val="auto"/>
                <w:spacing w:val="0"/>
                <w:kern w:val="0"/>
                <w:position w:val="0"/>
                <w:sz w:val="24"/>
                <w:szCs w:val="21"/>
                <w:lang w:val="en-US" w:eastAsia="zh-CN"/>
              </w:rPr>
              <w:t>5</w:t>
            </w:r>
            <w:r>
              <w:rPr>
                <w:rFonts w:hint="default" w:ascii="Times New Roman" w:hAnsi="Times New Roman" w:eastAsia="宋体" w:cs="Times New Roman"/>
                <w:bCs/>
                <w:smallCaps w:val="0"/>
                <w:color w:val="auto"/>
                <w:spacing w:val="0"/>
                <w:kern w:val="0"/>
                <w:position w:val="0"/>
                <w:sz w:val="24"/>
                <w:szCs w:val="21"/>
              </w:rPr>
              <w:t>年</w:t>
            </w:r>
            <w:r>
              <w:rPr>
                <w:rFonts w:hint="default" w:ascii="Times New Roman" w:hAnsi="Times New Roman" w:eastAsia="宋体" w:cs="Times New Roman"/>
                <w:bCs/>
                <w:smallCaps w:val="0"/>
                <w:color w:val="auto"/>
                <w:spacing w:val="0"/>
                <w:kern w:val="0"/>
                <w:position w:val="0"/>
                <w:sz w:val="24"/>
                <w:szCs w:val="21"/>
                <w:lang w:val="en-US" w:eastAsia="zh-CN"/>
              </w:rPr>
              <w:t>0</w:t>
            </w:r>
            <w:r>
              <w:rPr>
                <w:rFonts w:hint="eastAsia" w:cs="Times New Roman"/>
                <w:bCs/>
                <w:smallCaps w:val="0"/>
                <w:color w:val="auto"/>
                <w:spacing w:val="0"/>
                <w:kern w:val="0"/>
                <w:position w:val="0"/>
                <w:sz w:val="24"/>
                <w:szCs w:val="21"/>
                <w:lang w:val="en-US" w:eastAsia="zh-CN"/>
              </w:rPr>
              <w:t>1</w:t>
            </w:r>
            <w:r>
              <w:rPr>
                <w:rFonts w:hint="default" w:ascii="Times New Roman" w:hAnsi="Times New Roman" w:eastAsia="宋体" w:cs="Times New Roman"/>
                <w:bCs/>
                <w:smallCaps w:val="0"/>
                <w:color w:val="auto"/>
                <w:spacing w:val="0"/>
                <w:kern w:val="0"/>
                <w:position w:val="0"/>
                <w:sz w:val="24"/>
                <w:szCs w:val="21"/>
              </w:rPr>
              <w:t>月</w:t>
            </w:r>
            <w:r>
              <w:rPr>
                <w:rFonts w:hint="eastAsia" w:cs="Times New Roman"/>
                <w:bCs/>
                <w:smallCaps w:val="0"/>
                <w:color w:val="auto"/>
                <w:spacing w:val="0"/>
                <w:kern w:val="0"/>
                <w:position w:val="0"/>
                <w:sz w:val="24"/>
                <w:szCs w:val="21"/>
                <w:lang w:val="en-US" w:eastAsia="zh-CN"/>
              </w:rPr>
              <w:t>06</w:t>
            </w:r>
            <w:r>
              <w:rPr>
                <w:rFonts w:hint="default" w:ascii="Times New Roman" w:hAnsi="Times New Roman" w:eastAsia="宋体" w:cs="Times New Roman"/>
                <w:bCs/>
                <w:smallCaps w:val="0"/>
                <w:color w:val="auto"/>
                <w:spacing w:val="0"/>
                <w:kern w:val="0"/>
                <w:position w:val="0"/>
                <w:sz w:val="24"/>
                <w:szCs w:val="21"/>
              </w:rPr>
              <w:t>日-202</w:t>
            </w:r>
            <w:r>
              <w:rPr>
                <w:rFonts w:hint="eastAsia" w:cs="Times New Roman"/>
                <w:bCs/>
                <w:smallCaps w:val="0"/>
                <w:color w:val="auto"/>
                <w:spacing w:val="0"/>
                <w:kern w:val="0"/>
                <w:position w:val="0"/>
                <w:sz w:val="24"/>
                <w:szCs w:val="21"/>
                <w:lang w:val="en-US" w:eastAsia="zh-CN"/>
              </w:rPr>
              <w:t>5</w:t>
            </w:r>
            <w:r>
              <w:rPr>
                <w:rFonts w:hint="default" w:ascii="Times New Roman" w:hAnsi="Times New Roman" w:eastAsia="宋体" w:cs="Times New Roman"/>
                <w:bCs/>
                <w:smallCaps w:val="0"/>
                <w:color w:val="auto"/>
                <w:spacing w:val="0"/>
                <w:kern w:val="0"/>
                <w:position w:val="0"/>
                <w:sz w:val="24"/>
                <w:szCs w:val="21"/>
              </w:rPr>
              <w:t>年0</w:t>
            </w:r>
            <w:r>
              <w:rPr>
                <w:rFonts w:hint="eastAsia" w:cs="Times New Roman"/>
                <w:bCs/>
                <w:smallCaps w:val="0"/>
                <w:color w:val="auto"/>
                <w:spacing w:val="0"/>
                <w:kern w:val="0"/>
                <w:position w:val="0"/>
                <w:sz w:val="24"/>
                <w:szCs w:val="21"/>
                <w:lang w:val="en-US" w:eastAsia="zh-CN"/>
              </w:rPr>
              <w:t>1</w:t>
            </w:r>
            <w:r>
              <w:rPr>
                <w:rFonts w:hint="default" w:ascii="Times New Roman" w:hAnsi="Times New Roman" w:eastAsia="宋体" w:cs="Times New Roman"/>
                <w:bCs/>
                <w:smallCaps w:val="0"/>
                <w:color w:val="auto"/>
                <w:spacing w:val="0"/>
                <w:kern w:val="0"/>
                <w:position w:val="0"/>
                <w:sz w:val="24"/>
                <w:szCs w:val="21"/>
              </w:rPr>
              <w:t>月0</w:t>
            </w:r>
            <w:r>
              <w:rPr>
                <w:rFonts w:hint="eastAsia" w:cs="Times New Roman"/>
                <w:bCs/>
                <w:smallCaps w:val="0"/>
                <w:color w:val="auto"/>
                <w:spacing w:val="0"/>
                <w:kern w:val="0"/>
                <w:position w:val="0"/>
                <w:sz w:val="24"/>
                <w:szCs w:val="21"/>
                <w:lang w:val="en-US" w:eastAsia="zh-CN"/>
              </w:rPr>
              <w:t>8</w:t>
            </w:r>
            <w:r>
              <w:rPr>
                <w:rFonts w:hint="default" w:ascii="Times New Roman" w:hAnsi="Times New Roman" w:eastAsia="宋体" w:cs="Times New Roman"/>
                <w:bCs/>
                <w:smallCaps w:val="0"/>
                <w:color w:val="auto"/>
                <w:spacing w:val="0"/>
                <w:kern w:val="0"/>
                <w:position w:val="0"/>
                <w:sz w:val="24"/>
                <w:szCs w:val="21"/>
              </w:rPr>
              <w:t>日（报告编号为：TST202502019）的实测数据。</w:t>
            </w:r>
          </w:p>
          <w:p w14:paraId="191F730D">
            <w:pPr>
              <w:pStyle w:val="15"/>
              <w:keepNext w:val="0"/>
              <w:keepLines w:val="0"/>
              <w:pageBreakBefore w:val="0"/>
              <w:widowControl w:val="0"/>
              <w:kinsoku/>
              <w:wordWrap/>
              <w:overflowPunct/>
              <w:topLinePunct w:val="0"/>
              <w:bidi w:val="0"/>
              <w:adjustRightInd w:val="0"/>
              <w:snapToGrid w:val="0"/>
              <w:spacing w:after="0"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1"/>
              </w:rPr>
              <w:t>水环境质量现状引用数据的监测断面在项目地表水评价范围内，断面设置符合导则要求；监测时间未超过3年，区域内污染源未发生重大变化，引用时间有效；因此，水环境质量现状引用数据能够反映本项目纳污水体的环境质量现状，数据有效。</w:t>
            </w:r>
          </w:p>
          <w:p w14:paraId="7220C190">
            <w:pPr>
              <w:pStyle w:val="2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lang w:val="en-US" w:eastAsia="zh-CN" w:bidi="ar-SA"/>
              </w:rPr>
              <w:t>表3-</w:t>
            </w:r>
            <w:r>
              <w:rPr>
                <w:rFonts w:hint="eastAsia" w:cs="Times New Roman"/>
                <w:b/>
                <w:bCs/>
                <w:smallCaps w:val="0"/>
                <w:color w:val="auto"/>
                <w:spacing w:val="0"/>
                <w:kern w:val="0"/>
                <w:position w:val="0"/>
                <w:sz w:val="21"/>
                <w:szCs w:val="21"/>
                <w:lang w:val="en-US" w:eastAsia="zh-CN" w:bidi="ar-SA"/>
              </w:rPr>
              <w:t>6</w:t>
            </w:r>
            <w:r>
              <w:rPr>
                <w:rFonts w:hint="default" w:ascii="Times New Roman" w:hAnsi="Times New Roman" w:eastAsia="宋体" w:cs="Times New Roman"/>
                <w:b/>
                <w:bCs/>
                <w:smallCaps w:val="0"/>
                <w:color w:val="auto"/>
                <w:spacing w:val="0"/>
                <w:kern w:val="0"/>
                <w:position w:val="0"/>
                <w:sz w:val="21"/>
                <w:szCs w:val="21"/>
                <w:lang w:val="en-US" w:eastAsia="zh-CN" w:bidi="ar-SA"/>
              </w:rPr>
              <w:t>地表水环境质量监测结果</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53"/>
              <w:gridCol w:w="1592"/>
              <w:gridCol w:w="1146"/>
              <w:gridCol w:w="1647"/>
              <w:gridCol w:w="1334"/>
              <w:gridCol w:w="1213"/>
            </w:tblGrid>
            <w:tr w14:paraId="45399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tcBorders>
                    <w:bottom w:val="single" w:color="auto" w:sz="12" w:space="0"/>
                  </w:tcBorders>
                  <w:noWrap w:val="0"/>
                  <w:vAlign w:val="center"/>
                </w:tcPr>
                <w:p w14:paraId="218FEBBB">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监测断面</w:t>
                  </w:r>
                </w:p>
              </w:tc>
              <w:tc>
                <w:tcPr>
                  <w:tcW w:w="949" w:type="pct"/>
                  <w:tcBorders>
                    <w:bottom w:val="single" w:color="auto" w:sz="12" w:space="0"/>
                  </w:tcBorders>
                  <w:noWrap w:val="0"/>
                  <w:vAlign w:val="center"/>
                </w:tcPr>
                <w:p w14:paraId="1BE5EDEE">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监测项目</w:t>
                  </w:r>
                </w:p>
              </w:tc>
              <w:tc>
                <w:tcPr>
                  <w:tcW w:w="683" w:type="pct"/>
                  <w:tcBorders>
                    <w:bottom w:val="single" w:color="auto" w:sz="12" w:space="0"/>
                  </w:tcBorders>
                  <w:noWrap w:val="0"/>
                  <w:vAlign w:val="center"/>
                </w:tcPr>
                <w:p w14:paraId="4A22479D">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pH</w:t>
                  </w:r>
                </w:p>
                <w:p w14:paraId="667B55F1">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（无量纲）</w:t>
                  </w:r>
                </w:p>
              </w:tc>
              <w:tc>
                <w:tcPr>
                  <w:tcW w:w="982" w:type="pct"/>
                  <w:tcBorders>
                    <w:bottom w:val="single" w:color="auto" w:sz="12" w:space="0"/>
                  </w:tcBorders>
                  <w:noWrap w:val="0"/>
                  <w:vAlign w:val="center"/>
                </w:tcPr>
                <w:p w14:paraId="0A4C0F05">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化学需氧量（mg/L）</w:t>
                  </w:r>
                </w:p>
              </w:tc>
              <w:tc>
                <w:tcPr>
                  <w:tcW w:w="795" w:type="pct"/>
                  <w:tcBorders>
                    <w:bottom w:val="single" w:color="auto" w:sz="12" w:space="0"/>
                  </w:tcBorders>
                  <w:noWrap w:val="0"/>
                  <w:vAlign w:val="center"/>
                </w:tcPr>
                <w:p w14:paraId="1280273E">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氨氮</w:t>
                  </w:r>
                </w:p>
                <w:p w14:paraId="45D31CD5">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（mg/L）</w:t>
                  </w:r>
                </w:p>
              </w:tc>
              <w:tc>
                <w:tcPr>
                  <w:tcW w:w="723" w:type="pct"/>
                  <w:tcBorders>
                    <w:bottom w:val="single" w:color="auto" w:sz="12" w:space="0"/>
                  </w:tcBorders>
                  <w:noWrap w:val="0"/>
                  <w:vAlign w:val="center"/>
                </w:tcPr>
                <w:p w14:paraId="2AF2D84D">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总磷</w:t>
                  </w:r>
                </w:p>
                <w:p w14:paraId="78003EFA">
                  <w:pPr>
                    <w:pStyle w:val="41"/>
                    <w:rPr>
                      <w:rFonts w:hint="default" w:ascii="Times New Roman" w:hAnsi="Times New Roman" w:eastAsia="宋体" w:cs="Times New Roman"/>
                      <w:b/>
                      <w:color w:val="auto"/>
                      <w:spacing w:val="0"/>
                      <w:kern w:val="0"/>
                    </w:rPr>
                  </w:pPr>
                  <w:r>
                    <w:rPr>
                      <w:rFonts w:hint="default" w:ascii="Times New Roman" w:hAnsi="Times New Roman" w:eastAsia="宋体" w:cs="Times New Roman"/>
                      <w:b/>
                      <w:color w:val="auto"/>
                      <w:spacing w:val="0"/>
                      <w:kern w:val="0"/>
                    </w:rPr>
                    <w:t>（mg/L）</w:t>
                  </w:r>
                </w:p>
              </w:tc>
            </w:tr>
            <w:tr w14:paraId="370EA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restart"/>
                  <w:tcBorders>
                    <w:top w:val="single" w:color="auto" w:sz="12" w:space="0"/>
                  </w:tcBorders>
                  <w:noWrap w:val="0"/>
                  <w:vAlign w:val="center"/>
                </w:tcPr>
                <w:p w14:paraId="34D67DB1">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W1金坛第二污水处理厂上游500m</w:t>
                  </w:r>
                </w:p>
              </w:tc>
              <w:tc>
                <w:tcPr>
                  <w:tcW w:w="949" w:type="pct"/>
                  <w:tcBorders>
                    <w:top w:val="single" w:color="auto" w:sz="12" w:space="0"/>
                  </w:tcBorders>
                  <w:noWrap w:val="0"/>
                  <w:vAlign w:val="center"/>
                </w:tcPr>
                <w:p w14:paraId="1D87FB8F">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最小值</w:t>
                  </w:r>
                </w:p>
              </w:tc>
              <w:tc>
                <w:tcPr>
                  <w:tcW w:w="683" w:type="pct"/>
                  <w:tcBorders>
                    <w:top w:val="single" w:color="auto" w:sz="12" w:space="0"/>
                  </w:tcBorders>
                  <w:noWrap w:val="0"/>
                  <w:vAlign w:val="center"/>
                </w:tcPr>
                <w:p w14:paraId="6E64DE13">
                  <w:pPr>
                    <w:pStyle w:val="41"/>
                    <w:rPr>
                      <w:rFonts w:hint="default" w:ascii="Times New Roman" w:hAnsi="Times New Roman" w:eastAsia="宋体" w:cs="Times New Roman"/>
                      <w:color w:val="auto"/>
                      <w:spacing w:val="0"/>
                      <w:kern w:val="0"/>
                      <w:lang w:val="en-US" w:eastAsia="zh-CN"/>
                    </w:rPr>
                  </w:pPr>
                  <w:r>
                    <w:rPr>
                      <w:rFonts w:hint="eastAsia" w:cs="Times New Roman"/>
                      <w:color w:val="auto"/>
                      <w:spacing w:val="0"/>
                      <w:kern w:val="0"/>
                      <w:lang w:val="en-US" w:eastAsia="zh-CN"/>
                    </w:rPr>
                    <w:t>7.8</w:t>
                  </w:r>
                </w:p>
              </w:tc>
              <w:tc>
                <w:tcPr>
                  <w:tcW w:w="982" w:type="pct"/>
                  <w:tcBorders>
                    <w:top w:val="single" w:color="auto" w:sz="12" w:space="0"/>
                  </w:tcBorders>
                  <w:noWrap w:val="0"/>
                  <w:vAlign w:val="center"/>
                </w:tcPr>
                <w:p w14:paraId="1D9BA465">
                  <w:pPr>
                    <w:pStyle w:val="41"/>
                    <w:rPr>
                      <w:rFonts w:hint="default" w:ascii="Times New Roman" w:hAnsi="Times New Roman" w:eastAsia="宋体" w:cs="Times New Roman"/>
                      <w:color w:val="auto"/>
                      <w:spacing w:val="0"/>
                      <w:kern w:val="0"/>
                      <w:lang w:val="en-US" w:eastAsia="zh-CN"/>
                    </w:rPr>
                  </w:pPr>
                  <w:r>
                    <w:rPr>
                      <w:rFonts w:hint="eastAsia" w:cs="Times New Roman"/>
                      <w:color w:val="auto"/>
                      <w:spacing w:val="0"/>
                      <w:kern w:val="0"/>
                      <w:lang w:val="en-US" w:eastAsia="zh-CN"/>
                    </w:rPr>
                    <w:t>16</w:t>
                  </w:r>
                </w:p>
              </w:tc>
              <w:tc>
                <w:tcPr>
                  <w:tcW w:w="795" w:type="pct"/>
                  <w:tcBorders>
                    <w:top w:val="single" w:color="auto" w:sz="12" w:space="0"/>
                  </w:tcBorders>
                  <w:noWrap w:val="0"/>
                  <w:vAlign w:val="center"/>
                </w:tcPr>
                <w:p w14:paraId="4900711F">
                  <w:pPr>
                    <w:pStyle w:val="41"/>
                    <w:rPr>
                      <w:rFonts w:hint="default" w:ascii="Times New Roman" w:hAnsi="Times New Roman" w:eastAsia="宋体" w:cs="Times New Roman"/>
                      <w:color w:val="auto"/>
                      <w:spacing w:val="0"/>
                      <w:kern w:val="0"/>
                      <w:lang w:val="en-US" w:eastAsia="zh-CN"/>
                    </w:rPr>
                  </w:pPr>
                  <w:r>
                    <w:rPr>
                      <w:rFonts w:hint="eastAsia" w:cs="Times New Roman"/>
                      <w:color w:val="auto"/>
                      <w:spacing w:val="0"/>
                      <w:kern w:val="0"/>
                      <w:lang w:val="en-US" w:eastAsia="zh-CN"/>
                    </w:rPr>
                    <w:t>0.149</w:t>
                  </w:r>
                </w:p>
              </w:tc>
              <w:tc>
                <w:tcPr>
                  <w:tcW w:w="723" w:type="pct"/>
                  <w:tcBorders>
                    <w:top w:val="single" w:color="auto" w:sz="12" w:space="0"/>
                  </w:tcBorders>
                  <w:noWrap w:val="0"/>
                  <w:vAlign w:val="center"/>
                </w:tcPr>
                <w:p w14:paraId="336251D8">
                  <w:pPr>
                    <w:pStyle w:val="41"/>
                    <w:rPr>
                      <w:rFonts w:hint="default" w:ascii="Times New Roman" w:hAnsi="Times New Roman" w:eastAsia="宋体" w:cs="Times New Roman"/>
                      <w:color w:val="auto"/>
                      <w:spacing w:val="0"/>
                      <w:kern w:val="0"/>
                      <w:lang w:val="en-US" w:eastAsia="zh-CN"/>
                    </w:rPr>
                  </w:pPr>
                  <w:r>
                    <w:rPr>
                      <w:rFonts w:hint="eastAsia" w:cs="Times New Roman"/>
                      <w:color w:val="auto"/>
                      <w:spacing w:val="0"/>
                      <w:kern w:val="0"/>
                      <w:lang w:val="en-US" w:eastAsia="zh-CN"/>
                    </w:rPr>
                    <w:t>0.08</w:t>
                  </w:r>
                </w:p>
              </w:tc>
            </w:tr>
            <w:tr w14:paraId="55CAD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continue"/>
                  <w:noWrap w:val="0"/>
                  <w:vAlign w:val="center"/>
                </w:tcPr>
                <w:p w14:paraId="1B474F13">
                  <w:pPr>
                    <w:pStyle w:val="41"/>
                    <w:rPr>
                      <w:rFonts w:hint="default" w:ascii="Times New Roman" w:hAnsi="Times New Roman" w:eastAsia="宋体" w:cs="Times New Roman"/>
                      <w:color w:val="auto"/>
                      <w:spacing w:val="0"/>
                      <w:kern w:val="0"/>
                    </w:rPr>
                  </w:pPr>
                </w:p>
              </w:tc>
              <w:tc>
                <w:tcPr>
                  <w:tcW w:w="949" w:type="pct"/>
                  <w:noWrap w:val="0"/>
                  <w:vAlign w:val="center"/>
                </w:tcPr>
                <w:p w14:paraId="45D17F2F">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最大值</w:t>
                  </w:r>
                </w:p>
              </w:tc>
              <w:tc>
                <w:tcPr>
                  <w:tcW w:w="683" w:type="pct"/>
                  <w:noWrap w:val="0"/>
                  <w:vAlign w:val="center"/>
                </w:tcPr>
                <w:p w14:paraId="71312919">
                  <w:pPr>
                    <w:pStyle w:val="41"/>
                    <w:rPr>
                      <w:rFonts w:hint="default" w:ascii="Times New Roman" w:hAnsi="Times New Roman" w:eastAsia="宋体" w:cs="Times New Roman"/>
                      <w:color w:val="auto"/>
                      <w:spacing w:val="0"/>
                      <w:kern w:val="0"/>
                      <w:lang w:val="en-US" w:eastAsia="zh-CN"/>
                    </w:rPr>
                  </w:pPr>
                  <w:r>
                    <w:rPr>
                      <w:rFonts w:hint="eastAsia" w:cs="Times New Roman"/>
                      <w:color w:val="auto"/>
                      <w:spacing w:val="0"/>
                      <w:kern w:val="0"/>
                      <w:lang w:val="en-US" w:eastAsia="zh-CN"/>
                    </w:rPr>
                    <w:t>8.1</w:t>
                  </w:r>
                </w:p>
              </w:tc>
              <w:tc>
                <w:tcPr>
                  <w:tcW w:w="982" w:type="pct"/>
                  <w:noWrap w:val="0"/>
                  <w:vAlign w:val="center"/>
                </w:tcPr>
                <w:p w14:paraId="552DE959">
                  <w:pPr>
                    <w:pStyle w:val="41"/>
                    <w:rPr>
                      <w:rFonts w:hint="default" w:ascii="Times New Roman" w:hAnsi="Times New Roman" w:eastAsia="宋体" w:cs="Times New Roman"/>
                      <w:color w:val="auto"/>
                      <w:spacing w:val="0"/>
                      <w:kern w:val="0"/>
                      <w:lang w:val="en-US" w:eastAsia="zh-CN"/>
                    </w:rPr>
                  </w:pPr>
                  <w:r>
                    <w:rPr>
                      <w:rFonts w:hint="eastAsia" w:cs="Times New Roman"/>
                      <w:color w:val="auto"/>
                      <w:spacing w:val="0"/>
                      <w:kern w:val="0"/>
                      <w:lang w:val="en-US" w:eastAsia="zh-CN"/>
                    </w:rPr>
                    <w:t>19</w:t>
                  </w:r>
                </w:p>
              </w:tc>
              <w:tc>
                <w:tcPr>
                  <w:tcW w:w="795" w:type="pct"/>
                  <w:noWrap w:val="0"/>
                  <w:vAlign w:val="center"/>
                </w:tcPr>
                <w:p w14:paraId="4BB8DB03">
                  <w:pPr>
                    <w:pStyle w:val="41"/>
                    <w:rPr>
                      <w:rFonts w:hint="default" w:ascii="Times New Roman" w:hAnsi="Times New Roman" w:eastAsia="宋体" w:cs="Times New Roman"/>
                      <w:color w:val="auto"/>
                      <w:spacing w:val="0"/>
                      <w:kern w:val="0"/>
                      <w:lang w:val="en-US" w:eastAsia="zh-CN"/>
                    </w:rPr>
                  </w:pPr>
                  <w:r>
                    <w:rPr>
                      <w:rFonts w:hint="eastAsia" w:cs="Times New Roman"/>
                      <w:color w:val="auto"/>
                      <w:spacing w:val="0"/>
                      <w:kern w:val="0"/>
                      <w:lang w:val="en-US" w:eastAsia="zh-CN"/>
                    </w:rPr>
                    <w:t>0.350</w:t>
                  </w:r>
                </w:p>
              </w:tc>
              <w:tc>
                <w:tcPr>
                  <w:tcW w:w="723" w:type="pct"/>
                  <w:noWrap w:val="0"/>
                  <w:vAlign w:val="center"/>
                </w:tcPr>
                <w:p w14:paraId="0752CEDA">
                  <w:pPr>
                    <w:pStyle w:val="41"/>
                    <w:rPr>
                      <w:rFonts w:hint="default" w:ascii="Times New Roman" w:hAnsi="Times New Roman" w:eastAsia="宋体" w:cs="Times New Roman"/>
                      <w:color w:val="auto"/>
                      <w:spacing w:val="0"/>
                      <w:kern w:val="0"/>
                      <w:lang w:val="en-US" w:eastAsia="zh-CN"/>
                    </w:rPr>
                  </w:pPr>
                  <w:r>
                    <w:rPr>
                      <w:rFonts w:hint="eastAsia" w:cs="Times New Roman"/>
                      <w:color w:val="auto"/>
                      <w:spacing w:val="0"/>
                      <w:kern w:val="0"/>
                      <w:lang w:val="en-US" w:eastAsia="zh-CN"/>
                    </w:rPr>
                    <w:t>0.09</w:t>
                  </w:r>
                </w:p>
              </w:tc>
            </w:tr>
            <w:tr w14:paraId="0B0FB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continue"/>
                  <w:noWrap w:val="0"/>
                  <w:vAlign w:val="center"/>
                </w:tcPr>
                <w:p w14:paraId="4EB3816E">
                  <w:pPr>
                    <w:pStyle w:val="41"/>
                    <w:rPr>
                      <w:rFonts w:hint="default" w:ascii="Times New Roman" w:hAnsi="Times New Roman" w:eastAsia="宋体" w:cs="Times New Roman"/>
                      <w:color w:val="auto"/>
                      <w:spacing w:val="0"/>
                      <w:kern w:val="0"/>
                    </w:rPr>
                  </w:pPr>
                </w:p>
              </w:tc>
              <w:tc>
                <w:tcPr>
                  <w:tcW w:w="949" w:type="pct"/>
                  <w:noWrap w:val="0"/>
                  <w:vAlign w:val="center"/>
                </w:tcPr>
                <w:p w14:paraId="4F6A8610">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超标率%</w:t>
                  </w:r>
                </w:p>
              </w:tc>
              <w:tc>
                <w:tcPr>
                  <w:tcW w:w="683" w:type="pct"/>
                  <w:noWrap w:val="0"/>
                  <w:vAlign w:val="center"/>
                </w:tcPr>
                <w:p w14:paraId="6869462C">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0</w:t>
                  </w:r>
                </w:p>
              </w:tc>
              <w:tc>
                <w:tcPr>
                  <w:tcW w:w="982" w:type="pct"/>
                  <w:noWrap w:val="0"/>
                  <w:vAlign w:val="center"/>
                </w:tcPr>
                <w:p w14:paraId="538F98D3">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0</w:t>
                  </w:r>
                </w:p>
              </w:tc>
              <w:tc>
                <w:tcPr>
                  <w:tcW w:w="795" w:type="pct"/>
                  <w:noWrap w:val="0"/>
                  <w:vAlign w:val="center"/>
                </w:tcPr>
                <w:p w14:paraId="44CC1A88">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0</w:t>
                  </w:r>
                </w:p>
              </w:tc>
              <w:tc>
                <w:tcPr>
                  <w:tcW w:w="723" w:type="pct"/>
                  <w:noWrap w:val="0"/>
                  <w:vAlign w:val="center"/>
                </w:tcPr>
                <w:p w14:paraId="1AA3A69D">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0</w:t>
                  </w:r>
                </w:p>
              </w:tc>
            </w:tr>
            <w:tr w14:paraId="2F2A8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restart"/>
                  <w:noWrap w:val="0"/>
                  <w:vAlign w:val="center"/>
                </w:tcPr>
                <w:p w14:paraId="4404A1BC">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W2金坛第二污水处理厂下游2000m</w:t>
                  </w:r>
                </w:p>
              </w:tc>
              <w:tc>
                <w:tcPr>
                  <w:tcW w:w="949" w:type="pct"/>
                  <w:noWrap w:val="0"/>
                  <w:vAlign w:val="center"/>
                </w:tcPr>
                <w:p w14:paraId="7D691874">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最小值</w:t>
                  </w:r>
                </w:p>
              </w:tc>
              <w:tc>
                <w:tcPr>
                  <w:tcW w:w="683" w:type="pct"/>
                  <w:noWrap w:val="0"/>
                  <w:vAlign w:val="center"/>
                </w:tcPr>
                <w:p w14:paraId="7C582C44">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cs="Times New Roman"/>
                      <w:b w:val="0"/>
                      <w:color w:val="auto"/>
                      <w:spacing w:val="0"/>
                      <w:kern w:val="0"/>
                      <w:sz w:val="21"/>
                      <w:szCs w:val="20"/>
                      <w:lang w:val="en-US" w:eastAsia="zh-CN" w:bidi="ar-SA"/>
                    </w:rPr>
                    <w:t>7.7</w:t>
                  </w:r>
                </w:p>
              </w:tc>
              <w:tc>
                <w:tcPr>
                  <w:tcW w:w="982" w:type="pct"/>
                  <w:noWrap w:val="0"/>
                  <w:vAlign w:val="center"/>
                </w:tcPr>
                <w:p w14:paraId="113B734F">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cs="Times New Roman"/>
                      <w:b w:val="0"/>
                      <w:color w:val="auto"/>
                      <w:spacing w:val="0"/>
                      <w:kern w:val="0"/>
                      <w:sz w:val="21"/>
                      <w:szCs w:val="20"/>
                      <w:lang w:val="en-US" w:eastAsia="zh-CN" w:bidi="ar-SA"/>
                    </w:rPr>
                    <w:t>14</w:t>
                  </w:r>
                </w:p>
              </w:tc>
              <w:tc>
                <w:tcPr>
                  <w:tcW w:w="795" w:type="pct"/>
                  <w:noWrap w:val="0"/>
                  <w:vAlign w:val="center"/>
                </w:tcPr>
                <w:p w14:paraId="3BFFF1CC">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cs="Times New Roman"/>
                      <w:b w:val="0"/>
                      <w:color w:val="auto"/>
                      <w:spacing w:val="0"/>
                      <w:kern w:val="0"/>
                      <w:sz w:val="21"/>
                      <w:szCs w:val="20"/>
                      <w:lang w:val="en-US" w:eastAsia="zh-CN" w:bidi="ar-SA"/>
                    </w:rPr>
                    <w:t>0.251</w:t>
                  </w:r>
                </w:p>
              </w:tc>
              <w:tc>
                <w:tcPr>
                  <w:tcW w:w="723" w:type="pct"/>
                  <w:noWrap w:val="0"/>
                  <w:vAlign w:val="center"/>
                </w:tcPr>
                <w:p w14:paraId="23C6DEA4">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cs="Times New Roman"/>
                      <w:b w:val="0"/>
                      <w:color w:val="auto"/>
                      <w:spacing w:val="0"/>
                      <w:kern w:val="0"/>
                      <w:sz w:val="21"/>
                      <w:szCs w:val="20"/>
                      <w:lang w:val="en-US" w:eastAsia="zh-CN" w:bidi="ar-SA"/>
                    </w:rPr>
                    <w:t>0.08</w:t>
                  </w:r>
                </w:p>
              </w:tc>
            </w:tr>
            <w:tr w14:paraId="521DA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continue"/>
                  <w:noWrap w:val="0"/>
                  <w:vAlign w:val="center"/>
                </w:tcPr>
                <w:p w14:paraId="139DC762">
                  <w:pPr>
                    <w:pStyle w:val="41"/>
                    <w:rPr>
                      <w:rFonts w:hint="default" w:ascii="Times New Roman" w:hAnsi="Times New Roman" w:eastAsia="宋体" w:cs="Times New Roman"/>
                      <w:color w:val="auto"/>
                      <w:spacing w:val="0"/>
                      <w:kern w:val="0"/>
                    </w:rPr>
                  </w:pPr>
                </w:p>
              </w:tc>
              <w:tc>
                <w:tcPr>
                  <w:tcW w:w="949" w:type="pct"/>
                  <w:noWrap w:val="0"/>
                  <w:vAlign w:val="center"/>
                </w:tcPr>
                <w:p w14:paraId="4981F7C3">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最大值</w:t>
                  </w:r>
                </w:p>
              </w:tc>
              <w:tc>
                <w:tcPr>
                  <w:tcW w:w="683" w:type="pct"/>
                  <w:noWrap w:val="0"/>
                  <w:vAlign w:val="center"/>
                </w:tcPr>
                <w:p w14:paraId="09E35733">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cs="Times New Roman"/>
                      <w:b w:val="0"/>
                      <w:color w:val="auto"/>
                      <w:spacing w:val="0"/>
                      <w:kern w:val="0"/>
                      <w:sz w:val="21"/>
                      <w:szCs w:val="20"/>
                      <w:lang w:val="en-US" w:eastAsia="zh-CN" w:bidi="ar-SA"/>
                    </w:rPr>
                    <w:t>8.0</w:t>
                  </w:r>
                </w:p>
              </w:tc>
              <w:tc>
                <w:tcPr>
                  <w:tcW w:w="982" w:type="pct"/>
                  <w:noWrap w:val="0"/>
                  <w:vAlign w:val="center"/>
                </w:tcPr>
                <w:p w14:paraId="0E363C61">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cs="Times New Roman"/>
                      <w:b w:val="0"/>
                      <w:color w:val="auto"/>
                      <w:spacing w:val="0"/>
                      <w:kern w:val="0"/>
                      <w:sz w:val="21"/>
                      <w:szCs w:val="20"/>
                      <w:lang w:val="en-US" w:eastAsia="zh-CN" w:bidi="ar-SA"/>
                    </w:rPr>
                    <w:t>17</w:t>
                  </w:r>
                </w:p>
              </w:tc>
              <w:tc>
                <w:tcPr>
                  <w:tcW w:w="795" w:type="pct"/>
                  <w:noWrap w:val="0"/>
                  <w:vAlign w:val="center"/>
                </w:tcPr>
                <w:p w14:paraId="6E88851C">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cs="Times New Roman"/>
                      <w:b w:val="0"/>
                      <w:color w:val="auto"/>
                      <w:spacing w:val="0"/>
                      <w:kern w:val="0"/>
                      <w:sz w:val="21"/>
                      <w:szCs w:val="20"/>
                      <w:lang w:val="en-US" w:eastAsia="zh-CN" w:bidi="ar-SA"/>
                    </w:rPr>
                    <w:t>0.331</w:t>
                  </w:r>
                </w:p>
              </w:tc>
              <w:tc>
                <w:tcPr>
                  <w:tcW w:w="723" w:type="pct"/>
                  <w:noWrap w:val="0"/>
                  <w:vAlign w:val="center"/>
                </w:tcPr>
                <w:p w14:paraId="4421CF26">
                  <w:pPr>
                    <w:pStyle w:val="41"/>
                    <w:ind w:firstLine="0" w:firstLineChars="0"/>
                    <w:rPr>
                      <w:rFonts w:hint="default" w:ascii="Times New Roman" w:hAnsi="Times New Roman" w:eastAsia="宋体" w:cs="Times New Roman"/>
                      <w:b w:val="0"/>
                      <w:color w:val="auto"/>
                      <w:spacing w:val="0"/>
                      <w:kern w:val="0"/>
                      <w:sz w:val="21"/>
                      <w:szCs w:val="20"/>
                      <w:lang w:val="en-US" w:eastAsia="zh-CN" w:bidi="ar-SA"/>
                    </w:rPr>
                  </w:pPr>
                  <w:r>
                    <w:rPr>
                      <w:rFonts w:hint="eastAsia" w:cs="Times New Roman"/>
                      <w:b w:val="0"/>
                      <w:color w:val="auto"/>
                      <w:spacing w:val="0"/>
                      <w:kern w:val="0"/>
                      <w:sz w:val="21"/>
                      <w:szCs w:val="20"/>
                      <w:lang w:val="en-US" w:eastAsia="zh-CN" w:bidi="ar-SA"/>
                    </w:rPr>
                    <w:t>0.09</w:t>
                  </w:r>
                </w:p>
              </w:tc>
            </w:tr>
            <w:tr w14:paraId="48532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6" w:type="pct"/>
                  <w:vMerge w:val="continue"/>
                  <w:noWrap w:val="0"/>
                  <w:vAlign w:val="center"/>
                </w:tcPr>
                <w:p w14:paraId="743D9731">
                  <w:pPr>
                    <w:pStyle w:val="41"/>
                    <w:rPr>
                      <w:rFonts w:hint="default" w:ascii="Times New Roman" w:hAnsi="Times New Roman" w:eastAsia="宋体" w:cs="Times New Roman"/>
                      <w:color w:val="auto"/>
                      <w:spacing w:val="0"/>
                      <w:kern w:val="0"/>
                    </w:rPr>
                  </w:pPr>
                </w:p>
              </w:tc>
              <w:tc>
                <w:tcPr>
                  <w:tcW w:w="949" w:type="pct"/>
                  <w:noWrap w:val="0"/>
                  <w:vAlign w:val="center"/>
                </w:tcPr>
                <w:p w14:paraId="1D310ABB">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超标率%</w:t>
                  </w:r>
                </w:p>
              </w:tc>
              <w:tc>
                <w:tcPr>
                  <w:tcW w:w="683" w:type="pct"/>
                  <w:noWrap w:val="0"/>
                  <w:vAlign w:val="center"/>
                </w:tcPr>
                <w:p w14:paraId="11E30D80">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0</w:t>
                  </w:r>
                </w:p>
              </w:tc>
              <w:tc>
                <w:tcPr>
                  <w:tcW w:w="982" w:type="pct"/>
                  <w:noWrap w:val="0"/>
                  <w:vAlign w:val="center"/>
                </w:tcPr>
                <w:p w14:paraId="483C3C34">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0</w:t>
                  </w:r>
                </w:p>
              </w:tc>
              <w:tc>
                <w:tcPr>
                  <w:tcW w:w="795" w:type="pct"/>
                  <w:noWrap w:val="0"/>
                  <w:vAlign w:val="center"/>
                </w:tcPr>
                <w:p w14:paraId="2D9CC678">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0</w:t>
                  </w:r>
                </w:p>
              </w:tc>
              <w:tc>
                <w:tcPr>
                  <w:tcW w:w="723" w:type="pct"/>
                  <w:noWrap w:val="0"/>
                  <w:vAlign w:val="center"/>
                </w:tcPr>
                <w:p w14:paraId="6EB0F413">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0</w:t>
                  </w:r>
                </w:p>
              </w:tc>
            </w:tr>
            <w:tr w14:paraId="7EEBE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15" w:type="pct"/>
                  <w:gridSpan w:val="2"/>
                  <w:noWrap w:val="0"/>
                  <w:vAlign w:val="center"/>
                </w:tcPr>
                <w:p w14:paraId="3E95B45F">
                  <w:pPr>
                    <w:pStyle w:val="41"/>
                    <w:rPr>
                      <w:rFonts w:hint="default" w:ascii="Times New Roman" w:hAnsi="Times New Roman" w:eastAsia="宋体" w:cs="Times New Roman"/>
                      <w:color w:val="auto"/>
                      <w:spacing w:val="0"/>
                      <w:kern w:val="0"/>
                    </w:rPr>
                  </w:pPr>
                  <w:r>
                    <w:rPr>
                      <w:rFonts w:hint="default" w:ascii="Times New Roman" w:hAnsi="Times New Roman" w:eastAsia="宋体" w:cs="Times New Roman"/>
                      <w:color w:val="auto"/>
                      <w:spacing w:val="0"/>
                      <w:kern w:val="0"/>
                    </w:rPr>
                    <w:t>Ⅲ类水质标准</w:t>
                  </w:r>
                </w:p>
              </w:tc>
              <w:tc>
                <w:tcPr>
                  <w:tcW w:w="683" w:type="pct"/>
                  <w:noWrap w:val="0"/>
                  <w:vAlign w:val="center"/>
                </w:tcPr>
                <w:p w14:paraId="3054295E">
                  <w:pPr>
                    <w:pStyle w:val="41"/>
                    <w:rPr>
                      <w:rFonts w:hint="default" w:ascii="Times New Roman" w:hAnsi="Times New Roman" w:eastAsia="宋体" w:cs="Times New Roman"/>
                      <w:color w:val="auto"/>
                      <w:spacing w:val="0"/>
                      <w:kern w:val="0"/>
                      <w:lang w:val="en-US" w:eastAsia="zh-CN"/>
                    </w:rPr>
                  </w:pPr>
                  <w:r>
                    <w:rPr>
                      <w:rFonts w:hint="default" w:ascii="Times New Roman" w:hAnsi="Times New Roman" w:eastAsia="宋体" w:cs="Times New Roman"/>
                      <w:color w:val="auto"/>
                      <w:spacing w:val="0"/>
                      <w:kern w:val="0"/>
                      <w:lang w:val="en-US" w:eastAsia="zh-CN"/>
                    </w:rPr>
                    <w:t>6-9</w:t>
                  </w:r>
                </w:p>
              </w:tc>
              <w:tc>
                <w:tcPr>
                  <w:tcW w:w="982" w:type="pct"/>
                  <w:noWrap w:val="0"/>
                  <w:vAlign w:val="center"/>
                </w:tcPr>
                <w:p w14:paraId="7221E2F2">
                  <w:pPr>
                    <w:pStyle w:val="41"/>
                    <w:rPr>
                      <w:rFonts w:hint="default" w:ascii="Times New Roman" w:hAnsi="Times New Roman" w:eastAsia="宋体" w:cs="Times New Roman"/>
                      <w:color w:val="auto"/>
                      <w:spacing w:val="0"/>
                      <w:kern w:val="0"/>
                      <w:lang w:val="en-US" w:eastAsia="zh-CN"/>
                    </w:rPr>
                  </w:pPr>
                  <w:r>
                    <w:rPr>
                      <w:rFonts w:hint="default" w:ascii="Times New Roman" w:hAnsi="Times New Roman" w:eastAsia="宋体" w:cs="Times New Roman"/>
                      <w:smallCaps w:val="0"/>
                      <w:color w:val="auto"/>
                      <w:spacing w:val="0"/>
                      <w:szCs w:val="21"/>
                    </w:rPr>
                    <w:t>≤</w:t>
                  </w:r>
                  <w:r>
                    <w:rPr>
                      <w:rFonts w:hint="default" w:ascii="Times New Roman" w:hAnsi="Times New Roman" w:eastAsia="宋体" w:cs="Times New Roman"/>
                      <w:smallCaps w:val="0"/>
                      <w:color w:val="auto"/>
                      <w:spacing w:val="0"/>
                      <w:szCs w:val="21"/>
                      <w:lang w:val="en-US" w:eastAsia="zh-CN"/>
                    </w:rPr>
                    <w:t>20</w:t>
                  </w:r>
                </w:p>
              </w:tc>
              <w:tc>
                <w:tcPr>
                  <w:tcW w:w="795" w:type="pct"/>
                  <w:noWrap w:val="0"/>
                  <w:vAlign w:val="center"/>
                </w:tcPr>
                <w:p w14:paraId="115AEE14">
                  <w:pPr>
                    <w:pStyle w:val="41"/>
                    <w:rPr>
                      <w:rFonts w:hint="default" w:ascii="Times New Roman" w:hAnsi="Times New Roman" w:eastAsia="宋体" w:cs="Times New Roman"/>
                      <w:color w:val="auto"/>
                      <w:spacing w:val="0"/>
                      <w:kern w:val="0"/>
                      <w:lang w:val="en-US" w:eastAsia="zh-CN"/>
                    </w:rPr>
                  </w:pPr>
                  <w:r>
                    <w:rPr>
                      <w:rFonts w:hint="default" w:ascii="Times New Roman" w:hAnsi="Times New Roman" w:eastAsia="宋体" w:cs="Times New Roman"/>
                      <w:smallCaps w:val="0"/>
                      <w:color w:val="auto"/>
                      <w:spacing w:val="0"/>
                      <w:szCs w:val="21"/>
                    </w:rPr>
                    <w:t>≤</w:t>
                  </w:r>
                  <w:r>
                    <w:rPr>
                      <w:rFonts w:hint="default" w:ascii="Times New Roman" w:hAnsi="Times New Roman" w:eastAsia="宋体" w:cs="Times New Roman"/>
                      <w:smallCaps w:val="0"/>
                      <w:color w:val="auto"/>
                      <w:spacing w:val="0"/>
                      <w:szCs w:val="21"/>
                      <w:lang w:val="en-US" w:eastAsia="zh-CN"/>
                    </w:rPr>
                    <w:t>1.0</w:t>
                  </w:r>
                </w:p>
              </w:tc>
              <w:tc>
                <w:tcPr>
                  <w:tcW w:w="723" w:type="pct"/>
                  <w:noWrap w:val="0"/>
                  <w:vAlign w:val="center"/>
                </w:tcPr>
                <w:p w14:paraId="38F3C39B">
                  <w:pPr>
                    <w:pStyle w:val="41"/>
                    <w:rPr>
                      <w:rFonts w:hint="default" w:ascii="Times New Roman" w:hAnsi="Times New Roman" w:eastAsia="宋体" w:cs="Times New Roman"/>
                      <w:color w:val="auto"/>
                      <w:spacing w:val="0"/>
                      <w:kern w:val="0"/>
                      <w:lang w:val="en-US" w:eastAsia="zh-CN"/>
                    </w:rPr>
                  </w:pPr>
                  <w:r>
                    <w:rPr>
                      <w:rFonts w:hint="default" w:ascii="Times New Roman" w:hAnsi="Times New Roman" w:eastAsia="宋体" w:cs="Times New Roman"/>
                      <w:smallCaps w:val="0"/>
                      <w:color w:val="auto"/>
                      <w:spacing w:val="0"/>
                      <w:szCs w:val="21"/>
                    </w:rPr>
                    <w:t>≤</w:t>
                  </w:r>
                  <w:r>
                    <w:rPr>
                      <w:rFonts w:hint="default" w:ascii="Times New Roman" w:hAnsi="Times New Roman" w:eastAsia="宋体" w:cs="Times New Roman"/>
                      <w:smallCaps w:val="0"/>
                      <w:color w:val="auto"/>
                      <w:spacing w:val="0"/>
                      <w:szCs w:val="21"/>
                      <w:lang w:val="en-US" w:eastAsia="zh-CN"/>
                    </w:rPr>
                    <w:t>0.2</w:t>
                  </w:r>
                </w:p>
              </w:tc>
            </w:tr>
          </w:tbl>
          <w:p w14:paraId="1AB8CD31">
            <w:pPr>
              <w:pStyle w:val="15"/>
              <w:keepNext w:val="0"/>
              <w:keepLines w:val="0"/>
              <w:pageBreakBefore w:val="0"/>
              <w:widowControl w:val="0"/>
              <w:kinsoku/>
              <w:wordWrap/>
              <w:overflowPunct/>
              <w:topLinePunct w:val="0"/>
              <w:bidi w:val="0"/>
              <w:adjustRightInd w:val="0"/>
              <w:snapToGrid w:val="0"/>
              <w:spacing w:after="0"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1"/>
              </w:rPr>
            </w:pPr>
            <w:r>
              <w:rPr>
                <w:rFonts w:hint="default" w:ascii="Times New Roman" w:hAnsi="Times New Roman" w:eastAsia="宋体" w:cs="Times New Roman"/>
                <w:bCs/>
                <w:smallCaps w:val="0"/>
                <w:color w:val="auto"/>
                <w:spacing w:val="0"/>
                <w:kern w:val="0"/>
                <w:position w:val="0"/>
                <w:sz w:val="24"/>
                <w:szCs w:val="21"/>
              </w:rPr>
              <w:t>由上表可见，尧塘河监测结果中各项监测因子均能达到《地表水环境质量标准》(GB3838-2002)中的Ⅲ类水质标准，水环境质量良好。</w:t>
            </w:r>
          </w:p>
          <w:p w14:paraId="6A758669">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3.声环境质量</w:t>
            </w:r>
          </w:p>
          <w:p w14:paraId="70F6D5A3">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480" w:firstLineChars="200"/>
              <w:textAlignment w:val="auto"/>
              <w:rPr>
                <w:rFonts w:hint="eastAsia" w:ascii="Times New Roman" w:hAnsi="Times New Roman" w:eastAsia="宋体" w:cs="Times New Roman"/>
                <w:smallCaps w:val="0"/>
                <w:color w:val="auto"/>
                <w:spacing w:val="0"/>
                <w:kern w:val="0"/>
                <w:position w:val="0"/>
                <w:lang w:eastAsia="zh-CN"/>
              </w:rPr>
            </w:pPr>
            <w:r>
              <w:rPr>
                <w:rFonts w:hint="default" w:ascii="Times New Roman" w:hAnsi="Times New Roman" w:eastAsia="宋体" w:cs="Times New Roman"/>
                <w:smallCaps w:val="0"/>
                <w:color w:val="auto"/>
                <w:spacing w:val="0"/>
                <w:kern w:val="0"/>
                <w:position w:val="0"/>
              </w:rPr>
              <w:t>本项目位于江苏省常州市金坛经济开发区汇福路8号，项目周边50m范围内无敏感点目标</w:t>
            </w:r>
            <w:r>
              <w:rPr>
                <w:rFonts w:hint="eastAsia" w:eastAsia="宋体" w:cs="Times New Roman"/>
                <w:smallCaps w:val="0"/>
                <w:color w:val="auto"/>
                <w:spacing w:val="0"/>
                <w:kern w:val="0"/>
                <w:position w:val="0"/>
                <w:lang w:eastAsia="zh-CN"/>
              </w:rPr>
              <w:t>，根据项目所处功能区域，项目所在地执行《声环境质量标准》（GB3096-2008）中</w:t>
            </w:r>
            <w:r>
              <w:rPr>
                <w:rFonts w:hint="eastAsia" w:eastAsia="宋体" w:cs="Times New Roman"/>
                <w:smallCaps w:val="0"/>
                <w:color w:val="auto"/>
                <w:spacing w:val="0"/>
                <w:kern w:val="0"/>
                <w:position w:val="0"/>
                <w:lang w:val="en-US" w:eastAsia="zh-CN"/>
              </w:rPr>
              <w:t>2</w:t>
            </w:r>
            <w:r>
              <w:rPr>
                <w:rFonts w:hint="eastAsia" w:eastAsia="宋体" w:cs="Times New Roman"/>
                <w:smallCaps w:val="0"/>
                <w:color w:val="auto"/>
                <w:spacing w:val="0"/>
                <w:kern w:val="0"/>
                <w:position w:val="0"/>
                <w:lang w:eastAsia="zh-CN"/>
              </w:rPr>
              <w:t>类标准，即昼间≤6</w:t>
            </w:r>
            <w:r>
              <w:rPr>
                <w:rFonts w:hint="eastAsia" w:eastAsia="宋体" w:cs="Times New Roman"/>
                <w:smallCaps w:val="0"/>
                <w:color w:val="auto"/>
                <w:spacing w:val="0"/>
                <w:kern w:val="0"/>
                <w:position w:val="0"/>
                <w:lang w:val="en-US" w:eastAsia="zh-CN"/>
              </w:rPr>
              <w:t>0</w:t>
            </w:r>
            <w:r>
              <w:rPr>
                <w:rFonts w:hint="eastAsia" w:eastAsia="宋体" w:cs="Times New Roman"/>
                <w:smallCaps w:val="0"/>
                <w:color w:val="auto"/>
                <w:spacing w:val="0"/>
                <w:kern w:val="0"/>
                <w:position w:val="0"/>
                <w:lang w:eastAsia="zh-CN"/>
              </w:rPr>
              <w:t>dB（A）。</w:t>
            </w:r>
          </w:p>
          <w:p w14:paraId="5E9D9DCE">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4、土壤、地下水</w:t>
            </w:r>
          </w:p>
          <w:p w14:paraId="1EBA883D">
            <w:pPr>
              <w:pStyle w:val="29"/>
              <w:keepNext w:val="0"/>
              <w:keepLines w:val="0"/>
              <w:pageBreakBefore w:val="0"/>
              <w:widowControl w:val="0"/>
              <w:kinsoku/>
              <w:wordWrap/>
              <w:overflowPunct/>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bCs/>
                <w:smallCaps w:val="0"/>
                <w:color w:val="auto"/>
                <w:spacing w:val="0"/>
                <w:kern w:val="0"/>
                <w:position w:val="0"/>
                <w:sz w:val="24"/>
              </w:rPr>
            </w:pPr>
            <w:r>
              <w:rPr>
                <w:rFonts w:hint="default" w:ascii="Times New Roman" w:hAnsi="Times New Roman" w:eastAsia="宋体" w:cs="Times New Roman"/>
                <w:bCs/>
                <w:smallCaps w:val="0"/>
                <w:color w:val="auto"/>
                <w:spacing w:val="0"/>
                <w:kern w:val="0"/>
                <w:position w:val="0"/>
                <w:sz w:val="24"/>
              </w:rPr>
              <w:t>根据《建设项目环境影响报告表编制技术指南(污染影响类)(试行)》：原则上不开展环境质量现状调查。建设项目存在土壤、地下水环境污染途径的，应结合污染源、保护目标分布情况开展现状调查以留作背景值。本项目正常生产运行过程中土壤、地下水环境污染途径主要为大气沉降，根据核算本项目废气主要为</w:t>
            </w:r>
            <w:r>
              <w:rPr>
                <w:rFonts w:hint="default" w:ascii="Times New Roman" w:hAnsi="Times New Roman" w:eastAsia="宋体" w:cs="Times New Roman"/>
                <w:bCs/>
                <w:smallCaps w:val="0"/>
                <w:color w:val="auto"/>
                <w:spacing w:val="0"/>
                <w:kern w:val="0"/>
                <w:position w:val="0"/>
                <w:sz w:val="24"/>
                <w:lang w:val="en-US" w:eastAsia="zh-CN"/>
              </w:rPr>
              <w:t>颗粒物、非甲烷总烃</w:t>
            </w:r>
            <w:r>
              <w:rPr>
                <w:rFonts w:hint="default" w:ascii="Times New Roman" w:hAnsi="Times New Roman" w:eastAsia="宋体" w:cs="Times New Roman"/>
                <w:bCs/>
                <w:smallCaps w:val="0"/>
                <w:color w:val="auto"/>
                <w:spacing w:val="0"/>
                <w:kern w:val="0"/>
                <w:position w:val="0"/>
                <w:sz w:val="24"/>
              </w:rPr>
              <w:t>，</w:t>
            </w:r>
            <w:r>
              <w:rPr>
                <w:rFonts w:hint="default" w:ascii="Times New Roman" w:hAnsi="Times New Roman" w:eastAsia="宋体" w:cs="Times New Roman"/>
                <w:bCs/>
                <w:smallCaps w:val="0"/>
                <w:color w:val="auto"/>
                <w:spacing w:val="0"/>
                <w:kern w:val="0"/>
                <w:position w:val="0"/>
                <w:sz w:val="24"/>
                <w:lang w:val="en-US" w:eastAsia="zh-CN"/>
              </w:rPr>
              <w:t>产生量较小</w:t>
            </w:r>
            <w:r>
              <w:rPr>
                <w:rFonts w:hint="default" w:ascii="Times New Roman" w:hAnsi="Times New Roman" w:eastAsia="宋体" w:cs="Times New Roman"/>
                <w:bCs/>
                <w:smallCaps w:val="0"/>
                <w:color w:val="auto"/>
                <w:spacing w:val="0"/>
                <w:kern w:val="0"/>
                <w:position w:val="0"/>
                <w:sz w:val="24"/>
              </w:rPr>
              <w:t>，</w:t>
            </w:r>
            <w:r>
              <w:rPr>
                <w:rFonts w:hint="default" w:ascii="Times New Roman" w:hAnsi="Times New Roman" w:eastAsia="宋体" w:cs="Times New Roman"/>
                <w:bCs/>
                <w:smallCaps w:val="0"/>
                <w:color w:val="auto"/>
                <w:spacing w:val="0"/>
                <w:kern w:val="0"/>
                <w:position w:val="0"/>
                <w:sz w:val="24"/>
                <w:lang w:val="en-US" w:eastAsia="zh-CN"/>
              </w:rPr>
              <w:t>且现有项目已按要求设置分区防渗，</w:t>
            </w:r>
            <w:r>
              <w:rPr>
                <w:rFonts w:hint="default" w:ascii="Times New Roman" w:hAnsi="Times New Roman" w:eastAsia="宋体" w:cs="Times New Roman"/>
                <w:bCs/>
                <w:smallCaps w:val="0"/>
                <w:color w:val="auto"/>
                <w:spacing w:val="0"/>
                <w:kern w:val="0"/>
                <w:position w:val="0"/>
                <w:sz w:val="24"/>
              </w:rPr>
              <w:t>对土壤、地下水环境几乎无影响，因此本项目不开展土壤、地下水环境现状调查。</w:t>
            </w:r>
          </w:p>
          <w:p w14:paraId="302F3760">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5、生态</w:t>
            </w:r>
          </w:p>
          <w:p w14:paraId="23BC9BF4">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val="0"/>
                <w:smallCaps w:val="0"/>
                <w:color w:val="auto"/>
                <w:spacing w:val="0"/>
                <w:kern w:val="0"/>
                <w:position w:val="0"/>
              </w:rPr>
            </w:pPr>
            <w:r>
              <w:rPr>
                <w:rFonts w:hint="default" w:ascii="Times New Roman" w:hAnsi="Times New Roman" w:eastAsia="宋体" w:cs="Times New Roman"/>
                <w:bCs w:val="0"/>
                <w:smallCaps w:val="0"/>
                <w:color w:val="auto"/>
                <w:spacing w:val="0"/>
                <w:kern w:val="0"/>
                <w:position w:val="0"/>
              </w:rPr>
              <w:t>根据《建设项目环境影响报告表编制技术指南(污染影响类)(试行)》“4.生态环境。产业园区外建设项目新增用地且用地范围内含有生态环境保护目标时，应进行生态现状调查。”本项目依托现有厂房、不新增用地且占地范围内无生态环境保护目标，因此不开展生态现状调查。</w:t>
            </w:r>
          </w:p>
          <w:p w14:paraId="298135E6">
            <w:pPr>
              <w:pStyle w:val="25"/>
              <w:spacing w:before="0" w:beforeLines="0" w:after="0" w:afterLines="0" w:line="440" w:lineRule="exact"/>
              <w:ind w:firstLine="0" w:firstLineChars="0"/>
              <w:rPr>
                <w:rFonts w:hint="default" w:ascii="Times New Roman" w:hAnsi="Times New Roman" w:eastAsia="宋体" w:cs="Times New Roman"/>
                <w:bCs w:val="0"/>
                <w:smallCaps w:val="0"/>
                <w:color w:val="auto"/>
                <w:spacing w:val="0"/>
                <w:kern w:val="0"/>
                <w:position w:val="0"/>
              </w:rPr>
            </w:pPr>
          </w:p>
        </w:tc>
      </w:tr>
      <w:tr w14:paraId="4A609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57" w:type="dxa"/>
            <w:noWrap w:val="0"/>
            <w:vAlign w:val="center"/>
          </w:tcPr>
          <w:p w14:paraId="71B02D1D">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环境</w:t>
            </w:r>
          </w:p>
          <w:p w14:paraId="6AB3332B">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保护</w:t>
            </w:r>
          </w:p>
          <w:p w14:paraId="4F53EA3B">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目标</w:t>
            </w:r>
          </w:p>
        </w:tc>
        <w:tc>
          <w:tcPr>
            <w:tcW w:w="9524" w:type="dxa"/>
            <w:noWrap w:val="0"/>
            <w:vAlign w:val="center"/>
          </w:tcPr>
          <w:p w14:paraId="02CF71A6">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rPr>
            </w:pPr>
            <w:r>
              <w:rPr>
                <w:rFonts w:hint="default" w:ascii="Times New Roman" w:hAnsi="Times New Roman" w:eastAsia="宋体" w:cs="Times New Roman"/>
                <w:smallCaps w:val="0"/>
                <w:color w:val="auto"/>
                <w:spacing w:val="0"/>
                <w:sz w:val="24"/>
              </w:rPr>
              <w:t>根据建设项目的周边情况</w:t>
            </w:r>
            <w:r>
              <w:rPr>
                <w:rFonts w:hint="default" w:ascii="Times New Roman" w:hAnsi="Times New Roman" w:eastAsia="宋体" w:cs="Times New Roman"/>
                <w:smallCaps w:val="0"/>
                <w:color w:val="auto"/>
                <w:spacing w:val="0"/>
                <w:sz w:val="24"/>
                <w:lang w:eastAsia="zh-CN"/>
              </w:rPr>
              <w:t>，</w:t>
            </w:r>
            <w:r>
              <w:rPr>
                <w:rFonts w:hint="default" w:ascii="Times New Roman" w:hAnsi="Times New Roman" w:eastAsia="宋体" w:cs="Times New Roman"/>
                <w:smallCaps w:val="0"/>
                <w:color w:val="auto"/>
                <w:spacing w:val="0"/>
                <w:sz w:val="24"/>
              </w:rPr>
              <w:t>项目</w:t>
            </w:r>
            <w:r>
              <w:rPr>
                <w:rFonts w:hint="default" w:ascii="Times New Roman" w:hAnsi="Times New Roman" w:eastAsia="宋体" w:cs="Times New Roman"/>
                <w:smallCaps w:val="0"/>
                <w:color w:val="auto"/>
                <w:spacing w:val="0"/>
                <w:sz w:val="24"/>
                <w:lang w:val="en-US" w:eastAsia="zh-CN"/>
              </w:rPr>
              <w:t>主要</w:t>
            </w:r>
            <w:r>
              <w:rPr>
                <w:rFonts w:hint="default" w:ascii="Times New Roman" w:hAnsi="Times New Roman" w:eastAsia="宋体" w:cs="Times New Roman"/>
                <w:smallCaps w:val="0"/>
                <w:color w:val="auto"/>
                <w:spacing w:val="0"/>
                <w:sz w:val="24"/>
              </w:rPr>
              <w:t>环境保护目标。</w:t>
            </w:r>
          </w:p>
          <w:p w14:paraId="2490EB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smallCaps w:val="0"/>
                <w:color w:val="auto"/>
                <w:spacing w:val="0"/>
                <w:kern w:val="0"/>
                <w:szCs w:val="21"/>
                <w:lang w:val="en-US" w:eastAsia="zh-CN"/>
              </w:rPr>
            </w:pPr>
            <w:r>
              <w:rPr>
                <w:rFonts w:hint="default" w:ascii="Times New Roman" w:hAnsi="Times New Roman" w:eastAsia="宋体" w:cs="Times New Roman"/>
                <w:b/>
                <w:bCs/>
                <w:smallCaps w:val="0"/>
                <w:color w:val="auto"/>
                <w:spacing w:val="0"/>
                <w:kern w:val="0"/>
                <w:szCs w:val="21"/>
              </w:rPr>
              <w:t>表3-</w:t>
            </w:r>
            <w:r>
              <w:rPr>
                <w:rFonts w:hint="eastAsia" w:cs="Times New Roman"/>
                <w:b/>
                <w:bCs/>
                <w:smallCaps w:val="0"/>
                <w:color w:val="auto"/>
                <w:spacing w:val="0"/>
                <w:kern w:val="0"/>
                <w:szCs w:val="21"/>
                <w:lang w:val="en-US" w:eastAsia="zh-CN"/>
              </w:rPr>
              <w:t>7主要环境保护目标一览表</w:t>
            </w:r>
          </w:p>
          <w:tbl>
            <w:tblPr>
              <w:tblStyle w:val="17"/>
              <w:tblW w:w="4997" w:type="pct"/>
              <w:tblInd w:w="0" w:type="dxa"/>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Layout w:type="autofit"/>
              <w:tblCellMar>
                <w:top w:w="0" w:type="dxa"/>
                <w:left w:w="0" w:type="dxa"/>
                <w:bottom w:w="0" w:type="dxa"/>
                <w:right w:w="0" w:type="dxa"/>
              </w:tblCellMar>
            </w:tblPr>
            <w:tblGrid>
              <w:gridCol w:w="524"/>
              <w:gridCol w:w="905"/>
              <w:gridCol w:w="1004"/>
              <w:gridCol w:w="899"/>
              <w:gridCol w:w="627"/>
              <w:gridCol w:w="594"/>
              <w:gridCol w:w="770"/>
              <w:gridCol w:w="629"/>
              <w:gridCol w:w="2421"/>
            </w:tblGrid>
            <w:tr w14:paraId="12810B10">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354" w:type="pct"/>
                  <w:vMerge w:val="restart"/>
                  <w:tcBorders>
                    <w:tl2br w:val="nil"/>
                    <w:tr2bl w:val="nil"/>
                  </w:tcBorders>
                  <w:noWrap w:val="0"/>
                  <w:vAlign w:val="center"/>
                </w:tcPr>
                <w:p w14:paraId="4490F20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w:t>
                  </w:r>
                </w:p>
                <w:p w14:paraId="4F0B485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581" w:type="pct"/>
                  <w:vMerge w:val="restart"/>
                  <w:tcBorders>
                    <w:tl2br w:val="nil"/>
                    <w:tr2bl w:val="nil"/>
                  </w:tcBorders>
                  <w:noWrap w:val="0"/>
                  <w:vAlign w:val="center"/>
                </w:tcPr>
                <w:p w14:paraId="39AF9DA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w:t>
                  </w:r>
                </w:p>
                <w:p w14:paraId="0490369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象名称</w:t>
                  </w:r>
                </w:p>
              </w:tc>
              <w:tc>
                <w:tcPr>
                  <w:tcW w:w="852" w:type="pct"/>
                  <w:gridSpan w:val="2"/>
                  <w:tcBorders>
                    <w:tl2br w:val="nil"/>
                    <w:tr2bl w:val="nil"/>
                  </w:tcBorders>
                  <w:noWrap w:val="0"/>
                  <w:vAlign w:val="center"/>
                </w:tcPr>
                <w:p w14:paraId="6F14F23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坐标（m）</w:t>
                  </w:r>
                </w:p>
              </w:tc>
              <w:tc>
                <w:tcPr>
                  <w:tcW w:w="415" w:type="pct"/>
                  <w:vMerge w:val="restart"/>
                  <w:tcBorders>
                    <w:tl2br w:val="nil"/>
                    <w:tr2bl w:val="nil"/>
                  </w:tcBorders>
                  <w:noWrap w:val="0"/>
                  <w:vAlign w:val="center"/>
                </w:tcPr>
                <w:p w14:paraId="36866C4D">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w:t>
                  </w:r>
                </w:p>
                <w:p w14:paraId="221EAF19">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对象</w:t>
                  </w:r>
                </w:p>
              </w:tc>
              <w:tc>
                <w:tcPr>
                  <w:tcW w:w="395" w:type="pct"/>
                  <w:vMerge w:val="restart"/>
                  <w:tcBorders>
                    <w:tl2br w:val="nil"/>
                    <w:tr2bl w:val="nil"/>
                  </w:tcBorders>
                  <w:noWrap w:val="0"/>
                  <w:vAlign w:val="center"/>
                </w:tcPr>
                <w:p w14:paraId="6135D976">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c>
                <w:tcPr>
                  <w:tcW w:w="500" w:type="pct"/>
                  <w:vMerge w:val="restart"/>
                  <w:tcBorders>
                    <w:tl2br w:val="nil"/>
                    <w:tr2bl w:val="nil"/>
                  </w:tcBorders>
                  <w:noWrap w:val="0"/>
                  <w:vAlign w:val="center"/>
                </w:tcPr>
                <w:p w14:paraId="5975DCE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相对厂址方位</w:t>
                  </w:r>
                </w:p>
              </w:tc>
              <w:tc>
                <w:tcPr>
                  <w:tcW w:w="415" w:type="pct"/>
                  <w:vMerge w:val="restart"/>
                  <w:tcBorders>
                    <w:tl2br w:val="nil"/>
                    <w:tr2bl w:val="nil"/>
                  </w:tcBorders>
                  <w:noWrap w:val="0"/>
                  <w:vAlign w:val="center"/>
                </w:tcPr>
                <w:p w14:paraId="5ECD494C">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相对距离（m）</w:t>
                  </w:r>
                </w:p>
              </w:tc>
              <w:tc>
                <w:tcPr>
                  <w:tcW w:w="1486" w:type="pct"/>
                  <w:vMerge w:val="restart"/>
                  <w:tcBorders>
                    <w:tl2br w:val="nil"/>
                    <w:tr2bl w:val="nil"/>
                  </w:tcBorders>
                  <w:noWrap w:val="0"/>
                  <w:vAlign w:val="center"/>
                </w:tcPr>
                <w:p w14:paraId="0B7EA9A8">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环境功能</w:t>
                  </w:r>
                </w:p>
              </w:tc>
            </w:tr>
            <w:tr w14:paraId="511ADC34">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354" w:type="pct"/>
                  <w:vMerge w:val="continue"/>
                  <w:tcBorders>
                    <w:tl2br w:val="nil"/>
                    <w:tr2bl w:val="nil"/>
                  </w:tcBorders>
                  <w:noWrap w:val="0"/>
                  <w:vAlign w:val="center"/>
                </w:tcPr>
                <w:p w14:paraId="2F5E3E25">
                  <w:pPr>
                    <w:adjustRightInd w:val="0"/>
                    <w:snapToGrid w:val="0"/>
                    <w:jc w:val="center"/>
                    <w:rPr>
                      <w:rFonts w:hint="default" w:ascii="Times New Roman" w:hAnsi="Times New Roman" w:eastAsia="宋体" w:cs="Times New Roman"/>
                      <w:b/>
                      <w:bCs/>
                      <w:color w:val="auto"/>
                      <w:sz w:val="21"/>
                      <w:szCs w:val="21"/>
                    </w:rPr>
                  </w:pPr>
                </w:p>
              </w:tc>
              <w:tc>
                <w:tcPr>
                  <w:tcW w:w="581" w:type="pct"/>
                  <w:vMerge w:val="continue"/>
                  <w:tcBorders>
                    <w:tl2br w:val="nil"/>
                    <w:tr2bl w:val="nil"/>
                  </w:tcBorders>
                  <w:noWrap w:val="0"/>
                  <w:vAlign w:val="center"/>
                </w:tcPr>
                <w:p w14:paraId="2BB3DC52">
                  <w:pPr>
                    <w:adjustRightInd w:val="0"/>
                    <w:snapToGrid w:val="0"/>
                    <w:jc w:val="center"/>
                    <w:rPr>
                      <w:rFonts w:hint="default" w:ascii="Times New Roman" w:hAnsi="Times New Roman" w:eastAsia="宋体" w:cs="Times New Roman"/>
                      <w:b/>
                      <w:bCs/>
                      <w:color w:val="auto"/>
                      <w:sz w:val="21"/>
                      <w:szCs w:val="21"/>
                    </w:rPr>
                  </w:pPr>
                </w:p>
              </w:tc>
              <w:tc>
                <w:tcPr>
                  <w:tcW w:w="465" w:type="pct"/>
                  <w:tcBorders>
                    <w:tl2br w:val="nil"/>
                    <w:tr2bl w:val="nil"/>
                  </w:tcBorders>
                  <w:noWrap w:val="0"/>
                  <w:vAlign w:val="center"/>
                </w:tcPr>
                <w:p w14:paraId="7A883E0B">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X</w:t>
                  </w:r>
                </w:p>
              </w:tc>
              <w:tc>
                <w:tcPr>
                  <w:tcW w:w="387" w:type="pct"/>
                  <w:tcBorders>
                    <w:tl2br w:val="nil"/>
                    <w:tr2bl w:val="nil"/>
                  </w:tcBorders>
                  <w:noWrap w:val="0"/>
                  <w:vAlign w:val="center"/>
                </w:tcPr>
                <w:p w14:paraId="57DC2590">
                  <w:pPr>
                    <w:widowControl/>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Y</w:t>
                  </w:r>
                </w:p>
              </w:tc>
              <w:tc>
                <w:tcPr>
                  <w:tcW w:w="415" w:type="pct"/>
                  <w:vMerge w:val="continue"/>
                  <w:tcBorders>
                    <w:tl2br w:val="nil"/>
                    <w:tr2bl w:val="nil"/>
                  </w:tcBorders>
                  <w:noWrap w:val="0"/>
                  <w:vAlign w:val="center"/>
                </w:tcPr>
                <w:p w14:paraId="129998B5">
                  <w:pPr>
                    <w:adjustRightInd w:val="0"/>
                    <w:snapToGrid w:val="0"/>
                    <w:jc w:val="center"/>
                    <w:rPr>
                      <w:rFonts w:hint="default" w:ascii="Times New Roman" w:hAnsi="Times New Roman" w:eastAsia="宋体" w:cs="Times New Roman"/>
                      <w:b/>
                      <w:bCs/>
                      <w:color w:val="auto"/>
                      <w:sz w:val="21"/>
                      <w:szCs w:val="21"/>
                    </w:rPr>
                  </w:pPr>
                </w:p>
              </w:tc>
              <w:tc>
                <w:tcPr>
                  <w:tcW w:w="395" w:type="pct"/>
                  <w:vMerge w:val="continue"/>
                  <w:tcBorders>
                    <w:tl2br w:val="nil"/>
                    <w:tr2bl w:val="nil"/>
                  </w:tcBorders>
                  <w:noWrap w:val="0"/>
                  <w:vAlign w:val="center"/>
                </w:tcPr>
                <w:p w14:paraId="474649A3">
                  <w:pPr>
                    <w:adjustRightInd w:val="0"/>
                    <w:snapToGrid w:val="0"/>
                    <w:jc w:val="center"/>
                    <w:rPr>
                      <w:rFonts w:hint="default" w:ascii="Times New Roman" w:hAnsi="Times New Roman" w:eastAsia="宋体" w:cs="Times New Roman"/>
                      <w:b/>
                      <w:bCs/>
                      <w:color w:val="auto"/>
                      <w:sz w:val="21"/>
                      <w:szCs w:val="21"/>
                    </w:rPr>
                  </w:pPr>
                </w:p>
              </w:tc>
              <w:tc>
                <w:tcPr>
                  <w:tcW w:w="500" w:type="pct"/>
                  <w:vMerge w:val="continue"/>
                  <w:tcBorders>
                    <w:tl2br w:val="nil"/>
                    <w:tr2bl w:val="nil"/>
                  </w:tcBorders>
                  <w:noWrap w:val="0"/>
                  <w:vAlign w:val="center"/>
                </w:tcPr>
                <w:p w14:paraId="695AA5E2">
                  <w:pPr>
                    <w:adjustRightInd w:val="0"/>
                    <w:snapToGrid w:val="0"/>
                    <w:jc w:val="center"/>
                    <w:rPr>
                      <w:rFonts w:hint="default" w:ascii="Times New Roman" w:hAnsi="Times New Roman" w:eastAsia="宋体" w:cs="Times New Roman"/>
                      <w:b/>
                      <w:bCs/>
                      <w:color w:val="auto"/>
                      <w:sz w:val="21"/>
                      <w:szCs w:val="21"/>
                    </w:rPr>
                  </w:pPr>
                </w:p>
              </w:tc>
              <w:tc>
                <w:tcPr>
                  <w:tcW w:w="415" w:type="pct"/>
                  <w:vMerge w:val="continue"/>
                  <w:tcBorders>
                    <w:tl2br w:val="nil"/>
                    <w:tr2bl w:val="nil"/>
                  </w:tcBorders>
                  <w:noWrap w:val="0"/>
                  <w:vAlign w:val="center"/>
                </w:tcPr>
                <w:p w14:paraId="4A148EA8">
                  <w:pPr>
                    <w:adjustRightInd w:val="0"/>
                    <w:snapToGrid w:val="0"/>
                    <w:jc w:val="center"/>
                    <w:rPr>
                      <w:rFonts w:hint="default" w:ascii="Times New Roman" w:hAnsi="Times New Roman" w:eastAsia="宋体" w:cs="Times New Roman"/>
                      <w:b/>
                      <w:bCs/>
                      <w:color w:val="auto"/>
                      <w:sz w:val="21"/>
                      <w:szCs w:val="21"/>
                    </w:rPr>
                  </w:pPr>
                </w:p>
              </w:tc>
              <w:tc>
                <w:tcPr>
                  <w:tcW w:w="1486" w:type="pct"/>
                  <w:vMerge w:val="continue"/>
                  <w:tcBorders>
                    <w:tl2br w:val="nil"/>
                    <w:tr2bl w:val="nil"/>
                  </w:tcBorders>
                  <w:noWrap w:val="0"/>
                  <w:vAlign w:val="center"/>
                </w:tcPr>
                <w:p w14:paraId="16DFBF66">
                  <w:pPr>
                    <w:adjustRightInd w:val="0"/>
                    <w:snapToGrid w:val="0"/>
                    <w:jc w:val="center"/>
                    <w:rPr>
                      <w:rFonts w:hint="default" w:ascii="Times New Roman" w:hAnsi="Times New Roman" w:eastAsia="宋体" w:cs="Times New Roman"/>
                      <w:b/>
                      <w:bCs/>
                      <w:color w:val="auto"/>
                      <w:sz w:val="21"/>
                      <w:szCs w:val="21"/>
                    </w:rPr>
                  </w:pPr>
                </w:p>
              </w:tc>
            </w:tr>
            <w:tr w14:paraId="26AE37E0">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354" w:type="pct"/>
                  <w:tcBorders>
                    <w:tl2br w:val="nil"/>
                    <w:tr2bl w:val="nil"/>
                  </w:tcBorders>
                  <w:noWrap w:val="0"/>
                  <w:vAlign w:val="center"/>
                </w:tcPr>
                <w:p w14:paraId="72ADDF2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w:t>
                  </w:r>
                </w:p>
                <w:p w14:paraId="19CFE69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581" w:type="pct"/>
                  <w:tcBorders>
                    <w:tl2br w:val="nil"/>
                    <w:tr2bl w:val="nil"/>
                  </w:tcBorders>
                  <w:shd w:val="clear" w:color="auto" w:fill="auto"/>
                  <w:noWrap w:val="0"/>
                  <w:vAlign w:val="center"/>
                </w:tcPr>
                <w:p w14:paraId="0EC167AB">
                  <w:pPr>
                    <w:pStyle w:val="41"/>
                    <w:ind w:firstLine="0" w:firstLineChars="0"/>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lang w:val="en-US" w:eastAsia="zh-CN"/>
                    </w:rPr>
                    <w:t>薛庄村村委会</w:t>
                  </w:r>
                </w:p>
              </w:tc>
              <w:tc>
                <w:tcPr>
                  <w:tcW w:w="465" w:type="pct"/>
                  <w:tcBorders>
                    <w:tl2br w:val="nil"/>
                    <w:tr2bl w:val="nil"/>
                  </w:tcBorders>
                  <w:shd w:val="clear" w:color="auto" w:fill="auto"/>
                  <w:noWrap w:val="0"/>
                  <w:vAlign w:val="center"/>
                </w:tcPr>
                <w:p w14:paraId="2380967A">
                  <w:pPr>
                    <w:pStyle w:val="41"/>
                    <w:ind w:firstLine="0" w:firstLineChars="0"/>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119.641469</w:t>
                  </w:r>
                </w:p>
              </w:tc>
              <w:tc>
                <w:tcPr>
                  <w:tcW w:w="387" w:type="pct"/>
                  <w:tcBorders>
                    <w:tl2br w:val="nil"/>
                    <w:tr2bl w:val="nil"/>
                  </w:tcBorders>
                  <w:noWrap w:val="0"/>
                  <w:vAlign w:val="center"/>
                </w:tcPr>
                <w:p w14:paraId="6404C416">
                  <w:pPr>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31.767508</w:t>
                  </w:r>
                </w:p>
              </w:tc>
              <w:tc>
                <w:tcPr>
                  <w:tcW w:w="415" w:type="pct"/>
                  <w:tcBorders>
                    <w:tl2br w:val="nil"/>
                    <w:tr2bl w:val="nil"/>
                  </w:tcBorders>
                  <w:noWrap w:val="0"/>
                  <w:vAlign w:val="center"/>
                </w:tcPr>
                <w:p w14:paraId="3D96CC8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政府单位</w:t>
                  </w:r>
                </w:p>
              </w:tc>
              <w:tc>
                <w:tcPr>
                  <w:tcW w:w="395" w:type="pct"/>
                  <w:tcBorders>
                    <w:tl2br w:val="nil"/>
                    <w:tr2bl w:val="nil"/>
                  </w:tcBorders>
                  <w:noWrap w:val="0"/>
                  <w:vAlign w:val="center"/>
                </w:tcPr>
                <w:p w14:paraId="33E1765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00人</w:t>
                  </w:r>
                </w:p>
              </w:tc>
              <w:tc>
                <w:tcPr>
                  <w:tcW w:w="500" w:type="pct"/>
                  <w:tcBorders>
                    <w:tl2br w:val="nil"/>
                    <w:tr2bl w:val="nil"/>
                  </w:tcBorders>
                  <w:noWrap w:val="0"/>
                  <w:vAlign w:val="center"/>
                </w:tcPr>
                <w:p w14:paraId="0C8771AB">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NW</w:t>
                  </w:r>
                </w:p>
              </w:tc>
              <w:tc>
                <w:tcPr>
                  <w:tcW w:w="415" w:type="pct"/>
                  <w:tcBorders>
                    <w:tl2br w:val="nil"/>
                    <w:tr2bl w:val="nil"/>
                  </w:tcBorders>
                  <w:noWrap w:val="0"/>
                  <w:vAlign w:val="center"/>
                </w:tcPr>
                <w:p w14:paraId="4D5BCF00">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486" w:type="pct"/>
                  <w:tcBorders>
                    <w:tl2br w:val="nil"/>
                    <w:tr2bl w:val="nil"/>
                  </w:tcBorders>
                  <w:noWrap w:val="0"/>
                  <w:vAlign w:val="center"/>
                </w:tcPr>
                <w:p w14:paraId="1C8A20CA">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《环境空气质量标准》（GB3095-2012）二级标准</w:t>
                  </w:r>
                </w:p>
              </w:tc>
            </w:tr>
            <w:tr w14:paraId="7038975A">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354" w:type="pct"/>
                  <w:tcBorders>
                    <w:tl2br w:val="nil"/>
                    <w:tr2bl w:val="nil"/>
                  </w:tcBorders>
                  <w:noWrap w:val="0"/>
                  <w:vAlign w:val="center"/>
                </w:tcPr>
                <w:p w14:paraId="120A586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地表水环境</w:t>
                  </w:r>
                </w:p>
              </w:tc>
              <w:tc>
                <w:tcPr>
                  <w:tcW w:w="581" w:type="pct"/>
                  <w:tcBorders>
                    <w:tl2br w:val="nil"/>
                    <w:tr2bl w:val="nil"/>
                  </w:tcBorders>
                  <w:shd w:val="clear" w:color="auto" w:fill="auto"/>
                  <w:noWrap w:val="0"/>
                  <w:vAlign w:val="center"/>
                </w:tcPr>
                <w:p w14:paraId="4186C840">
                  <w:pPr>
                    <w:pStyle w:val="41"/>
                    <w:ind w:firstLine="0" w:firstLineChars="0"/>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lang w:val="en-US" w:eastAsia="zh-CN"/>
                    </w:rPr>
                    <w:t>尧塘河</w:t>
                  </w:r>
                </w:p>
              </w:tc>
              <w:tc>
                <w:tcPr>
                  <w:tcW w:w="465" w:type="pct"/>
                  <w:tcBorders>
                    <w:tl2br w:val="nil"/>
                    <w:tr2bl w:val="nil"/>
                  </w:tcBorders>
                  <w:shd w:val="clear" w:color="auto" w:fill="auto"/>
                  <w:noWrap w:val="0"/>
                  <w:vAlign w:val="center"/>
                </w:tcPr>
                <w:p w14:paraId="64E6F733">
                  <w:pPr>
                    <w:pStyle w:val="41"/>
                    <w:ind w:firstLine="0" w:firstLineChars="0"/>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119.678547</w:t>
                  </w:r>
                </w:p>
              </w:tc>
              <w:tc>
                <w:tcPr>
                  <w:tcW w:w="387" w:type="pct"/>
                  <w:tcBorders>
                    <w:tl2br w:val="nil"/>
                    <w:tr2bl w:val="nil"/>
                  </w:tcBorders>
                  <w:shd w:val="clear" w:color="auto" w:fill="auto"/>
                  <w:noWrap w:val="0"/>
                  <w:vAlign w:val="center"/>
                </w:tcPr>
                <w:p w14:paraId="5FC54591">
                  <w:pPr>
                    <w:pStyle w:val="41"/>
                    <w:ind w:firstLine="0" w:firstLineChars="0"/>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sz w:val="21"/>
                      <w:szCs w:val="20"/>
                      <w:lang w:val="en-US" w:eastAsia="zh-CN" w:bidi="ar-SA"/>
                    </w:rPr>
                    <w:t>31.719865</w:t>
                  </w:r>
                </w:p>
              </w:tc>
              <w:tc>
                <w:tcPr>
                  <w:tcW w:w="415" w:type="pct"/>
                  <w:tcBorders>
                    <w:tl2br w:val="nil"/>
                    <w:tr2bl w:val="nil"/>
                  </w:tcBorders>
                  <w:shd w:val="clear" w:color="auto" w:fill="auto"/>
                  <w:noWrap w:val="0"/>
                  <w:vAlign w:val="center"/>
                </w:tcPr>
                <w:p w14:paraId="4CAAA221">
                  <w:pPr>
                    <w:pStyle w:val="41"/>
                    <w:ind w:firstLine="0" w:firstLineChars="0"/>
                    <w:rPr>
                      <w:rFonts w:hint="default" w:ascii="Times New Roman" w:hAnsi="Times New Roman" w:eastAsia="宋体" w:cs="Times New Roman"/>
                      <w:color w:val="auto"/>
                      <w:spacing w:val="0"/>
                      <w:kern w:val="0"/>
                      <w:sz w:val="21"/>
                      <w:szCs w:val="20"/>
                      <w:lang w:val="en-US" w:eastAsia="zh-CN" w:bidi="ar-SA"/>
                    </w:rPr>
                  </w:pPr>
                  <w:r>
                    <w:rPr>
                      <w:rFonts w:hint="eastAsia" w:ascii="Times New Roman" w:hAnsi="Times New Roman" w:cs="Times New Roman"/>
                      <w:color w:val="auto"/>
                      <w:spacing w:val="0"/>
                      <w:kern w:val="0"/>
                      <w:sz w:val="21"/>
                      <w:szCs w:val="20"/>
                      <w:lang w:val="en-US" w:eastAsia="zh-CN" w:bidi="ar-SA"/>
                    </w:rPr>
                    <w:t>河流</w:t>
                  </w:r>
                </w:p>
              </w:tc>
              <w:tc>
                <w:tcPr>
                  <w:tcW w:w="395" w:type="pct"/>
                  <w:tcBorders>
                    <w:tl2br w:val="nil"/>
                    <w:tr2bl w:val="nil"/>
                  </w:tcBorders>
                  <w:noWrap w:val="0"/>
                  <w:vAlign w:val="center"/>
                </w:tcPr>
                <w:p w14:paraId="0D32BEAF">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00" w:type="pct"/>
                  <w:tcBorders>
                    <w:tl2br w:val="nil"/>
                    <w:tr2bl w:val="nil"/>
                  </w:tcBorders>
                  <w:shd w:val="clear" w:color="auto" w:fill="auto"/>
                  <w:noWrap w:val="0"/>
                  <w:vAlign w:val="center"/>
                </w:tcPr>
                <w:p w14:paraId="5156325E">
                  <w:pPr>
                    <w:pStyle w:val="41"/>
                    <w:ind w:firstLine="0" w:firstLineChars="0"/>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lang w:val="en-US" w:eastAsia="zh-CN"/>
                    </w:rPr>
                    <w:t>S</w:t>
                  </w:r>
                </w:p>
              </w:tc>
              <w:tc>
                <w:tcPr>
                  <w:tcW w:w="415" w:type="pct"/>
                  <w:tcBorders>
                    <w:tl2br w:val="nil"/>
                    <w:tr2bl w:val="nil"/>
                  </w:tcBorders>
                  <w:shd w:val="clear" w:color="auto" w:fill="auto"/>
                  <w:noWrap w:val="0"/>
                  <w:vAlign w:val="center"/>
                </w:tcPr>
                <w:p w14:paraId="661DA244">
                  <w:pPr>
                    <w:pStyle w:val="41"/>
                    <w:ind w:firstLine="0" w:firstLineChars="0"/>
                    <w:rPr>
                      <w:rFonts w:hint="default" w:ascii="Times New Roman" w:hAnsi="Times New Roman" w:eastAsia="宋体" w:cs="Times New Roman"/>
                      <w:color w:val="auto"/>
                      <w:spacing w:val="0"/>
                      <w:kern w:val="0"/>
                      <w:sz w:val="21"/>
                      <w:szCs w:val="20"/>
                      <w:lang w:val="en-US" w:eastAsia="zh-CN" w:bidi="ar-SA"/>
                    </w:rPr>
                  </w:pPr>
                  <w:r>
                    <w:rPr>
                      <w:rFonts w:hint="default" w:ascii="Times New Roman" w:hAnsi="Times New Roman" w:eastAsia="宋体" w:cs="Times New Roman"/>
                      <w:color w:val="auto"/>
                      <w:spacing w:val="0"/>
                      <w:kern w:val="0"/>
                      <w:lang w:val="en-US" w:eastAsia="zh-CN"/>
                    </w:rPr>
                    <w:t>900m</w:t>
                  </w:r>
                </w:p>
              </w:tc>
              <w:tc>
                <w:tcPr>
                  <w:tcW w:w="1486" w:type="pct"/>
                  <w:tcBorders>
                    <w:tl2br w:val="nil"/>
                    <w:tr2bl w:val="nil"/>
                  </w:tcBorders>
                  <w:shd w:val="clear" w:color="auto" w:fill="auto"/>
                  <w:noWrap w:val="0"/>
                  <w:vAlign w:val="center"/>
                </w:tcPr>
                <w:p w14:paraId="5DC3F498">
                  <w:pPr>
                    <w:pStyle w:val="41"/>
                    <w:ind w:firstLine="0" w:firstLineChars="0"/>
                    <w:rPr>
                      <w:rFonts w:hint="default" w:ascii="Times New Roman" w:hAnsi="Times New Roman" w:eastAsia="宋体" w:cs="Times New Roman"/>
                      <w:color w:val="auto"/>
                      <w:spacing w:val="0"/>
                      <w:kern w:val="0"/>
                      <w:lang w:val="en-US" w:eastAsia="zh-CN"/>
                    </w:rPr>
                  </w:pPr>
                  <w:r>
                    <w:rPr>
                      <w:rFonts w:hint="default" w:ascii="Times New Roman" w:hAnsi="Times New Roman" w:eastAsia="宋体" w:cs="Times New Roman"/>
                      <w:color w:val="auto"/>
                      <w:spacing w:val="0"/>
                      <w:kern w:val="0"/>
                      <w:lang w:val="en-US" w:eastAsia="zh-CN"/>
                    </w:rPr>
                    <w:t>《地表水环境质量标准》（GB3838-2002）Ⅲ类标准</w:t>
                  </w:r>
                </w:p>
              </w:tc>
            </w:tr>
            <w:tr w14:paraId="74F32FD5">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354" w:type="pct"/>
                  <w:tcBorders>
                    <w:tl2br w:val="nil"/>
                    <w:tr2bl w:val="nil"/>
                  </w:tcBorders>
                  <w:noWrap w:val="0"/>
                  <w:vAlign w:val="center"/>
                </w:tcPr>
                <w:p w14:paraId="2CEB50F2">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声环境</w:t>
                  </w:r>
                </w:p>
              </w:tc>
              <w:tc>
                <w:tcPr>
                  <w:tcW w:w="581" w:type="pct"/>
                  <w:tcBorders>
                    <w:tl2br w:val="nil"/>
                    <w:tr2bl w:val="nil"/>
                  </w:tcBorders>
                  <w:shd w:val="clear" w:color="auto" w:fill="auto"/>
                  <w:noWrap w:val="0"/>
                  <w:vAlign w:val="center"/>
                </w:tcPr>
                <w:p w14:paraId="359A4F3F">
                  <w:pPr>
                    <w:pStyle w:val="41"/>
                    <w:ind w:firstLine="0" w:firstLineChars="0"/>
                    <w:rPr>
                      <w:rFonts w:hint="default" w:ascii="Times New Roman" w:hAnsi="Times New Roman" w:eastAsia="宋体" w:cs="Times New Roman"/>
                      <w:color w:val="auto"/>
                      <w:spacing w:val="0"/>
                      <w:kern w:val="0"/>
                      <w:lang w:val="en-US" w:eastAsia="zh-CN"/>
                    </w:rPr>
                  </w:pPr>
                  <w:r>
                    <w:rPr>
                      <w:rFonts w:hint="default" w:ascii="Times New Roman" w:hAnsi="Times New Roman" w:eastAsia="宋体" w:cs="Times New Roman"/>
                      <w:color w:val="auto"/>
                      <w:spacing w:val="0"/>
                      <w:kern w:val="0"/>
                      <w:lang w:val="en-US" w:eastAsia="zh-CN"/>
                    </w:rPr>
                    <w:t>厂界外50米范围</w:t>
                  </w:r>
                </w:p>
              </w:tc>
              <w:tc>
                <w:tcPr>
                  <w:tcW w:w="2578" w:type="pct"/>
                  <w:gridSpan w:val="6"/>
                  <w:tcBorders>
                    <w:tl2br w:val="nil"/>
                    <w:tr2bl w:val="nil"/>
                  </w:tcBorders>
                  <w:shd w:val="clear" w:color="auto" w:fill="auto"/>
                  <w:noWrap w:val="0"/>
                  <w:vAlign w:val="center"/>
                </w:tcPr>
                <w:p w14:paraId="2B064B90">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无保护目标</w:t>
                  </w:r>
                </w:p>
              </w:tc>
              <w:tc>
                <w:tcPr>
                  <w:tcW w:w="1486" w:type="pct"/>
                  <w:tcBorders>
                    <w:tl2br w:val="nil"/>
                    <w:tr2bl w:val="nil"/>
                  </w:tcBorders>
                  <w:noWrap w:val="0"/>
                  <w:vAlign w:val="center"/>
                </w:tcPr>
                <w:p w14:paraId="1BFB650A">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《声环境质量标准》（GB3096-2008）</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14:paraId="470EC5D6">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354" w:type="pct"/>
                  <w:tcBorders>
                    <w:tl2br w:val="nil"/>
                    <w:tr2bl w:val="nil"/>
                  </w:tcBorders>
                  <w:noWrap w:val="0"/>
                  <w:vAlign w:val="center"/>
                </w:tcPr>
                <w:p w14:paraId="685DF086">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地下水</w:t>
                  </w:r>
                </w:p>
              </w:tc>
              <w:tc>
                <w:tcPr>
                  <w:tcW w:w="3159" w:type="pct"/>
                  <w:gridSpan w:val="7"/>
                  <w:tcBorders>
                    <w:tl2br w:val="nil"/>
                    <w:tr2bl w:val="nil"/>
                  </w:tcBorders>
                  <w:shd w:val="clear" w:color="auto" w:fill="auto"/>
                  <w:noWrap w:val="0"/>
                  <w:vAlign w:val="center"/>
                </w:tcPr>
                <w:p w14:paraId="68A763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Cs/>
                      <w:color w:val="auto"/>
                      <w:sz w:val="21"/>
                      <w:szCs w:val="21"/>
                    </w:rPr>
                    <w:t>厂界外500米范围无地下水集中式饮用水水源和热水、矿泉水、温泉等特殊地下水资源</w:t>
                  </w:r>
                </w:p>
              </w:tc>
              <w:tc>
                <w:tcPr>
                  <w:tcW w:w="1486" w:type="pct"/>
                  <w:tcBorders>
                    <w:tl2br w:val="nil"/>
                    <w:tr2bl w:val="nil"/>
                  </w:tcBorders>
                  <w:noWrap w:val="0"/>
                  <w:vAlign w:val="center"/>
                </w:tcPr>
                <w:p w14:paraId="799B65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《地下水质量标准》（GB/T14848-2017）</w:t>
                  </w:r>
                </w:p>
              </w:tc>
            </w:tr>
            <w:tr w14:paraId="68271A0A">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354" w:type="pct"/>
                  <w:tcBorders>
                    <w:tl2br w:val="nil"/>
                    <w:tr2bl w:val="nil"/>
                  </w:tcBorders>
                  <w:noWrap w:val="0"/>
                  <w:vAlign w:val="center"/>
                </w:tcPr>
                <w:p w14:paraId="0F248E2D">
                  <w:pPr>
                    <w:adjustRightInd w:val="0"/>
                    <w:snapToGrid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生态环境</w:t>
                  </w:r>
                </w:p>
              </w:tc>
              <w:tc>
                <w:tcPr>
                  <w:tcW w:w="3159" w:type="pct"/>
                  <w:gridSpan w:val="7"/>
                  <w:tcBorders>
                    <w:tl2br w:val="nil"/>
                    <w:tr2bl w:val="nil"/>
                  </w:tcBorders>
                  <w:shd w:val="clear" w:color="auto" w:fill="auto"/>
                  <w:noWrap w:val="0"/>
                  <w:vAlign w:val="center"/>
                </w:tcPr>
                <w:p w14:paraId="2F81A2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Cs/>
                      <w:color w:val="auto"/>
                      <w:sz w:val="21"/>
                      <w:szCs w:val="21"/>
                    </w:rPr>
                    <w:t>本项目位于江苏省常州市金坛经济开发区汇福路8号，本项目位于工业园内，利用现有标准厂房进行生产，占地范围内无生态敏感目标。</w:t>
                  </w:r>
                </w:p>
              </w:tc>
              <w:tc>
                <w:tcPr>
                  <w:tcW w:w="1486" w:type="pct"/>
                  <w:tcBorders>
                    <w:tl2br w:val="nil"/>
                    <w:tr2bl w:val="nil"/>
                  </w:tcBorders>
                  <w:noWrap w:val="0"/>
                  <w:vAlign w:val="center"/>
                </w:tcPr>
                <w:p w14:paraId="1DF796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w:t>
                  </w:r>
                </w:p>
              </w:tc>
            </w:tr>
          </w:tbl>
          <w:p w14:paraId="4DD73582">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firstLine="0" w:firstLineChars="0"/>
              <w:textAlignment w:val="auto"/>
              <w:rPr>
                <w:rFonts w:hint="default" w:ascii="Times New Roman" w:hAnsi="Times New Roman" w:eastAsia="宋体" w:cs="Times New Roman"/>
                <w:smallCaps w:val="0"/>
                <w:color w:val="auto"/>
                <w:spacing w:val="0"/>
                <w:kern w:val="0"/>
                <w:position w:val="0"/>
                <w:sz w:val="21"/>
                <w:szCs w:val="18"/>
              </w:rPr>
            </w:pPr>
            <w:r>
              <w:rPr>
                <w:rFonts w:hint="default" w:ascii="Times New Roman" w:hAnsi="Times New Roman" w:eastAsia="宋体" w:cs="Times New Roman"/>
                <w:b/>
                <w:bCs/>
                <w:smallCaps w:val="0"/>
                <w:color w:val="auto"/>
                <w:spacing w:val="0"/>
                <w:kern w:val="0"/>
                <w:position w:val="0"/>
                <w:sz w:val="21"/>
                <w:szCs w:val="18"/>
              </w:rPr>
              <w:t>本项目距最近的大气质量国控站点金坛监测站</w:t>
            </w:r>
            <w:r>
              <w:rPr>
                <w:rFonts w:hint="default" w:ascii="Times New Roman" w:hAnsi="Times New Roman" w:eastAsia="宋体" w:cs="Times New Roman"/>
                <w:b/>
                <w:bCs/>
                <w:smallCaps w:val="0"/>
                <w:color w:val="auto"/>
                <w:spacing w:val="0"/>
                <w:kern w:val="0"/>
                <w:position w:val="0"/>
                <w:sz w:val="21"/>
                <w:szCs w:val="18"/>
                <w:lang w:val="en-US" w:eastAsia="zh-CN"/>
              </w:rPr>
              <w:t>省</w:t>
            </w:r>
            <w:r>
              <w:rPr>
                <w:rFonts w:hint="default" w:ascii="Times New Roman" w:hAnsi="Times New Roman" w:eastAsia="宋体" w:cs="Times New Roman"/>
                <w:b/>
                <w:bCs/>
                <w:smallCaps w:val="0"/>
                <w:color w:val="auto"/>
                <w:spacing w:val="0"/>
                <w:kern w:val="0"/>
                <w:position w:val="0"/>
                <w:sz w:val="21"/>
                <w:szCs w:val="18"/>
              </w:rPr>
              <w:t>控站点的距离为</w:t>
            </w:r>
            <w:r>
              <w:rPr>
                <w:rFonts w:hint="default" w:ascii="Times New Roman" w:hAnsi="Times New Roman" w:eastAsia="宋体" w:cs="Times New Roman"/>
                <w:b/>
                <w:bCs/>
                <w:smallCaps w:val="0"/>
                <w:color w:val="auto"/>
                <w:spacing w:val="0"/>
                <w:kern w:val="0"/>
                <w:position w:val="0"/>
                <w:sz w:val="21"/>
                <w:szCs w:val="18"/>
                <w:lang w:val="en-US" w:eastAsia="zh-CN"/>
              </w:rPr>
              <w:t>6.3</w:t>
            </w:r>
            <w:r>
              <w:rPr>
                <w:rFonts w:hint="default" w:ascii="Times New Roman" w:hAnsi="Times New Roman" w:eastAsia="宋体" w:cs="Times New Roman"/>
                <w:b/>
                <w:bCs/>
                <w:smallCaps w:val="0"/>
                <w:color w:val="auto"/>
                <w:spacing w:val="0"/>
                <w:kern w:val="0"/>
                <w:position w:val="0"/>
                <w:sz w:val="21"/>
                <w:szCs w:val="18"/>
              </w:rPr>
              <w:t>km</w:t>
            </w:r>
            <w:r>
              <w:rPr>
                <w:rFonts w:hint="default" w:ascii="Times New Roman" w:hAnsi="Times New Roman" w:eastAsia="宋体" w:cs="Times New Roman"/>
                <w:b/>
                <w:bCs/>
                <w:smallCaps w:val="0"/>
                <w:color w:val="auto"/>
                <w:spacing w:val="0"/>
                <w:kern w:val="0"/>
                <w:position w:val="0"/>
                <w:sz w:val="21"/>
                <w:szCs w:val="18"/>
                <w:lang w:eastAsia="zh-CN"/>
              </w:rPr>
              <w:t>。</w:t>
            </w:r>
          </w:p>
          <w:p w14:paraId="6FED0CE2">
            <w:pPr>
              <w:pStyle w:val="25"/>
              <w:spacing w:before="60" w:after="60"/>
              <w:ind w:firstLine="0" w:firstLineChars="0"/>
              <w:rPr>
                <w:rFonts w:hint="default" w:ascii="Times New Roman" w:hAnsi="Times New Roman" w:eastAsia="宋体" w:cs="Times New Roman"/>
                <w:smallCaps w:val="0"/>
                <w:color w:val="auto"/>
                <w:spacing w:val="0"/>
                <w:kern w:val="0"/>
                <w:position w:val="0"/>
              </w:rPr>
            </w:pPr>
          </w:p>
        </w:tc>
      </w:tr>
      <w:tr w14:paraId="5B2D4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26" w:hRule="atLeast"/>
          <w:jc w:val="center"/>
        </w:trPr>
        <w:tc>
          <w:tcPr>
            <w:tcW w:w="457" w:type="dxa"/>
            <w:noWrap w:val="0"/>
            <w:tcMar>
              <w:left w:w="28" w:type="dxa"/>
              <w:right w:w="28" w:type="dxa"/>
            </w:tcMar>
            <w:vAlign w:val="center"/>
          </w:tcPr>
          <w:p w14:paraId="532FACC4">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污染</w:t>
            </w:r>
          </w:p>
          <w:p w14:paraId="1EBFC312">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物排</w:t>
            </w:r>
          </w:p>
          <w:p w14:paraId="7CC6D6C3">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放控</w:t>
            </w:r>
          </w:p>
          <w:p w14:paraId="39570EFF">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制标</w:t>
            </w:r>
          </w:p>
          <w:p w14:paraId="5034AA19">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准</w:t>
            </w:r>
          </w:p>
        </w:tc>
        <w:tc>
          <w:tcPr>
            <w:tcW w:w="9524" w:type="dxa"/>
            <w:noWrap w:val="0"/>
            <w:vAlign w:val="top"/>
          </w:tcPr>
          <w:p w14:paraId="6A3917CB">
            <w:pPr>
              <w:pStyle w:val="25"/>
              <w:keepNext w:val="0"/>
              <w:keepLines w:val="0"/>
              <w:pageBreakBefore w:val="0"/>
              <w:widowControl w:val="0"/>
              <w:tabs>
                <w:tab w:val="right" w:pos="8388"/>
              </w:tabs>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bCs/>
                <w:smallCaps w:val="0"/>
                <w:color w:val="auto"/>
                <w:spacing w:val="0"/>
                <w:kern w:val="0"/>
                <w:position w:val="0"/>
                <w:lang w:val="en-US" w:eastAsia="zh-CN"/>
              </w:rPr>
            </w:pPr>
            <w:r>
              <w:rPr>
                <w:rFonts w:hint="default" w:ascii="Times New Roman" w:hAnsi="Times New Roman" w:eastAsia="宋体" w:cs="Times New Roman"/>
                <w:b/>
                <w:bCs/>
                <w:smallCaps w:val="0"/>
                <w:color w:val="auto"/>
                <w:spacing w:val="0"/>
                <w:kern w:val="0"/>
                <w:position w:val="0"/>
                <w:lang w:val="en-US" w:eastAsia="zh-CN"/>
              </w:rPr>
              <w:t>1、废水排放标准</w:t>
            </w:r>
          </w:p>
          <w:p w14:paraId="6EAA6EB5">
            <w:pPr>
              <w:pStyle w:val="25"/>
              <w:spacing w:before="0" w:beforeLines="0" w:after="0" w:afterLines="0" w:line="440" w:lineRule="exact"/>
              <w:ind w:firstLine="480"/>
              <w:rPr>
                <w:rFonts w:hint="default" w:ascii="Times New Roman" w:hAnsi="Times New Roman" w:eastAsia="宋体" w:cs="Times New Roman"/>
                <w:smallCaps w:val="0"/>
                <w:snapToGrid w:val="0"/>
                <w:color w:val="auto"/>
                <w:spacing w:val="0"/>
                <w:kern w:val="0"/>
                <w:position w:val="0"/>
                <w:lang w:val="en-US" w:eastAsia="zh-CN"/>
              </w:rPr>
            </w:pPr>
            <w:r>
              <w:rPr>
                <w:rFonts w:hint="default" w:ascii="Times New Roman" w:hAnsi="Times New Roman" w:eastAsia="宋体" w:cs="Times New Roman"/>
                <w:smallCaps w:val="0"/>
                <w:snapToGrid w:val="0"/>
                <w:color w:val="auto"/>
                <w:spacing w:val="0"/>
                <w:kern w:val="0"/>
                <w:position w:val="0"/>
                <w:lang w:val="en-US" w:eastAsia="zh-CN"/>
              </w:rPr>
              <w:t>本项目</w:t>
            </w:r>
            <w:r>
              <w:rPr>
                <w:rFonts w:hint="eastAsia" w:eastAsia="宋体" w:cs="Times New Roman"/>
                <w:smallCaps w:val="0"/>
                <w:snapToGrid w:val="0"/>
                <w:color w:val="auto"/>
                <w:spacing w:val="0"/>
                <w:kern w:val="0"/>
                <w:position w:val="0"/>
                <w:lang w:val="en-US" w:eastAsia="zh-CN"/>
              </w:rPr>
              <w:t>运营期</w:t>
            </w:r>
            <w:r>
              <w:rPr>
                <w:rFonts w:hint="default" w:ascii="Times New Roman" w:hAnsi="Times New Roman" w:eastAsia="宋体" w:cs="Times New Roman"/>
                <w:smallCaps w:val="0"/>
                <w:snapToGrid w:val="0"/>
                <w:color w:val="auto"/>
                <w:spacing w:val="0"/>
                <w:kern w:val="0"/>
                <w:position w:val="0"/>
                <w:lang w:val="en-US" w:eastAsia="zh-CN"/>
              </w:rPr>
              <w:t>生活污水</w:t>
            </w:r>
            <w:r>
              <w:rPr>
                <w:rFonts w:hint="default" w:ascii="Times New Roman" w:hAnsi="Times New Roman" w:eastAsia="宋体" w:cs="Times New Roman"/>
                <w:smallCaps w:val="0"/>
                <w:snapToGrid w:val="0"/>
                <w:color w:val="auto"/>
                <w:spacing w:val="0"/>
                <w:kern w:val="0"/>
                <w:position w:val="0"/>
              </w:rPr>
              <w:t>执行金坛第二污水处理厂接管标准，污水厂尾水排入尧塘河</w:t>
            </w:r>
            <w:r>
              <w:rPr>
                <w:rFonts w:hint="default" w:ascii="Times New Roman" w:hAnsi="Times New Roman" w:eastAsia="宋体" w:cs="Times New Roman"/>
                <w:smallCaps w:val="0"/>
                <w:snapToGrid w:val="0"/>
                <w:color w:val="auto"/>
                <w:spacing w:val="0"/>
                <w:kern w:val="0"/>
                <w:position w:val="0"/>
                <w:lang w:eastAsia="zh-CN"/>
              </w:rPr>
              <w:t>。</w:t>
            </w:r>
            <w:r>
              <w:rPr>
                <w:rFonts w:hint="default" w:ascii="Times New Roman" w:hAnsi="Times New Roman" w:eastAsia="宋体" w:cs="Times New Roman"/>
                <w:smallCaps w:val="0"/>
                <w:snapToGrid w:val="0"/>
                <w:color w:val="auto"/>
                <w:spacing w:val="0"/>
                <w:kern w:val="0"/>
                <w:position w:val="0"/>
                <w:lang w:val="en-US" w:eastAsia="zh-CN"/>
              </w:rPr>
              <w:t>废水污染物排放执行标准具体见下表：</w:t>
            </w:r>
          </w:p>
          <w:p w14:paraId="14EBEEAB">
            <w:pPr>
              <w:pStyle w:val="2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lang w:val="en-US" w:eastAsia="zh-CN" w:bidi="ar-SA"/>
              </w:rPr>
              <w:t>表3-</w:t>
            </w:r>
            <w:r>
              <w:rPr>
                <w:rFonts w:hint="eastAsia" w:cs="Times New Roman"/>
                <w:b/>
                <w:bCs/>
                <w:smallCaps w:val="0"/>
                <w:color w:val="auto"/>
                <w:spacing w:val="0"/>
                <w:kern w:val="0"/>
                <w:position w:val="0"/>
                <w:sz w:val="21"/>
                <w:szCs w:val="21"/>
                <w:lang w:val="en-US" w:eastAsia="zh-CN" w:bidi="ar-SA"/>
              </w:rPr>
              <w:t>8</w:t>
            </w:r>
            <w:r>
              <w:rPr>
                <w:rFonts w:hint="default" w:ascii="Times New Roman" w:hAnsi="Times New Roman" w:eastAsia="宋体" w:cs="Times New Roman"/>
                <w:b/>
                <w:bCs/>
                <w:smallCaps w:val="0"/>
                <w:color w:val="auto"/>
                <w:spacing w:val="0"/>
                <w:kern w:val="0"/>
                <w:position w:val="0"/>
                <w:sz w:val="21"/>
                <w:szCs w:val="21"/>
                <w:lang w:val="en-US" w:eastAsia="zh-CN" w:bidi="ar-SA"/>
              </w:rPr>
              <w:t>废水污染物接管标准单位：mg/L</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1557"/>
              <w:gridCol w:w="1985"/>
              <w:gridCol w:w="3458"/>
            </w:tblGrid>
            <w:tr w14:paraId="1FB63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7" w:type="pct"/>
                  <w:noWrap w:val="0"/>
                  <w:vAlign w:val="center"/>
                </w:tcPr>
                <w:p w14:paraId="5314FE2E">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排放口编号</w:t>
                  </w:r>
                </w:p>
              </w:tc>
              <w:tc>
                <w:tcPr>
                  <w:tcW w:w="928" w:type="pct"/>
                  <w:noWrap w:val="0"/>
                  <w:vAlign w:val="center"/>
                </w:tcPr>
                <w:p w14:paraId="1D7DC2A4">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污染物</w:t>
                  </w:r>
                </w:p>
              </w:tc>
              <w:tc>
                <w:tcPr>
                  <w:tcW w:w="1183" w:type="pct"/>
                  <w:noWrap w:val="0"/>
                  <w:vAlign w:val="center"/>
                </w:tcPr>
                <w:p w14:paraId="20BB9C09">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接管标准浓度限值</w:t>
                  </w:r>
                </w:p>
              </w:tc>
              <w:tc>
                <w:tcPr>
                  <w:tcW w:w="2061" w:type="pct"/>
                  <w:noWrap w:val="0"/>
                  <w:vAlign w:val="center"/>
                </w:tcPr>
                <w:p w14:paraId="4EFDA4F2">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标准来源</w:t>
                  </w:r>
                </w:p>
              </w:tc>
            </w:tr>
            <w:tr w14:paraId="573A1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7" w:type="pct"/>
                  <w:vMerge w:val="restart"/>
                  <w:noWrap w:val="0"/>
                  <w:vAlign w:val="center"/>
                </w:tcPr>
                <w:p w14:paraId="72954344">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DW001</w:t>
                  </w:r>
                </w:p>
              </w:tc>
              <w:tc>
                <w:tcPr>
                  <w:tcW w:w="928" w:type="pct"/>
                  <w:noWrap w:val="0"/>
                  <w:vAlign w:val="center"/>
                </w:tcPr>
                <w:p w14:paraId="34C30C64">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pH（无量纲）</w:t>
                  </w:r>
                </w:p>
              </w:tc>
              <w:tc>
                <w:tcPr>
                  <w:tcW w:w="1183" w:type="pct"/>
                  <w:noWrap w:val="0"/>
                  <w:vAlign w:val="center"/>
                </w:tcPr>
                <w:p w14:paraId="04787A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6.5～9.5</w:t>
                  </w:r>
                </w:p>
              </w:tc>
              <w:tc>
                <w:tcPr>
                  <w:tcW w:w="2061" w:type="pct"/>
                  <w:vMerge w:val="restart"/>
                  <w:noWrap w:val="0"/>
                  <w:vAlign w:val="center"/>
                </w:tcPr>
                <w:p w14:paraId="117795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auto"/>
                      <w:kern w:val="0"/>
                      <w:sz w:val="21"/>
                      <w:szCs w:val="21"/>
                    </w:rPr>
                  </w:pPr>
                  <w:r>
                    <w:rPr>
                      <w:rFonts w:hint="default" w:ascii="Times New Roman" w:hAnsi="Times New Roman" w:eastAsia="宋体" w:cs="Times New Roman"/>
                      <w:bCs/>
                      <w:snapToGrid w:val="0"/>
                      <w:color w:val="auto"/>
                      <w:kern w:val="0"/>
                      <w:sz w:val="21"/>
                      <w:szCs w:val="21"/>
                    </w:rPr>
                    <w:t>常州金坛区第二污水处理有限公司接管标准</w:t>
                  </w:r>
                </w:p>
              </w:tc>
            </w:tr>
            <w:tr w14:paraId="109F6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7" w:type="pct"/>
                  <w:vMerge w:val="continue"/>
                  <w:noWrap w:val="0"/>
                  <w:vAlign w:val="center"/>
                </w:tcPr>
                <w:p w14:paraId="74A130B0">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p>
              </w:tc>
              <w:tc>
                <w:tcPr>
                  <w:tcW w:w="928" w:type="pct"/>
                  <w:noWrap w:val="0"/>
                  <w:vAlign w:val="center"/>
                </w:tcPr>
                <w:p w14:paraId="415F6E2D">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COD</w:t>
                  </w:r>
                </w:p>
              </w:tc>
              <w:tc>
                <w:tcPr>
                  <w:tcW w:w="1183" w:type="pct"/>
                  <w:noWrap w:val="0"/>
                  <w:vAlign w:val="center"/>
                </w:tcPr>
                <w:p w14:paraId="662ACE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500</w:t>
                  </w:r>
                </w:p>
              </w:tc>
              <w:tc>
                <w:tcPr>
                  <w:tcW w:w="2061" w:type="pct"/>
                  <w:vMerge w:val="continue"/>
                  <w:noWrap w:val="0"/>
                  <w:vAlign w:val="center"/>
                </w:tcPr>
                <w:p w14:paraId="05A934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auto"/>
                      <w:kern w:val="0"/>
                      <w:sz w:val="21"/>
                      <w:szCs w:val="21"/>
                    </w:rPr>
                  </w:pPr>
                </w:p>
              </w:tc>
            </w:tr>
            <w:tr w14:paraId="3789E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7" w:type="pct"/>
                  <w:vMerge w:val="continue"/>
                  <w:noWrap w:val="0"/>
                  <w:vAlign w:val="center"/>
                </w:tcPr>
                <w:p w14:paraId="56087CEE">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p>
              </w:tc>
              <w:tc>
                <w:tcPr>
                  <w:tcW w:w="928" w:type="pct"/>
                  <w:noWrap w:val="0"/>
                  <w:vAlign w:val="center"/>
                </w:tcPr>
                <w:p w14:paraId="4C6E7004">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SS</w:t>
                  </w:r>
                </w:p>
              </w:tc>
              <w:tc>
                <w:tcPr>
                  <w:tcW w:w="1183" w:type="pct"/>
                  <w:noWrap w:val="0"/>
                  <w:vAlign w:val="center"/>
                </w:tcPr>
                <w:p w14:paraId="1C1F54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250</w:t>
                  </w:r>
                </w:p>
              </w:tc>
              <w:tc>
                <w:tcPr>
                  <w:tcW w:w="2061" w:type="pct"/>
                  <w:vMerge w:val="continue"/>
                  <w:noWrap w:val="0"/>
                  <w:vAlign w:val="center"/>
                </w:tcPr>
                <w:p w14:paraId="06379A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auto"/>
                      <w:kern w:val="0"/>
                      <w:sz w:val="21"/>
                      <w:szCs w:val="21"/>
                    </w:rPr>
                  </w:pPr>
                </w:p>
              </w:tc>
            </w:tr>
            <w:tr w14:paraId="764EA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7" w:type="pct"/>
                  <w:vMerge w:val="continue"/>
                  <w:noWrap w:val="0"/>
                  <w:vAlign w:val="center"/>
                </w:tcPr>
                <w:p w14:paraId="64DDC84A">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p>
              </w:tc>
              <w:tc>
                <w:tcPr>
                  <w:tcW w:w="928" w:type="pct"/>
                  <w:noWrap w:val="0"/>
                  <w:vAlign w:val="center"/>
                </w:tcPr>
                <w:p w14:paraId="5A44626A">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氨氮（以N计）</w:t>
                  </w:r>
                </w:p>
              </w:tc>
              <w:tc>
                <w:tcPr>
                  <w:tcW w:w="1183" w:type="pct"/>
                  <w:noWrap w:val="0"/>
                  <w:vAlign w:val="center"/>
                </w:tcPr>
                <w:p w14:paraId="6247F3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35</w:t>
                  </w:r>
                </w:p>
              </w:tc>
              <w:tc>
                <w:tcPr>
                  <w:tcW w:w="2061" w:type="pct"/>
                  <w:vMerge w:val="continue"/>
                  <w:noWrap w:val="0"/>
                  <w:vAlign w:val="center"/>
                </w:tcPr>
                <w:p w14:paraId="19E5B6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auto"/>
                      <w:kern w:val="0"/>
                      <w:sz w:val="21"/>
                      <w:szCs w:val="21"/>
                    </w:rPr>
                  </w:pPr>
                </w:p>
              </w:tc>
            </w:tr>
            <w:tr w14:paraId="440BA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7" w:type="pct"/>
                  <w:vMerge w:val="continue"/>
                  <w:noWrap w:val="0"/>
                  <w:vAlign w:val="center"/>
                </w:tcPr>
                <w:p w14:paraId="6F1C3528">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p>
              </w:tc>
              <w:tc>
                <w:tcPr>
                  <w:tcW w:w="928" w:type="pct"/>
                  <w:noWrap w:val="0"/>
                  <w:vAlign w:val="center"/>
                </w:tcPr>
                <w:p w14:paraId="1F6E89D4">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总磷（以P计）</w:t>
                  </w:r>
                </w:p>
              </w:tc>
              <w:tc>
                <w:tcPr>
                  <w:tcW w:w="1183" w:type="pct"/>
                  <w:noWrap w:val="0"/>
                  <w:vAlign w:val="center"/>
                </w:tcPr>
                <w:p w14:paraId="698043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3</w:t>
                  </w:r>
                </w:p>
              </w:tc>
              <w:tc>
                <w:tcPr>
                  <w:tcW w:w="2061" w:type="pct"/>
                  <w:vMerge w:val="continue"/>
                  <w:noWrap w:val="0"/>
                  <w:vAlign w:val="center"/>
                </w:tcPr>
                <w:p w14:paraId="33E11D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auto"/>
                      <w:kern w:val="0"/>
                      <w:sz w:val="21"/>
                      <w:szCs w:val="21"/>
                    </w:rPr>
                  </w:pPr>
                </w:p>
              </w:tc>
            </w:tr>
            <w:tr w14:paraId="2686A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27" w:type="pct"/>
                  <w:vMerge w:val="continue"/>
                  <w:noWrap w:val="0"/>
                  <w:vAlign w:val="center"/>
                </w:tcPr>
                <w:p w14:paraId="1BDB7AD2">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p>
              </w:tc>
              <w:tc>
                <w:tcPr>
                  <w:tcW w:w="928" w:type="pct"/>
                  <w:noWrap w:val="0"/>
                  <w:vAlign w:val="center"/>
                </w:tcPr>
                <w:p w14:paraId="2A104048">
                  <w:pPr>
                    <w:pStyle w:val="40"/>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总氮</w:t>
                  </w:r>
                </w:p>
              </w:tc>
              <w:tc>
                <w:tcPr>
                  <w:tcW w:w="1183" w:type="pct"/>
                  <w:noWrap w:val="0"/>
                  <w:vAlign w:val="center"/>
                </w:tcPr>
                <w:p w14:paraId="3D520A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50</w:t>
                  </w:r>
                </w:p>
              </w:tc>
              <w:tc>
                <w:tcPr>
                  <w:tcW w:w="2061" w:type="pct"/>
                  <w:vMerge w:val="continue"/>
                  <w:noWrap w:val="0"/>
                  <w:vAlign w:val="center"/>
                </w:tcPr>
                <w:p w14:paraId="72A860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napToGrid w:val="0"/>
                      <w:color w:val="auto"/>
                      <w:kern w:val="0"/>
                      <w:sz w:val="21"/>
                      <w:szCs w:val="21"/>
                    </w:rPr>
                  </w:pPr>
                </w:p>
              </w:tc>
            </w:tr>
          </w:tbl>
          <w:p w14:paraId="1B539D55">
            <w:pPr>
              <w:pStyle w:val="25"/>
              <w:spacing w:before="0" w:beforeLines="0" w:after="0" w:afterLines="0" w:line="440" w:lineRule="exact"/>
              <w:ind w:firstLine="480"/>
              <w:rPr>
                <w:rFonts w:hint="default" w:ascii="Times New Roman" w:hAnsi="Times New Roman" w:eastAsia="宋体" w:cs="Times New Roman"/>
                <w:smallCaps w:val="0"/>
                <w:snapToGrid w:val="0"/>
                <w:color w:val="auto"/>
                <w:spacing w:val="0"/>
                <w:kern w:val="0"/>
                <w:position w:val="0"/>
              </w:rPr>
            </w:pPr>
            <w:r>
              <w:rPr>
                <w:rFonts w:hint="default" w:ascii="Times New Roman" w:hAnsi="Times New Roman" w:eastAsia="宋体" w:cs="Times New Roman"/>
                <w:smallCaps w:val="0"/>
                <w:snapToGrid w:val="0"/>
                <w:color w:val="auto"/>
                <w:spacing w:val="0"/>
                <w:kern w:val="0"/>
                <w:position w:val="0"/>
              </w:rPr>
              <w:t>根据《太湖地区城镇污水处理厂及重点工业行业主要水污染物排放限值》（DB32/1072-2018）</w:t>
            </w:r>
            <w:r>
              <w:rPr>
                <w:rFonts w:hint="default" w:ascii="Times New Roman" w:hAnsi="Times New Roman" w:eastAsia="宋体" w:cs="Times New Roman"/>
                <w:smallCaps w:val="0"/>
                <w:snapToGrid w:val="0"/>
                <w:color w:val="auto"/>
                <w:spacing w:val="0"/>
                <w:kern w:val="0"/>
                <w:position w:val="0"/>
                <w:lang w:val="en-US" w:eastAsia="zh-CN"/>
              </w:rPr>
              <w:t>及</w:t>
            </w:r>
            <w:r>
              <w:rPr>
                <w:rFonts w:hint="default" w:ascii="Times New Roman" w:hAnsi="Times New Roman" w:eastAsia="宋体" w:cs="Times New Roman"/>
                <w:smallCaps w:val="0"/>
                <w:snapToGrid w:val="0"/>
                <w:color w:val="auto"/>
                <w:spacing w:val="0"/>
                <w:kern w:val="0"/>
                <w:position w:val="0"/>
              </w:rPr>
              <w:t>《城镇污水处理厂污染物排放标准》（GB18918-2002</w:t>
            </w:r>
            <w:r>
              <w:rPr>
                <w:rFonts w:hint="default" w:ascii="Times New Roman" w:hAnsi="Times New Roman" w:eastAsia="宋体" w:cs="Times New Roman"/>
                <w:smallCaps w:val="0"/>
                <w:snapToGrid w:val="0"/>
                <w:color w:val="auto"/>
                <w:spacing w:val="0"/>
                <w:kern w:val="0"/>
                <w:position w:val="0"/>
                <w:lang w:eastAsia="zh-CN"/>
              </w:rPr>
              <w:t>）</w:t>
            </w:r>
            <w:r>
              <w:rPr>
                <w:rFonts w:hint="default" w:ascii="Times New Roman" w:hAnsi="Times New Roman" w:eastAsia="宋体" w:cs="Times New Roman"/>
                <w:smallCaps w:val="0"/>
                <w:snapToGrid w:val="0"/>
                <w:color w:val="auto"/>
                <w:spacing w:val="0"/>
                <w:kern w:val="0"/>
                <w:position w:val="0"/>
              </w:rPr>
              <w:t>，常州金坛区第二污水处理有限公司尾水排放执行标准具体见下表。</w:t>
            </w:r>
          </w:p>
          <w:p w14:paraId="169E621C">
            <w:pPr>
              <w:pStyle w:val="27"/>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smallCaps w:val="0"/>
                <w:color w:val="auto"/>
                <w:spacing w:val="0"/>
                <w:kern w:val="0"/>
                <w:position w:val="0"/>
                <w:sz w:val="21"/>
                <w:szCs w:val="21"/>
                <w:lang w:val="en-US" w:eastAsia="zh-CN" w:bidi="ar-SA"/>
              </w:rPr>
            </w:pPr>
            <w:r>
              <w:rPr>
                <w:rFonts w:hint="default" w:ascii="Times New Roman" w:hAnsi="Times New Roman" w:eastAsia="宋体" w:cs="Times New Roman"/>
                <w:b/>
                <w:bCs/>
                <w:smallCaps w:val="0"/>
                <w:color w:val="auto"/>
                <w:spacing w:val="0"/>
                <w:kern w:val="0"/>
                <w:position w:val="0"/>
                <w:sz w:val="21"/>
                <w:szCs w:val="21"/>
                <w:lang w:val="en-US" w:eastAsia="zh-CN" w:bidi="ar-SA"/>
              </w:rPr>
              <w:t>表3-</w:t>
            </w:r>
            <w:r>
              <w:rPr>
                <w:rFonts w:hint="eastAsia" w:cs="Times New Roman"/>
                <w:b/>
                <w:bCs/>
                <w:smallCaps w:val="0"/>
                <w:color w:val="auto"/>
                <w:spacing w:val="0"/>
                <w:kern w:val="0"/>
                <w:position w:val="0"/>
                <w:sz w:val="21"/>
                <w:szCs w:val="21"/>
                <w:lang w:val="en-US" w:eastAsia="zh-CN" w:bidi="ar-SA"/>
              </w:rPr>
              <w:t>9</w:t>
            </w:r>
            <w:r>
              <w:rPr>
                <w:rFonts w:hint="default" w:ascii="Times New Roman" w:hAnsi="Times New Roman" w:eastAsia="宋体" w:cs="Times New Roman"/>
                <w:b/>
                <w:bCs/>
                <w:smallCaps w:val="0"/>
                <w:color w:val="auto"/>
                <w:spacing w:val="0"/>
                <w:kern w:val="0"/>
                <w:position w:val="0"/>
                <w:sz w:val="21"/>
                <w:szCs w:val="21"/>
                <w:lang w:val="en-US" w:eastAsia="zh-CN" w:bidi="ar-SA"/>
              </w:rPr>
              <w:t>常州金坛区第二污水处理有限公司尾水排放标准单位：mg/L</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59"/>
              <w:gridCol w:w="1559"/>
              <w:gridCol w:w="1616"/>
              <w:gridCol w:w="3654"/>
            </w:tblGrid>
            <w:tr w14:paraId="49722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9" w:type="pct"/>
                  <w:noWrap w:val="0"/>
                  <w:vAlign w:val="center"/>
                </w:tcPr>
                <w:p w14:paraId="1EA20C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执行日期</w:t>
                  </w:r>
                </w:p>
              </w:tc>
              <w:tc>
                <w:tcPr>
                  <w:tcW w:w="929" w:type="pct"/>
                  <w:noWrap w:val="0"/>
                  <w:vAlign w:val="center"/>
                </w:tcPr>
                <w:p w14:paraId="33AB50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污染物名称</w:t>
                  </w:r>
                </w:p>
              </w:tc>
              <w:tc>
                <w:tcPr>
                  <w:tcW w:w="963" w:type="pct"/>
                  <w:noWrap w:val="0"/>
                  <w:vAlign w:val="center"/>
                </w:tcPr>
                <w:p w14:paraId="739EA2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最高允许排放限值</w:t>
                  </w:r>
                </w:p>
              </w:tc>
              <w:tc>
                <w:tcPr>
                  <w:tcW w:w="2177" w:type="pct"/>
                  <w:noWrap w:val="0"/>
                  <w:vAlign w:val="center"/>
                </w:tcPr>
                <w:p w14:paraId="590E61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rPr>
                  </w:pPr>
                  <w:r>
                    <w:rPr>
                      <w:rFonts w:hint="default" w:ascii="Times New Roman" w:hAnsi="Times New Roman" w:eastAsia="宋体" w:cs="Times New Roman"/>
                      <w:b/>
                      <w:snapToGrid w:val="0"/>
                      <w:color w:val="auto"/>
                      <w:kern w:val="0"/>
                      <w:sz w:val="21"/>
                      <w:szCs w:val="21"/>
                    </w:rPr>
                    <w:t>标准来源</w:t>
                  </w:r>
                </w:p>
              </w:tc>
            </w:tr>
            <w:tr w14:paraId="0FE36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9" w:type="pct"/>
                  <w:vMerge w:val="restart"/>
                  <w:noWrap w:val="0"/>
                  <w:vAlign w:val="center"/>
                </w:tcPr>
                <w:p w14:paraId="70C8D8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2026年3月28日前</w:t>
                  </w:r>
                </w:p>
              </w:tc>
              <w:tc>
                <w:tcPr>
                  <w:tcW w:w="929" w:type="pct"/>
                  <w:noWrap w:val="0"/>
                  <w:vAlign w:val="center"/>
                </w:tcPr>
                <w:p w14:paraId="64B5EE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COD</w:t>
                  </w:r>
                </w:p>
              </w:tc>
              <w:tc>
                <w:tcPr>
                  <w:tcW w:w="963" w:type="pct"/>
                  <w:noWrap w:val="0"/>
                  <w:vAlign w:val="center"/>
                </w:tcPr>
                <w:p w14:paraId="1223D1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50</w:t>
                  </w:r>
                </w:p>
              </w:tc>
              <w:tc>
                <w:tcPr>
                  <w:tcW w:w="2177" w:type="pct"/>
                  <w:vMerge w:val="restart"/>
                  <w:noWrap w:val="0"/>
                  <w:vAlign w:val="center"/>
                </w:tcPr>
                <w:p w14:paraId="5C185A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《太湖地区城镇污水处理厂及重点工业行业主要水污染物排放限值》（DB32/1072-2018）中表2标准</w:t>
                  </w:r>
                </w:p>
              </w:tc>
            </w:tr>
            <w:tr w14:paraId="30A44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9" w:type="pct"/>
                  <w:vMerge w:val="continue"/>
                  <w:noWrap w:val="0"/>
                  <w:vAlign w:val="center"/>
                </w:tcPr>
                <w:p w14:paraId="6D7860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c>
                <w:tcPr>
                  <w:tcW w:w="929" w:type="pct"/>
                  <w:noWrap w:val="0"/>
                  <w:vAlign w:val="center"/>
                </w:tcPr>
                <w:p w14:paraId="51EAD8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氨氮</w:t>
                  </w:r>
                </w:p>
              </w:tc>
              <w:tc>
                <w:tcPr>
                  <w:tcW w:w="963" w:type="pct"/>
                  <w:noWrap w:val="0"/>
                  <w:vAlign w:val="center"/>
                </w:tcPr>
                <w:p w14:paraId="4EC35C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4（6）</w:t>
                  </w:r>
                  <w:r>
                    <w:rPr>
                      <w:rFonts w:hint="default" w:ascii="Times New Roman" w:hAnsi="Times New Roman" w:eastAsia="宋体" w:cs="Times New Roman"/>
                      <w:snapToGrid w:val="0"/>
                      <w:color w:val="auto"/>
                      <w:kern w:val="0"/>
                      <w:sz w:val="21"/>
                      <w:szCs w:val="21"/>
                      <w:vertAlign w:val="superscript"/>
                    </w:rPr>
                    <w:t>[1]</w:t>
                  </w:r>
                </w:p>
              </w:tc>
              <w:tc>
                <w:tcPr>
                  <w:tcW w:w="2177" w:type="pct"/>
                  <w:vMerge w:val="continue"/>
                  <w:noWrap w:val="0"/>
                  <w:vAlign w:val="center"/>
                </w:tcPr>
                <w:p w14:paraId="616EA3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r>
            <w:tr w14:paraId="1D8C7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9" w:type="pct"/>
                  <w:vMerge w:val="continue"/>
                  <w:noWrap w:val="0"/>
                  <w:vAlign w:val="center"/>
                </w:tcPr>
                <w:p w14:paraId="7BCF94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c>
                <w:tcPr>
                  <w:tcW w:w="929" w:type="pct"/>
                  <w:noWrap w:val="0"/>
                  <w:vAlign w:val="center"/>
                </w:tcPr>
                <w:p w14:paraId="2BEFD9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总氮</w:t>
                  </w:r>
                </w:p>
              </w:tc>
              <w:tc>
                <w:tcPr>
                  <w:tcW w:w="963" w:type="pct"/>
                  <w:noWrap w:val="0"/>
                  <w:vAlign w:val="center"/>
                </w:tcPr>
                <w:p w14:paraId="4A2357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12（15）</w:t>
                  </w:r>
                  <w:r>
                    <w:rPr>
                      <w:rFonts w:hint="default" w:ascii="Times New Roman" w:hAnsi="Times New Roman" w:eastAsia="宋体" w:cs="Times New Roman"/>
                      <w:snapToGrid w:val="0"/>
                      <w:color w:val="auto"/>
                      <w:kern w:val="0"/>
                      <w:sz w:val="21"/>
                      <w:szCs w:val="21"/>
                      <w:vertAlign w:val="superscript"/>
                    </w:rPr>
                    <w:t>[1]</w:t>
                  </w:r>
                </w:p>
              </w:tc>
              <w:tc>
                <w:tcPr>
                  <w:tcW w:w="2177" w:type="pct"/>
                  <w:vMerge w:val="continue"/>
                  <w:noWrap w:val="0"/>
                  <w:vAlign w:val="center"/>
                </w:tcPr>
                <w:p w14:paraId="0A3252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r>
            <w:tr w14:paraId="16311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9" w:type="pct"/>
                  <w:vMerge w:val="continue"/>
                  <w:noWrap w:val="0"/>
                  <w:vAlign w:val="center"/>
                </w:tcPr>
                <w:p w14:paraId="4D5C11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c>
                <w:tcPr>
                  <w:tcW w:w="929" w:type="pct"/>
                  <w:noWrap w:val="0"/>
                  <w:vAlign w:val="center"/>
                </w:tcPr>
                <w:p w14:paraId="4C1D8C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总磷</w:t>
                  </w:r>
                </w:p>
              </w:tc>
              <w:tc>
                <w:tcPr>
                  <w:tcW w:w="963" w:type="pct"/>
                  <w:noWrap w:val="0"/>
                  <w:vAlign w:val="center"/>
                </w:tcPr>
                <w:p w14:paraId="22E5CC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0.5</w:t>
                  </w:r>
                </w:p>
              </w:tc>
              <w:tc>
                <w:tcPr>
                  <w:tcW w:w="2177" w:type="pct"/>
                  <w:vMerge w:val="continue"/>
                  <w:noWrap w:val="0"/>
                  <w:vAlign w:val="center"/>
                </w:tcPr>
                <w:p w14:paraId="5AF8FB7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r>
            <w:tr w14:paraId="34CA2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9" w:type="pct"/>
                  <w:vMerge w:val="continue"/>
                  <w:noWrap w:val="0"/>
                  <w:vAlign w:val="center"/>
                </w:tcPr>
                <w:p w14:paraId="58FBE2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c>
                <w:tcPr>
                  <w:tcW w:w="929" w:type="pct"/>
                  <w:noWrap w:val="0"/>
                  <w:vAlign w:val="center"/>
                </w:tcPr>
                <w:p w14:paraId="510355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pH（无量纲）</w:t>
                  </w:r>
                </w:p>
              </w:tc>
              <w:tc>
                <w:tcPr>
                  <w:tcW w:w="963" w:type="pct"/>
                  <w:noWrap w:val="0"/>
                  <w:vAlign w:val="center"/>
                </w:tcPr>
                <w:p w14:paraId="17C118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6～9</w:t>
                  </w:r>
                </w:p>
              </w:tc>
              <w:tc>
                <w:tcPr>
                  <w:tcW w:w="2177" w:type="pct"/>
                  <w:vMerge w:val="restart"/>
                  <w:noWrap w:val="0"/>
                  <w:vAlign w:val="center"/>
                </w:tcPr>
                <w:p w14:paraId="76FDA5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《城镇污水处理厂污染物排放标准》（GB18918-2002）中表1一级A标准</w:t>
                  </w:r>
                </w:p>
              </w:tc>
            </w:tr>
            <w:tr w14:paraId="43754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29" w:type="pct"/>
                  <w:vMerge w:val="continue"/>
                  <w:noWrap w:val="0"/>
                  <w:vAlign w:val="center"/>
                </w:tcPr>
                <w:p w14:paraId="72A88C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c>
                <w:tcPr>
                  <w:tcW w:w="929" w:type="pct"/>
                  <w:noWrap w:val="0"/>
                  <w:vAlign w:val="center"/>
                </w:tcPr>
                <w:p w14:paraId="189D38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SS</w:t>
                  </w:r>
                </w:p>
              </w:tc>
              <w:tc>
                <w:tcPr>
                  <w:tcW w:w="963" w:type="pct"/>
                  <w:noWrap w:val="0"/>
                  <w:vAlign w:val="center"/>
                </w:tcPr>
                <w:p w14:paraId="59F685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10</w:t>
                  </w:r>
                </w:p>
              </w:tc>
              <w:tc>
                <w:tcPr>
                  <w:tcW w:w="2177" w:type="pct"/>
                  <w:vMerge w:val="continue"/>
                  <w:noWrap w:val="0"/>
                  <w:vAlign w:val="center"/>
                </w:tcPr>
                <w:p w14:paraId="3BD424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rPr>
                  </w:pPr>
                </w:p>
              </w:tc>
            </w:tr>
          </w:tbl>
          <w:p w14:paraId="0657DD49">
            <w:pPr>
              <w:pStyle w:val="25"/>
              <w:spacing w:before="0" w:beforeLines="0" w:after="0" w:afterLines="0" w:line="440" w:lineRule="exact"/>
              <w:ind w:firstLine="480"/>
              <w:rPr>
                <w:rFonts w:hint="default" w:ascii="Times New Roman" w:hAnsi="Times New Roman" w:eastAsia="宋体" w:cs="Times New Roman"/>
                <w:smallCaps w:val="0"/>
                <w:snapToGrid w:val="0"/>
                <w:color w:val="auto"/>
                <w:spacing w:val="0"/>
                <w:kern w:val="0"/>
                <w:position w:val="0"/>
              </w:rPr>
            </w:pPr>
            <w:r>
              <w:rPr>
                <w:rFonts w:hint="default" w:ascii="Times New Roman" w:hAnsi="Times New Roman" w:eastAsia="宋体" w:cs="Times New Roman"/>
                <w:b/>
                <w:bCs/>
                <w:color w:val="auto"/>
                <w:spacing w:val="0"/>
                <w:kern w:val="0"/>
                <w:sz w:val="21"/>
                <w:szCs w:val="21"/>
              </w:rPr>
              <w:t>注：[1]括号外数值为水温＞12℃时的控制指标，括号内数值为水温≤12℃时的控制指标。</w:t>
            </w:r>
          </w:p>
          <w:p w14:paraId="02C675B2">
            <w:pPr>
              <w:pStyle w:val="25"/>
              <w:keepNext w:val="0"/>
              <w:keepLines w:val="0"/>
              <w:pageBreakBefore w:val="0"/>
              <w:widowControl w:val="0"/>
              <w:tabs>
                <w:tab w:val="right" w:pos="8388"/>
              </w:tabs>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smallCaps w:val="0"/>
                <w:color w:val="auto"/>
                <w:spacing w:val="0"/>
                <w:kern w:val="0"/>
                <w:position w:val="0"/>
              </w:rPr>
            </w:pPr>
            <w:r>
              <w:rPr>
                <w:rFonts w:hint="default" w:ascii="Times New Roman" w:hAnsi="Times New Roman" w:eastAsia="宋体" w:cs="Times New Roman"/>
                <w:b/>
                <w:smallCaps w:val="0"/>
                <w:color w:val="auto"/>
                <w:spacing w:val="0"/>
                <w:kern w:val="0"/>
                <w:position w:val="0"/>
              </w:rPr>
              <w:t>2、噪声排放标准</w:t>
            </w:r>
            <w:r>
              <w:rPr>
                <w:rFonts w:hint="default" w:ascii="Times New Roman" w:hAnsi="Times New Roman" w:eastAsia="宋体" w:cs="Times New Roman"/>
                <w:b/>
                <w:smallCaps w:val="0"/>
                <w:color w:val="auto"/>
                <w:spacing w:val="0"/>
                <w:kern w:val="0"/>
                <w:position w:val="0"/>
              </w:rPr>
              <w:tab/>
            </w:r>
          </w:p>
          <w:p w14:paraId="17028FBC">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480"/>
              <w:textAlignment w:val="auto"/>
              <w:rPr>
                <w:rFonts w:hint="default" w:ascii="Times New Roman" w:hAnsi="Times New Roman" w:eastAsia="宋体" w:cs="Times New Roman"/>
                <w:smallCaps w:val="0"/>
                <w:snapToGrid w:val="0"/>
                <w:color w:val="auto"/>
                <w:spacing w:val="0"/>
                <w:kern w:val="0"/>
                <w:position w:val="0"/>
              </w:rPr>
            </w:pPr>
            <w:r>
              <w:rPr>
                <w:rFonts w:hint="default" w:ascii="Times New Roman" w:hAnsi="Times New Roman" w:eastAsia="宋体" w:cs="Times New Roman"/>
                <w:smallCaps w:val="0"/>
                <w:snapToGrid w:val="0"/>
                <w:color w:val="auto"/>
                <w:spacing w:val="0"/>
                <w:kern w:val="0"/>
                <w:position w:val="0"/>
              </w:rPr>
              <w:t>项目东、南、西、北厂界</w:t>
            </w:r>
            <w:r>
              <w:rPr>
                <w:rFonts w:hint="eastAsia" w:eastAsia="宋体" w:cs="Times New Roman"/>
                <w:smallCaps w:val="0"/>
                <w:snapToGrid w:val="0"/>
                <w:color w:val="auto"/>
                <w:spacing w:val="0"/>
                <w:kern w:val="0"/>
                <w:position w:val="0"/>
                <w:lang w:val="en-US" w:eastAsia="zh-CN"/>
              </w:rPr>
              <w:t>昼间</w:t>
            </w:r>
            <w:r>
              <w:rPr>
                <w:rFonts w:hint="default" w:ascii="Times New Roman" w:hAnsi="Times New Roman" w:eastAsia="宋体" w:cs="Times New Roman"/>
                <w:smallCaps w:val="0"/>
                <w:snapToGrid w:val="0"/>
                <w:color w:val="auto"/>
                <w:spacing w:val="0"/>
                <w:kern w:val="0"/>
                <w:position w:val="0"/>
              </w:rPr>
              <w:t>噪声执行《工业企业厂界环境噪声排放标准》（GB12348-2008）</w:t>
            </w:r>
            <w:r>
              <w:rPr>
                <w:rFonts w:hint="default" w:ascii="Times New Roman" w:hAnsi="Times New Roman" w:eastAsia="宋体" w:cs="Times New Roman"/>
                <w:smallCaps w:val="0"/>
                <w:snapToGrid w:val="0"/>
                <w:color w:val="auto"/>
                <w:spacing w:val="0"/>
                <w:kern w:val="0"/>
                <w:position w:val="0"/>
                <w:lang w:val="en-US" w:eastAsia="zh-CN"/>
              </w:rPr>
              <w:t>2</w:t>
            </w:r>
            <w:r>
              <w:rPr>
                <w:rFonts w:hint="default" w:ascii="Times New Roman" w:hAnsi="Times New Roman" w:eastAsia="宋体" w:cs="Times New Roman"/>
                <w:smallCaps w:val="0"/>
                <w:snapToGrid w:val="0"/>
                <w:color w:val="auto"/>
                <w:spacing w:val="0"/>
                <w:kern w:val="0"/>
                <w:position w:val="0"/>
              </w:rPr>
              <w:t>类标准。</w:t>
            </w:r>
          </w:p>
          <w:p w14:paraId="2D839DA9">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baseline"/>
              <w:rPr>
                <w:rFonts w:hint="default" w:ascii="Times New Roman" w:hAnsi="Times New Roman" w:eastAsia="宋体" w:cs="Times New Roman"/>
                <w:smallCaps w:val="0"/>
                <w:color w:val="auto"/>
                <w:spacing w:val="0"/>
                <w:kern w:val="0"/>
                <w:position w:val="0"/>
                <w:sz w:val="21"/>
                <w:szCs w:val="21"/>
              </w:rPr>
            </w:pPr>
            <w:bookmarkStart w:id="2" w:name="_Ref475624740"/>
            <w:r>
              <w:rPr>
                <w:rFonts w:hint="default" w:ascii="Times New Roman" w:hAnsi="Times New Roman" w:eastAsia="宋体" w:cs="Times New Roman"/>
                <w:smallCaps w:val="0"/>
                <w:color w:val="auto"/>
                <w:spacing w:val="0"/>
                <w:kern w:val="0"/>
                <w:position w:val="0"/>
                <w:sz w:val="21"/>
                <w:szCs w:val="21"/>
              </w:rPr>
              <w:t>表</w:t>
            </w:r>
            <w:bookmarkEnd w:id="2"/>
            <w:r>
              <w:rPr>
                <w:rFonts w:hint="default" w:ascii="Times New Roman" w:hAnsi="Times New Roman" w:eastAsia="宋体" w:cs="Times New Roman"/>
                <w:smallCaps w:val="0"/>
                <w:color w:val="auto"/>
                <w:spacing w:val="0"/>
                <w:kern w:val="0"/>
                <w:position w:val="0"/>
                <w:sz w:val="21"/>
                <w:szCs w:val="21"/>
              </w:rPr>
              <w:t>3-</w:t>
            </w:r>
            <w:r>
              <w:rPr>
                <w:rFonts w:hint="default" w:ascii="Times New Roman" w:hAnsi="Times New Roman" w:eastAsia="宋体" w:cs="Times New Roman"/>
                <w:smallCaps w:val="0"/>
                <w:color w:val="auto"/>
                <w:spacing w:val="0"/>
                <w:kern w:val="0"/>
                <w:position w:val="0"/>
                <w:sz w:val="21"/>
                <w:szCs w:val="21"/>
                <w:lang w:val="en-US" w:eastAsia="zh-CN"/>
              </w:rPr>
              <w:t>1</w:t>
            </w:r>
            <w:r>
              <w:rPr>
                <w:rFonts w:hint="eastAsia" w:cs="Times New Roman"/>
                <w:smallCaps w:val="0"/>
                <w:color w:val="auto"/>
                <w:spacing w:val="0"/>
                <w:kern w:val="0"/>
                <w:position w:val="0"/>
                <w:sz w:val="21"/>
                <w:szCs w:val="21"/>
                <w:lang w:val="en-US" w:eastAsia="zh-CN"/>
              </w:rPr>
              <w:t>0</w:t>
            </w:r>
            <w:r>
              <w:rPr>
                <w:rFonts w:hint="default" w:ascii="Times New Roman" w:hAnsi="Times New Roman" w:eastAsia="宋体" w:cs="Times New Roman"/>
                <w:smallCaps w:val="0"/>
                <w:color w:val="auto"/>
                <w:spacing w:val="0"/>
                <w:kern w:val="0"/>
                <w:position w:val="0"/>
                <w:sz w:val="21"/>
                <w:szCs w:val="21"/>
              </w:rPr>
              <w:t>工业企业厂界环境噪声排放标准单位：dB（A）</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64"/>
              <w:gridCol w:w="1586"/>
              <w:gridCol w:w="5438"/>
            </w:tblGrid>
            <w:tr w14:paraId="3081AB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813" w:type="pct"/>
                  <w:noWrap w:val="0"/>
                  <w:vAlign w:val="center"/>
                </w:tcPr>
                <w:p w14:paraId="4D5C2859">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类别</w:t>
                  </w:r>
                </w:p>
              </w:tc>
              <w:tc>
                <w:tcPr>
                  <w:tcW w:w="945" w:type="pct"/>
                  <w:noWrap w:val="0"/>
                  <w:vAlign w:val="center"/>
                </w:tcPr>
                <w:p w14:paraId="30B4BA92">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标准值</w:t>
                  </w:r>
                  <w:r>
                    <w:rPr>
                      <w:rFonts w:hint="default" w:ascii="Times New Roman" w:hAnsi="Times New Roman" w:eastAsia="宋体" w:cs="Times New Roman"/>
                      <w:b/>
                      <w:smallCaps w:val="0"/>
                      <w:color w:val="auto"/>
                      <w:spacing w:val="0"/>
                      <w:kern w:val="0"/>
                      <w:position w:val="0"/>
                      <w:szCs w:val="21"/>
                      <w:lang w:eastAsia="zh-CN"/>
                    </w:rPr>
                    <w:t>（</w:t>
                  </w:r>
                  <w:r>
                    <w:rPr>
                      <w:rFonts w:hint="default" w:ascii="Times New Roman" w:hAnsi="Times New Roman" w:eastAsia="宋体" w:cs="Times New Roman"/>
                      <w:b/>
                      <w:smallCaps w:val="0"/>
                      <w:color w:val="auto"/>
                      <w:spacing w:val="0"/>
                      <w:kern w:val="0"/>
                      <w:position w:val="0"/>
                      <w:szCs w:val="21"/>
                    </w:rPr>
                    <w:t>昼间</w:t>
                  </w:r>
                  <w:r>
                    <w:rPr>
                      <w:rFonts w:hint="default" w:ascii="Times New Roman" w:hAnsi="Times New Roman" w:eastAsia="宋体" w:cs="Times New Roman"/>
                      <w:b/>
                      <w:smallCaps w:val="0"/>
                      <w:color w:val="auto"/>
                      <w:spacing w:val="0"/>
                      <w:kern w:val="0"/>
                      <w:position w:val="0"/>
                      <w:szCs w:val="21"/>
                      <w:lang w:eastAsia="zh-CN"/>
                    </w:rPr>
                    <w:t>）</w:t>
                  </w:r>
                </w:p>
              </w:tc>
              <w:tc>
                <w:tcPr>
                  <w:tcW w:w="3241" w:type="pct"/>
                  <w:noWrap w:val="0"/>
                  <w:vAlign w:val="center"/>
                </w:tcPr>
                <w:p w14:paraId="3C388844">
                  <w:pPr>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标准来源</w:t>
                  </w:r>
                </w:p>
              </w:tc>
            </w:tr>
            <w:tr w14:paraId="30B388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3" w:type="pct"/>
                  <w:noWrap w:val="0"/>
                  <w:vAlign w:val="center"/>
                </w:tcPr>
                <w:p w14:paraId="31D0DC26">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四周厂界</w:t>
                  </w:r>
                </w:p>
              </w:tc>
              <w:tc>
                <w:tcPr>
                  <w:tcW w:w="945" w:type="pct"/>
                  <w:noWrap w:val="0"/>
                  <w:vAlign w:val="center"/>
                </w:tcPr>
                <w:p w14:paraId="097B2563">
                  <w:pPr>
                    <w:spacing w:line="24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rPr>
                    <w:t>6</w:t>
                  </w:r>
                  <w:r>
                    <w:rPr>
                      <w:rFonts w:hint="default" w:ascii="Times New Roman" w:hAnsi="Times New Roman" w:eastAsia="宋体" w:cs="Times New Roman"/>
                      <w:smallCaps w:val="0"/>
                      <w:color w:val="auto"/>
                      <w:spacing w:val="0"/>
                      <w:kern w:val="0"/>
                      <w:position w:val="0"/>
                      <w:szCs w:val="21"/>
                      <w:lang w:val="en-US" w:eastAsia="zh-CN"/>
                    </w:rPr>
                    <w:t>0</w:t>
                  </w:r>
                </w:p>
              </w:tc>
              <w:tc>
                <w:tcPr>
                  <w:tcW w:w="3241" w:type="pct"/>
                  <w:noWrap w:val="0"/>
                  <w:vAlign w:val="center"/>
                </w:tcPr>
                <w:p w14:paraId="0B95F3EB">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《工业企业厂界环境噪声排放标准》（GB12348-2008）</w:t>
                  </w:r>
                  <w:r>
                    <w:rPr>
                      <w:rFonts w:hint="default" w:ascii="Times New Roman" w:hAnsi="Times New Roman" w:eastAsia="宋体" w:cs="Times New Roman"/>
                      <w:smallCaps w:val="0"/>
                      <w:color w:val="auto"/>
                      <w:spacing w:val="0"/>
                      <w:kern w:val="0"/>
                      <w:position w:val="0"/>
                      <w:szCs w:val="21"/>
                      <w:lang w:val="en-US" w:eastAsia="zh-CN"/>
                    </w:rPr>
                    <w:t>2</w:t>
                  </w:r>
                  <w:r>
                    <w:rPr>
                      <w:rFonts w:hint="default" w:ascii="Times New Roman" w:hAnsi="Times New Roman" w:eastAsia="宋体" w:cs="Times New Roman"/>
                      <w:smallCaps w:val="0"/>
                      <w:color w:val="auto"/>
                      <w:spacing w:val="0"/>
                      <w:kern w:val="0"/>
                      <w:position w:val="0"/>
                      <w:szCs w:val="21"/>
                    </w:rPr>
                    <w:t>类</w:t>
                  </w:r>
                </w:p>
              </w:tc>
            </w:tr>
          </w:tbl>
          <w:p w14:paraId="59DDCA8E">
            <w:pPr>
              <w:pStyle w:val="25"/>
              <w:keepNext w:val="0"/>
              <w:keepLines w:val="0"/>
              <w:pageBreakBefore w:val="0"/>
              <w:widowControl w:val="0"/>
              <w:tabs>
                <w:tab w:val="right" w:pos="8388"/>
              </w:tabs>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lang w:val="en-US" w:eastAsia="zh-CN"/>
              </w:rPr>
              <w:t>3、废气</w:t>
            </w:r>
            <w:r>
              <w:rPr>
                <w:rFonts w:hint="default" w:ascii="Times New Roman" w:hAnsi="Times New Roman" w:eastAsia="宋体" w:cs="Times New Roman"/>
                <w:b/>
                <w:bCs/>
                <w:smallCaps w:val="0"/>
                <w:color w:val="auto"/>
                <w:spacing w:val="0"/>
                <w:kern w:val="0"/>
                <w:position w:val="0"/>
              </w:rPr>
              <w:t>排放标准</w:t>
            </w:r>
          </w:p>
          <w:p w14:paraId="5FDEE658">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bCs/>
                <w:smallCaps w:val="0"/>
                <w:snapToGrid w:val="0"/>
                <w:color w:val="auto"/>
                <w:spacing w:val="0"/>
                <w:kern w:val="0"/>
                <w:position w:val="0"/>
              </w:rPr>
            </w:pPr>
            <w:r>
              <w:rPr>
                <w:rFonts w:hint="default" w:ascii="Times New Roman" w:hAnsi="Times New Roman" w:eastAsia="宋体" w:cs="Times New Roman"/>
                <w:bCs/>
                <w:smallCaps w:val="0"/>
                <w:snapToGrid w:val="0"/>
                <w:color w:val="auto"/>
                <w:spacing w:val="0"/>
                <w:kern w:val="0"/>
                <w:position w:val="0"/>
              </w:rPr>
              <w:t>颗粒物、非甲烷总烃厂界无组织排放执行《大气污染物综合排放标准》（DB32/4041-2021）中表3标准限值；厂区内无组织排放的非甲烷总烃执</w:t>
            </w:r>
            <w:r>
              <w:rPr>
                <w:rFonts w:hint="eastAsia" w:eastAsia="宋体" w:cs="Times New Roman"/>
                <w:bCs/>
                <w:smallCaps w:val="0"/>
                <w:snapToGrid w:val="0"/>
                <w:color w:val="auto"/>
                <w:spacing w:val="0"/>
                <w:kern w:val="0"/>
                <w:position w:val="0"/>
                <w:lang w:eastAsia="zh-CN"/>
              </w:rPr>
              <w:t>《</w:t>
            </w:r>
            <w:r>
              <w:rPr>
                <w:rFonts w:hint="default" w:ascii="Times New Roman" w:hAnsi="Times New Roman" w:eastAsia="宋体" w:cs="Times New Roman"/>
                <w:bCs/>
                <w:smallCaps w:val="0"/>
                <w:snapToGrid w:val="0"/>
                <w:color w:val="auto"/>
                <w:spacing w:val="0"/>
                <w:kern w:val="0"/>
                <w:position w:val="0"/>
              </w:rPr>
              <w:t>印刷工业大气污染物排放标准</w:t>
            </w:r>
            <w:r>
              <w:rPr>
                <w:rFonts w:hint="eastAsia" w:eastAsia="宋体" w:cs="Times New Roman"/>
                <w:bCs/>
                <w:smallCaps w:val="0"/>
                <w:snapToGrid w:val="0"/>
                <w:color w:val="auto"/>
                <w:spacing w:val="0"/>
                <w:kern w:val="0"/>
                <w:position w:val="0"/>
                <w:lang w:eastAsia="zh-CN"/>
              </w:rPr>
              <w:t>》</w:t>
            </w:r>
            <w:r>
              <w:rPr>
                <w:rFonts w:hint="default" w:ascii="Times New Roman" w:hAnsi="Times New Roman" w:eastAsia="宋体" w:cs="Times New Roman"/>
                <w:bCs/>
                <w:smallCaps w:val="0"/>
                <w:snapToGrid w:val="0"/>
                <w:color w:val="auto"/>
                <w:spacing w:val="0"/>
                <w:kern w:val="0"/>
                <w:position w:val="0"/>
              </w:rPr>
              <w:t>（DB32/4438-2022）中表</w:t>
            </w:r>
            <w:r>
              <w:rPr>
                <w:rFonts w:hint="eastAsia" w:eastAsia="宋体" w:cs="Times New Roman"/>
                <w:bCs/>
                <w:smallCaps w:val="0"/>
                <w:snapToGrid w:val="0"/>
                <w:color w:val="auto"/>
                <w:spacing w:val="0"/>
                <w:kern w:val="0"/>
                <w:position w:val="0"/>
                <w:lang w:val="en-US" w:eastAsia="zh-CN"/>
              </w:rPr>
              <w:t>3</w:t>
            </w:r>
            <w:r>
              <w:rPr>
                <w:rFonts w:hint="default" w:ascii="Times New Roman" w:hAnsi="Times New Roman" w:eastAsia="宋体" w:cs="Times New Roman"/>
                <w:bCs/>
                <w:smallCaps w:val="0"/>
                <w:snapToGrid w:val="0"/>
                <w:color w:val="auto"/>
                <w:spacing w:val="0"/>
                <w:kern w:val="0"/>
                <w:position w:val="0"/>
              </w:rPr>
              <w:t>标准限值。</w:t>
            </w:r>
          </w:p>
          <w:p w14:paraId="5674D032">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baseline"/>
              <w:outlineLvl w:val="9"/>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表3-1</w:t>
            </w:r>
            <w:r>
              <w:rPr>
                <w:rFonts w:hint="eastAsia" w:cs="Times New Roman"/>
                <w:b/>
                <w:bCs w:val="0"/>
                <w:smallCaps w:val="0"/>
                <w:color w:val="auto"/>
                <w:spacing w:val="0"/>
                <w:kern w:val="0"/>
                <w:position w:val="0"/>
                <w:sz w:val="21"/>
                <w:szCs w:val="21"/>
                <w:lang w:val="en-US" w:eastAsia="zh-CN"/>
              </w:rPr>
              <w:t>1</w:t>
            </w:r>
            <w:r>
              <w:rPr>
                <w:rFonts w:hint="default" w:ascii="Times New Roman" w:hAnsi="Times New Roman" w:eastAsia="宋体" w:cs="Times New Roman"/>
                <w:b/>
                <w:bCs w:val="0"/>
                <w:smallCaps w:val="0"/>
                <w:color w:val="auto"/>
                <w:spacing w:val="0"/>
                <w:kern w:val="0"/>
                <w:position w:val="0"/>
                <w:sz w:val="21"/>
                <w:szCs w:val="21"/>
                <w:lang w:val="en-US" w:eastAsia="zh-CN"/>
              </w:rPr>
              <w:t>大气无组织污染物排放限值</w:t>
            </w:r>
          </w:p>
          <w:tbl>
            <w:tblPr>
              <w:tblStyle w:val="17"/>
              <w:tblW w:w="4982" w:type="pct"/>
              <w:jc w:val="center"/>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748"/>
              <w:gridCol w:w="1925"/>
              <w:gridCol w:w="1305"/>
              <w:gridCol w:w="3375"/>
            </w:tblGrid>
            <w:tr w14:paraId="421FFBD2">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restart"/>
                  <w:tcBorders>
                    <w:tl2br w:val="nil"/>
                    <w:tr2bl w:val="nil"/>
                  </w:tcBorders>
                  <w:noWrap w:val="0"/>
                  <w:vAlign w:val="center"/>
                </w:tcPr>
                <w:p w14:paraId="5E123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污染物</w:t>
                  </w:r>
                </w:p>
              </w:tc>
              <w:tc>
                <w:tcPr>
                  <w:tcW w:w="1933" w:type="pct"/>
                  <w:gridSpan w:val="2"/>
                  <w:tcBorders>
                    <w:tl2br w:val="nil"/>
                    <w:tr2bl w:val="nil"/>
                  </w:tcBorders>
                  <w:noWrap w:val="0"/>
                  <w:tcMar>
                    <w:left w:w="0" w:type="dxa"/>
                    <w:right w:w="0" w:type="dxa"/>
                  </w:tcMar>
                  <w:vAlign w:val="center"/>
                </w:tcPr>
                <w:p w14:paraId="6DE840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无组织排放监控浓度限值</w:t>
                  </w:r>
                </w:p>
              </w:tc>
              <w:tc>
                <w:tcPr>
                  <w:tcW w:w="2019" w:type="pct"/>
                  <w:vMerge w:val="restart"/>
                  <w:tcBorders>
                    <w:tl2br w:val="nil"/>
                    <w:tr2bl w:val="nil"/>
                  </w:tcBorders>
                  <w:noWrap w:val="0"/>
                  <w:tcMar>
                    <w:left w:w="0" w:type="dxa"/>
                    <w:right w:w="0" w:type="dxa"/>
                  </w:tcMar>
                  <w:vAlign w:val="center"/>
                </w:tcPr>
                <w:p w14:paraId="77809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排放标准</w:t>
                  </w:r>
                </w:p>
              </w:tc>
            </w:tr>
            <w:tr w14:paraId="6B121517">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vMerge w:val="continue"/>
                  <w:tcBorders>
                    <w:tl2br w:val="nil"/>
                    <w:tr2bl w:val="nil"/>
                  </w:tcBorders>
                  <w:noWrap w:val="0"/>
                  <w:vAlign w:val="center"/>
                </w:tcPr>
                <w:p w14:paraId="352D2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p>
              </w:tc>
              <w:tc>
                <w:tcPr>
                  <w:tcW w:w="1152" w:type="pct"/>
                  <w:tcBorders>
                    <w:tl2br w:val="nil"/>
                    <w:tr2bl w:val="nil"/>
                  </w:tcBorders>
                  <w:noWrap w:val="0"/>
                  <w:vAlign w:val="center"/>
                </w:tcPr>
                <w:p w14:paraId="66F414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监控点</w:t>
                  </w:r>
                </w:p>
              </w:tc>
              <w:tc>
                <w:tcPr>
                  <w:tcW w:w="781" w:type="pct"/>
                  <w:tcBorders>
                    <w:tl2br w:val="nil"/>
                    <w:tr2bl w:val="nil"/>
                  </w:tcBorders>
                  <w:noWrap w:val="0"/>
                  <w:vAlign w:val="center"/>
                </w:tcPr>
                <w:p w14:paraId="49AE01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浓度mg/m</w:t>
                  </w:r>
                  <w:r>
                    <w:rPr>
                      <w:rFonts w:hint="default" w:ascii="Times New Roman" w:hAnsi="Times New Roman" w:eastAsia="宋体" w:cs="Times New Roman"/>
                      <w:color w:val="auto"/>
                      <w:spacing w:val="0"/>
                      <w:kern w:val="0"/>
                      <w:sz w:val="21"/>
                      <w:szCs w:val="21"/>
                      <w:vertAlign w:val="superscript"/>
                    </w:rPr>
                    <w:t>3</w:t>
                  </w:r>
                </w:p>
              </w:tc>
              <w:tc>
                <w:tcPr>
                  <w:tcW w:w="2019" w:type="pct"/>
                  <w:vMerge w:val="continue"/>
                  <w:tcBorders>
                    <w:tl2br w:val="nil"/>
                    <w:tr2bl w:val="nil"/>
                  </w:tcBorders>
                  <w:noWrap w:val="0"/>
                  <w:vAlign w:val="center"/>
                </w:tcPr>
                <w:p w14:paraId="1BCBF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p>
              </w:tc>
            </w:tr>
            <w:tr w14:paraId="3654D26C">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tcBorders>
                    <w:tl2br w:val="nil"/>
                    <w:tr2bl w:val="nil"/>
                  </w:tcBorders>
                  <w:noWrap w:val="0"/>
                  <w:vAlign w:val="center"/>
                </w:tcPr>
                <w:p w14:paraId="2AEF0B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颗粒物</w:t>
                  </w:r>
                </w:p>
              </w:tc>
              <w:tc>
                <w:tcPr>
                  <w:tcW w:w="1152" w:type="pct"/>
                  <w:vMerge w:val="restart"/>
                  <w:tcBorders>
                    <w:tl2br w:val="nil"/>
                    <w:tr2bl w:val="nil"/>
                  </w:tcBorders>
                  <w:noWrap w:val="0"/>
                  <w:vAlign w:val="center"/>
                </w:tcPr>
                <w:p w14:paraId="77040778">
                  <w:pPr>
                    <w:pStyle w:val="55"/>
                    <w:keepNext w:val="0"/>
                    <w:keepLines w:val="0"/>
                    <w:pageBreakBefore w:val="0"/>
                    <w:widowControl w:val="0"/>
                    <w:pBdr>
                      <w:bottom w:val="none" w:color="auto" w:sz="0" w:space="0"/>
                    </w:pBdr>
                    <w:kinsoku/>
                    <w:wordWrap/>
                    <w:overflowPunct/>
                    <w:topLinePunct w:val="0"/>
                    <w:autoSpaceDE/>
                    <w:autoSpaceDN/>
                    <w:bidi w:val="0"/>
                    <w:adjustRightInd w:val="0"/>
                    <w:snapToGrid w:val="0"/>
                    <w:spacing w:before="0" w:after="0" w:line="240" w:lineRule="auto"/>
                    <w:ind w:firstLine="0" w:firstLineChars="0"/>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边界外浓度最高点</w:t>
                  </w:r>
                </w:p>
              </w:tc>
              <w:tc>
                <w:tcPr>
                  <w:tcW w:w="781" w:type="pct"/>
                  <w:tcBorders>
                    <w:tl2br w:val="nil"/>
                    <w:tr2bl w:val="nil"/>
                  </w:tcBorders>
                  <w:noWrap w:val="0"/>
                  <w:vAlign w:val="center"/>
                </w:tcPr>
                <w:p w14:paraId="336218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0.5</w:t>
                  </w:r>
                </w:p>
              </w:tc>
              <w:tc>
                <w:tcPr>
                  <w:tcW w:w="2019" w:type="pct"/>
                  <w:vMerge w:val="restart"/>
                  <w:tcBorders>
                    <w:tl2br w:val="nil"/>
                    <w:tr2bl w:val="nil"/>
                  </w:tcBorders>
                  <w:noWrap w:val="0"/>
                  <w:vAlign w:val="center"/>
                </w:tcPr>
                <w:p w14:paraId="7F78D2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《大气污染物综合排放标准》（DB32/4041-2021）表</w:t>
                  </w:r>
                  <w:r>
                    <w:rPr>
                      <w:rFonts w:hint="default" w:ascii="Times New Roman" w:hAnsi="Times New Roman" w:eastAsia="宋体" w:cs="Times New Roman"/>
                      <w:color w:val="auto"/>
                      <w:spacing w:val="0"/>
                      <w:kern w:val="0"/>
                      <w:sz w:val="21"/>
                      <w:szCs w:val="21"/>
                      <w:lang w:val="en-US" w:eastAsia="zh-CN"/>
                    </w:rPr>
                    <w:t>3中的标准</w:t>
                  </w:r>
                </w:p>
              </w:tc>
            </w:tr>
            <w:tr w14:paraId="01CFDC72">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6" w:type="pct"/>
                  <w:tcBorders>
                    <w:tl2br w:val="nil"/>
                    <w:tr2bl w:val="nil"/>
                  </w:tcBorders>
                  <w:noWrap w:val="0"/>
                  <w:vAlign w:val="center"/>
                </w:tcPr>
                <w:p w14:paraId="66F7BF7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152" w:type="pct"/>
                  <w:vMerge w:val="continue"/>
                  <w:tcBorders>
                    <w:tl2br w:val="nil"/>
                    <w:tr2bl w:val="nil"/>
                  </w:tcBorders>
                  <w:noWrap w:val="0"/>
                  <w:vAlign w:val="center"/>
                </w:tcPr>
                <w:p w14:paraId="5F16A519">
                  <w:pPr>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781" w:type="pct"/>
                  <w:tcBorders>
                    <w:tl2br w:val="nil"/>
                    <w:tr2bl w:val="nil"/>
                  </w:tcBorders>
                  <w:noWrap w:val="0"/>
                  <w:vAlign w:val="center"/>
                </w:tcPr>
                <w:p w14:paraId="4340CA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4</w:t>
                  </w:r>
                </w:p>
              </w:tc>
              <w:tc>
                <w:tcPr>
                  <w:tcW w:w="2019" w:type="pct"/>
                  <w:vMerge w:val="continue"/>
                  <w:tcBorders>
                    <w:tl2br w:val="nil"/>
                    <w:tr2bl w:val="nil"/>
                  </w:tcBorders>
                  <w:noWrap w:val="0"/>
                  <w:vAlign w:val="center"/>
                </w:tcPr>
                <w:p w14:paraId="0BF7F6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p>
              </w:tc>
            </w:tr>
          </w:tbl>
          <w:p w14:paraId="3D22F984">
            <w:pPr>
              <w:pStyle w:val="38"/>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baseline"/>
              <w:outlineLvl w:val="9"/>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表3-1</w:t>
            </w:r>
            <w:r>
              <w:rPr>
                <w:rFonts w:hint="eastAsia" w:cs="Times New Roman"/>
                <w:b/>
                <w:bCs w:val="0"/>
                <w:smallCaps w:val="0"/>
                <w:color w:val="auto"/>
                <w:spacing w:val="0"/>
                <w:kern w:val="0"/>
                <w:position w:val="0"/>
                <w:sz w:val="21"/>
                <w:szCs w:val="21"/>
                <w:lang w:val="en-US" w:eastAsia="zh-CN"/>
              </w:rPr>
              <w:t>2</w:t>
            </w:r>
            <w:r>
              <w:rPr>
                <w:rFonts w:hint="default" w:ascii="Times New Roman" w:hAnsi="Times New Roman" w:eastAsia="宋体" w:cs="Times New Roman"/>
                <w:b/>
                <w:bCs w:val="0"/>
                <w:smallCaps w:val="0"/>
                <w:color w:val="auto"/>
                <w:spacing w:val="0"/>
                <w:kern w:val="0"/>
                <w:position w:val="0"/>
                <w:sz w:val="21"/>
                <w:szCs w:val="21"/>
                <w:lang w:val="en-US" w:eastAsia="zh-CN"/>
              </w:rPr>
              <w:t>厂区内非甲烷总烃无组织排放限值</w:t>
            </w:r>
          </w:p>
          <w:tbl>
            <w:tblPr>
              <w:tblStyle w:val="17"/>
              <w:tblW w:w="4988" w:type="pct"/>
              <w:jc w:val="center"/>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285"/>
              <w:gridCol w:w="2556"/>
              <w:gridCol w:w="693"/>
              <w:gridCol w:w="2749"/>
            </w:tblGrid>
            <w:tr w14:paraId="468B0712">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Merge w:val="restart"/>
                  <w:tcBorders>
                    <w:tl2br w:val="nil"/>
                    <w:tr2bl w:val="nil"/>
                  </w:tcBorders>
                  <w:noWrap w:val="0"/>
                  <w:vAlign w:val="center"/>
                </w:tcPr>
                <w:p w14:paraId="1DBBC6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污染物</w:t>
                  </w:r>
                </w:p>
              </w:tc>
              <w:tc>
                <w:tcPr>
                  <w:tcW w:w="2710" w:type="pct"/>
                  <w:gridSpan w:val="3"/>
                  <w:tcBorders>
                    <w:tl2br w:val="nil"/>
                    <w:tr2bl w:val="nil"/>
                  </w:tcBorders>
                  <w:noWrap w:val="0"/>
                  <w:tcMar>
                    <w:left w:w="0" w:type="dxa"/>
                    <w:right w:w="0" w:type="dxa"/>
                  </w:tcMar>
                  <w:vAlign w:val="center"/>
                </w:tcPr>
                <w:p w14:paraId="6E0DE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无组织排放监控浓度限值</w:t>
                  </w:r>
                </w:p>
              </w:tc>
              <w:tc>
                <w:tcPr>
                  <w:tcW w:w="1643" w:type="pct"/>
                  <w:vMerge w:val="restart"/>
                  <w:tcBorders>
                    <w:tl2br w:val="nil"/>
                    <w:tr2bl w:val="nil"/>
                  </w:tcBorders>
                  <w:noWrap w:val="0"/>
                  <w:tcMar>
                    <w:left w:w="0" w:type="dxa"/>
                    <w:right w:w="0" w:type="dxa"/>
                  </w:tcMar>
                  <w:vAlign w:val="center"/>
                </w:tcPr>
                <w:p w14:paraId="60F2E9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lang w:val="en-US" w:eastAsia="zh-CN"/>
                    </w:rPr>
                    <w:t>排放标准</w:t>
                  </w:r>
                </w:p>
              </w:tc>
            </w:tr>
            <w:tr w14:paraId="3F04602E">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pct"/>
                  <w:vMerge w:val="continue"/>
                  <w:tcBorders>
                    <w:tl2br w:val="nil"/>
                    <w:tr2bl w:val="nil"/>
                  </w:tcBorders>
                  <w:noWrap w:val="0"/>
                  <w:vAlign w:val="center"/>
                </w:tcPr>
                <w:p w14:paraId="065B0E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p>
              </w:tc>
              <w:tc>
                <w:tcPr>
                  <w:tcW w:w="768" w:type="pct"/>
                  <w:tcBorders>
                    <w:tl2br w:val="nil"/>
                    <w:tr2bl w:val="nil"/>
                  </w:tcBorders>
                  <w:noWrap w:val="0"/>
                  <w:vAlign w:val="center"/>
                </w:tcPr>
                <w:p w14:paraId="162B6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监控点</w:t>
                  </w:r>
                </w:p>
              </w:tc>
              <w:tc>
                <w:tcPr>
                  <w:tcW w:w="1942" w:type="pct"/>
                  <w:gridSpan w:val="2"/>
                  <w:tcBorders>
                    <w:tl2br w:val="nil"/>
                    <w:tr2bl w:val="nil"/>
                  </w:tcBorders>
                  <w:noWrap w:val="0"/>
                  <w:vAlign w:val="center"/>
                </w:tcPr>
                <w:p w14:paraId="37AB20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r>
                    <w:rPr>
                      <w:rFonts w:hint="default" w:ascii="Times New Roman" w:hAnsi="Times New Roman" w:eastAsia="宋体" w:cs="Times New Roman"/>
                      <w:color w:val="auto"/>
                      <w:spacing w:val="0"/>
                      <w:kern w:val="0"/>
                      <w:sz w:val="21"/>
                      <w:szCs w:val="21"/>
                    </w:rPr>
                    <w:t>浓度mg/m</w:t>
                  </w:r>
                  <w:r>
                    <w:rPr>
                      <w:rFonts w:hint="default" w:ascii="Times New Roman" w:hAnsi="Times New Roman" w:eastAsia="宋体" w:cs="Times New Roman"/>
                      <w:color w:val="auto"/>
                      <w:spacing w:val="0"/>
                      <w:kern w:val="0"/>
                      <w:sz w:val="21"/>
                      <w:szCs w:val="21"/>
                      <w:vertAlign w:val="superscript"/>
                    </w:rPr>
                    <w:t>3</w:t>
                  </w:r>
                </w:p>
              </w:tc>
              <w:tc>
                <w:tcPr>
                  <w:tcW w:w="1643" w:type="pct"/>
                  <w:vMerge w:val="continue"/>
                  <w:tcBorders>
                    <w:tl2br w:val="nil"/>
                    <w:tr2bl w:val="nil"/>
                  </w:tcBorders>
                  <w:noWrap w:val="0"/>
                  <w:vAlign w:val="center"/>
                </w:tcPr>
                <w:p w14:paraId="723D5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rPr>
                  </w:pPr>
                </w:p>
              </w:tc>
            </w:tr>
            <w:tr w14:paraId="37E94D6E">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6" w:type="pct"/>
                  <w:vMerge w:val="restart"/>
                  <w:tcBorders>
                    <w:tl2br w:val="nil"/>
                    <w:tr2bl w:val="nil"/>
                  </w:tcBorders>
                  <w:noWrap w:val="0"/>
                  <w:vAlign w:val="center"/>
                </w:tcPr>
                <w:p w14:paraId="39DBD84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zh-CN"/>
                    </w:rPr>
                    <w:t>非甲烷总烃</w:t>
                  </w:r>
                </w:p>
              </w:tc>
              <w:tc>
                <w:tcPr>
                  <w:tcW w:w="768" w:type="pct"/>
                  <w:vMerge w:val="restart"/>
                  <w:tcBorders>
                    <w:tl2br w:val="nil"/>
                    <w:tr2bl w:val="nil"/>
                  </w:tcBorders>
                  <w:noWrap w:val="0"/>
                  <w:vAlign w:val="center"/>
                </w:tcPr>
                <w:p w14:paraId="77B6673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在厂房外设置监控点</w:t>
                  </w:r>
                </w:p>
              </w:tc>
              <w:tc>
                <w:tcPr>
                  <w:tcW w:w="1528" w:type="pct"/>
                  <w:tcBorders>
                    <w:tl2br w:val="nil"/>
                    <w:tr2bl w:val="nil"/>
                  </w:tcBorders>
                  <w:noWrap w:val="0"/>
                  <w:vAlign w:val="center"/>
                </w:tcPr>
                <w:p w14:paraId="0538A85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监控点处1h平均浓度值</w:t>
                  </w:r>
                </w:p>
              </w:tc>
              <w:tc>
                <w:tcPr>
                  <w:tcW w:w="413" w:type="pct"/>
                  <w:tcBorders>
                    <w:tl2br w:val="nil"/>
                    <w:tr2bl w:val="nil"/>
                  </w:tcBorders>
                  <w:noWrap w:val="0"/>
                  <w:vAlign w:val="center"/>
                </w:tcPr>
                <w:p w14:paraId="5AB397F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643" w:type="pct"/>
                  <w:vMerge w:val="restart"/>
                  <w:tcBorders>
                    <w:tl2br w:val="nil"/>
                    <w:tr2bl w:val="nil"/>
                  </w:tcBorders>
                  <w:noWrap w:val="0"/>
                  <w:vAlign w:val="center"/>
                </w:tcPr>
                <w:p w14:paraId="47E4321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印刷工业大气污染物排放标准（DB32/4438-2022）</w:t>
                  </w:r>
                </w:p>
              </w:tc>
            </w:tr>
            <w:tr w14:paraId="2928D904">
              <w:tblPrEx>
                <w:tblBorders>
                  <w:top w:val="single" w:color="auto" w:sz="12" w:space="0"/>
                  <w:left w:val="dotted" w:color="auto" w:sz="2" w:space="0"/>
                  <w:bottom w:val="single" w:color="auto" w:sz="12" w:space="0"/>
                  <w:right w:val="dotted" w:color="auto" w:sz="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6" w:type="pct"/>
                  <w:vMerge w:val="continue"/>
                  <w:tcBorders>
                    <w:tl2br w:val="nil"/>
                    <w:tr2bl w:val="nil"/>
                  </w:tcBorders>
                  <w:noWrap w:val="0"/>
                  <w:vAlign w:val="center"/>
                </w:tcPr>
                <w:p w14:paraId="737C44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768" w:type="pct"/>
                  <w:vMerge w:val="continue"/>
                  <w:tcBorders>
                    <w:tl2br w:val="nil"/>
                    <w:tr2bl w:val="nil"/>
                  </w:tcBorders>
                  <w:noWrap w:val="0"/>
                  <w:vAlign w:val="center"/>
                </w:tcPr>
                <w:p w14:paraId="61645F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p>
              </w:tc>
              <w:tc>
                <w:tcPr>
                  <w:tcW w:w="1528" w:type="pct"/>
                  <w:tcBorders>
                    <w:tl2br w:val="nil"/>
                    <w:tr2bl w:val="nil"/>
                  </w:tcBorders>
                  <w:noWrap w:val="0"/>
                  <w:vAlign w:val="center"/>
                </w:tcPr>
                <w:p w14:paraId="264E581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监控点处任意一次浓度值</w:t>
                  </w:r>
                </w:p>
              </w:tc>
              <w:tc>
                <w:tcPr>
                  <w:tcW w:w="413" w:type="pct"/>
                  <w:tcBorders>
                    <w:tl2br w:val="nil"/>
                    <w:tr2bl w:val="nil"/>
                  </w:tcBorders>
                  <w:noWrap w:val="0"/>
                  <w:vAlign w:val="center"/>
                </w:tcPr>
                <w:p w14:paraId="249C128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643" w:type="pct"/>
                  <w:vMerge w:val="continue"/>
                  <w:tcBorders>
                    <w:tl2br w:val="nil"/>
                    <w:tr2bl w:val="nil"/>
                  </w:tcBorders>
                  <w:noWrap w:val="0"/>
                  <w:vAlign w:val="center"/>
                </w:tcPr>
                <w:p w14:paraId="4A35677E">
                  <w:pPr>
                    <w:adjustRightInd w:val="0"/>
                    <w:snapToGrid w:val="0"/>
                    <w:jc w:val="center"/>
                    <w:rPr>
                      <w:rFonts w:hint="default" w:ascii="Times New Roman" w:hAnsi="Times New Roman" w:eastAsia="宋体" w:cs="Times New Roman"/>
                      <w:color w:val="auto"/>
                      <w:sz w:val="21"/>
                      <w:szCs w:val="21"/>
                      <w:lang w:val="en-US" w:eastAsia="zh-CN"/>
                    </w:rPr>
                  </w:pPr>
                </w:p>
              </w:tc>
            </w:tr>
          </w:tbl>
          <w:p w14:paraId="26FDDBB4">
            <w:pPr>
              <w:pStyle w:val="25"/>
              <w:keepNext w:val="0"/>
              <w:keepLines w:val="0"/>
              <w:pageBreakBefore w:val="0"/>
              <w:widowControl w:val="0"/>
              <w:tabs>
                <w:tab w:val="right" w:pos="8388"/>
              </w:tabs>
              <w:kinsoku/>
              <w:wordWrap/>
              <w:overflowPunct/>
              <w:topLinePunct w:val="0"/>
              <w:autoSpaceDE w:val="0"/>
              <w:autoSpaceDN w:val="0"/>
              <w:bidi w:val="0"/>
              <w:adjustRightInd w:val="0"/>
              <w:snapToGrid w:val="0"/>
              <w:spacing w:before="0" w:beforeLines="0" w:after="0" w:afterLines="0" w:line="440" w:lineRule="exact"/>
              <w:textAlignment w:val="auto"/>
              <w:rPr>
                <w:rFonts w:hint="default" w:ascii="Times New Roman" w:hAnsi="Times New Roman" w:eastAsia="宋体" w:cs="Times New Roman"/>
                <w:b/>
                <w:bCs/>
                <w:smallCaps w:val="0"/>
                <w:color w:val="auto"/>
                <w:spacing w:val="0"/>
                <w:kern w:val="0"/>
                <w:position w:val="0"/>
                <w:lang w:val="en-US" w:eastAsia="zh-CN"/>
              </w:rPr>
            </w:pPr>
            <w:r>
              <w:rPr>
                <w:rFonts w:hint="default" w:ascii="Times New Roman" w:hAnsi="Times New Roman" w:eastAsia="宋体" w:cs="Times New Roman"/>
                <w:b/>
                <w:bCs/>
                <w:smallCaps w:val="0"/>
                <w:color w:val="auto"/>
                <w:spacing w:val="0"/>
                <w:kern w:val="0"/>
                <w:position w:val="0"/>
                <w:lang w:val="en-US" w:eastAsia="zh-CN"/>
              </w:rPr>
              <w:t>4、固体废物</w:t>
            </w:r>
          </w:p>
          <w:p w14:paraId="60A4FC0C">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bCs/>
                <w:smallCaps w:val="0"/>
                <w:snapToGrid w:val="0"/>
                <w:color w:val="auto"/>
                <w:spacing w:val="0"/>
                <w:kern w:val="0"/>
                <w:position w:val="0"/>
                <w:sz w:val="24"/>
              </w:rPr>
            </w:pPr>
            <w:r>
              <w:rPr>
                <w:rFonts w:hint="default" w:ascii="Times New Roman" w:hAnsi="Times New Roman" w:eastAsia="宋体" w:cs="Times New Roman"/>
                <w:bCs/>
                <w:smallCaps w:val="0"/>
                <w:snapToGrid w:val="0"/>
                <w:color w:val="auto"/>
                <w:spacing w:val="0"/>
                <w:kern w:val="0"/>
                <w:position w:val="0"/>
                <w:sz w:val="24"/>
              </w:rPr>
              <w:t>本项目涉及的固体废物分类执行《国家危险废物名录（202</w:t>
            </w:r>
            <w:r>
              <w:rPr>
                <w:rFonts w:hint="default" w:ascii="Times New Roman" w:hAnsi="Times New Roman" w:eastAsia="宋体" w:cs="Times New Roman"/>
                <w:bCs/>
                <w:smallCaps w:val="0"/>
                <w:snapToGrid w:val="0"/>
                <w:color w:val="auto"/>
                <w:spacing w:val="0"/>
                <w:kern w:val="0"/>
                <w:position w:val="0"/>
                <w:sz w:val="24"/>
                <w:lang w:val="en-US" w:eastAsia="zh-CN"/>
              </w:rPr>
              <w:t>5</w:t>
            </w:r>
            <w:r>
              <w:rPr>
                <w:rFonts w:hint="default" w:ascii="Times New Roman" w:hAnsi="Times New Roman" w:eastAsia="宋体" w:cs="Times New Roman"/>
                <w:bCs/>
                <w:smallCaps w:val="0"/>
                <w:snapToGrid w:val="0"/>
                <w:color w:val="auto"/>
                <w:spacing w:val="0"/>
                <w:kern w:val="0"/>
                <w:position w:val="0"/>
                <w:sz w:val="24"/>
              </w:rPr>
              <w:t>年版）》</w:t>
            </w:r>
            <w:r>
              <w:rPr>
                <w:rFonts w:hint="default" w:ascii="Times New Roman" w:hAnsi="Times New Roman" w:eastAsia="宋体" w:cs="Times New Roman"/>
                <w:bCs/>
                <w:smallCaps w:val="0"/>
                <w:snapToGrid w:val="0"/>
                <w:color w:val="auto"/>
                <w:spacing w:val="0"/>
                <w:kern w:val="0"/>
                <w:position w:val="0"/>
                <w:sz w:val="24"/>
                <w:lang w:val="en-US" w:eastAsia="zh-CN"/>
              </w:rPr>
              <w:t>和《固体废物鉴别标准通则》（GB34330-2017）</w:t>
            </w:r>
            <w:r>
              <w:rPr>
                <w:rFonts w:hint="default" w:ascii="Times New Roman" w:hAnsi="Times New Roman" w:eastAsia="宋体" w:cs="Times New Roman"/>
                <w:bCs/>
                <w:smallCaps w:val="0"/>
                <w:snapToGrid w:val="0"/>
                <w:color w:val="auto"/>
                <w:spacing w:val="0"/>
                <w:kern w:val="0"/>
                <w:position w:val="0"/>
                <w:sz w:val="24"/>
              </w:rPr>
              <w:t>；危险废物收集、贮存、运输等过程按照《省生态环境厅关于印发《江苏省固体废物全过程环境监管工作意见》的通知》（苏环办[2024]16号）、《危险废物贮存污染控制标准》(GB18597-2023)、《危险废物收集、贮存、运输技术规范》(HJ2025-2012)的相关要求执行；一般固体废物的贮存、处置按照《一般工业固体废物贮存和填埋污染控制标准》（GB18599-2020）中的相关要求执行。</w:t>
            </w:r>
          </w:p>
          <w:p w14:paraId="4A6FDD48">
            <w:pPr>
              <w:pStyle w:val="25"/>
              <w:numPr>
                <w:ilvl w:val="0"/>
                <w:numId w:val="0"/>
              </w:numPr>
              <w:spacing w:before="0" w:beforeLines="0" w:after="0" w:afterLines="0" w:line="440" w:lineRule="exact"/>
              <w:ind w:firstLine="480" w:firstLineChars="200"/>
              <w:rPr>
                <w:rFonts w:hint="default" w:ascii="Times New Roman" w:hAnsi="Times New Roman" w:eastAsia="宋体" w:cs="Times New Roman"/>
                <w:bCs/>
                <w:smallCaps w:val="0"/>
                <w:snapToGrid w:val="0"/>
                <w:color w:val="auto"/>
                <w:spacing w:val="0"/>
                <w:kern w:val="0"/>
                <w:position w:val="0"/>
              </w:rPr>
            </w:pPr>
          </w:p>
        </w:tc>
      </w:tr>
    </w:tbl>
    <w:p w14:paraId="17A563B2">
      <w:pPr>
        <w:rPr>
          <w:rFonts w:hint="default" w:ascii="Times New Roman" w:hAnsi="Times New Roman" w:eastAsia="宋体" w:cs="Times New Roman"/>
          <w:smallCaps w:val="0"/>
          <w:color w:val="auto"/>
          <w:spacing w:val="0"/>
          <w:kern w:val="0"/>
          <w:position w:val="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8657"/>
      </w:tblGrid>
      <w:tr w14:paraId="69DDD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84" w:hRule="atLeast"/>
          <w:jc w:val="center"/>
        </w:trPr>
        <w:tc>
          <w:tcPr>
            <w:tcW w:w="223" w:type="pct"/>
            <w:noWrap w:val="0"/>
            <w:vAlign w:val="center"/>
          </w:tcPr>
          <w:p w14:paraId="193EB808">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lang w:eastAsia="zh-CN"/>
              </w:rPr>
            </w:pPr>
          </w:p>
        </w:tc>
        <w:tc>
          <w:tcPr>
            <w:tcW w:w="4776" w:type="pct"/>
            <w:noWrap w:val="0"/>
            <w:vAlign w:val="top"/>
          </w:tcPr>
          <w:p w14:paraId="159647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rPr>
            </w:pPr>
            <w:r>
              <w:rPr>
                <w:rFonts w:hint="default" w:ascii="Times New Roman" w:hAnsi="Times New Roman" w:eastAsia="宋体" w:cs="Times New Roman"/>
                <w:b/>
                <w:bCs/>
                <w:smallCaps w:val="0"/>
                <w:color w:val="auto"/>
                <w:spacing w:val="0"/>
                <w:kern w:val="0"/>
                <w:position w:val="0"/>
                <w:sz w:val="24"/>
              </w:rPr>
              <w:t>1、各类污染物建议总量申请指标见下表</w:t>
            </w:r>
          </w:p>
          <w:p w14:paraId="69878DD9">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bCs/>
                <w:smallCaps w:val="0"/>
                <w:snapToGrid w:val="0"/>
                <w:color w:val="auto"/>
                <w:spacing w:val="0"/>
                <w:kern w:val="0"/>
                <w:position w:val="0"/>
                <w:sz w:val="24"/>
                <w:lang w:val="en-US" w:eastAsia="zh-CN"/>
              </w:rPr>
            </w:pPr>
            <w:r>
              <w:rPr>
                <w:rFonts w:hint="default" w:ascii="Times New Roman" w:hAnsi="Times New Roman" w:eastAsia="宋体" w:cs="Times New Roman"/>
                <w:bCs/>
                <w:smallCaps w:val="0"/>
                <w:snapToGrid w:val="0"/>
                <w:color w:val="auto"/>
                <w:spacing w:val="0"/>
                <w:kern w:val="0"/>
                <w:position w:val="0"/>
                <w:sz w:val="24"/>
              </w:rPr>
              <w:t>根据《常州市建设项目主要污染物排放总量指标审核及管理实施细则》（常政办发[2015]104号）</w:t>
            </w:r>
            <w:r>
              <w:rPr>
                <w:rFonts w:hint="default" w:ascii="Times New Roman" w:hAnsi="Times New Roman" w:eastAsia="宋体" w:cs="Times New Roman"/>
                <w:bCs/>
                <w:smallCaps w:val="0"/>
                <w:snapToGrid w:val="0"/>
                <w:color w:val="auto"/>
                <w:spacing w:val="0"/>
                <w:kern w:val="0"/>
                <w:position w:val="0"/>
                <w:sz w:val="24"/>
                <w:lang w:val="en-US" w:eastAsia="zh-CN"/>
              </w:rPr>
              <w:t>和《常州市水生态环境保护条例》（2022年制定），本项目总量控制指标见下表。</w:t>
            </w:r>
          </w:p>
          <w:p w14:paraId="5688B0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smallCaps w:val="0"/>
                <w:color w:val="auto"/>
                <w:spacing w:val="0"/>
                <w:kern w:val="0"/>
                <w:position w:val="0"/>
                <w:sz w:val="21"/>
                <w:szCs w:val="21"/>
              </w:rPr>
              <w:t>表3-1</w:t>
            </w:r>
            <w:r>
              <w:rPr>
                <w:rFonts w:hint="eastAsia" w:cs="Times New Roman"/>
                <w:b/>
                <w:smallCaps w:val="0"/>
                <w:color w:val="auto"/>
                <w:spacing w:val="0"/>
                <w:kern w:val="0"/>
                <w:position w:val="0"/>
                <w:sz w:val="21"/>
                <w:szCs w:val="21"/>
                <w:lang w:val="en-US" w:eastAsia="zh-CN"/>
              </w:rPr>
              <w:t>3</w:t>
            </w:r>
            <w:r>
              <w:rPr>
                <w:rFonts w:hint="default" w:ascii="Times New Roman" w:hAnsi="Times New Roman" w:eastAsia="宋体" w:cs="Times New Roman"/>
                <w:b/>
                <w:smallCaps w:val="0"/>
                <w:color w:val="auto"/>
                <w:spacing w:val="0"/>
                <w:kern w:val="0"/>
                <w:position w:val="0"/>
                <w:sz w:val="21"/>
                <w:szCs w:val="21"/>
              </w:rPr>
              <w:t>本项目污染物总量申请表单位：t/a</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7"/>
              <w:gridCol w:w="648"/>
              <w:gridCol w:w="1530"/>
              <w:gridCol w:w="1465"/>
              <w:gridCol w:w="1163"/>
              <w:gridCol w:w="1465"/>
              <w:gridCol w:w="1520"/>
            </w:tblGrid>
            <w:tr w14:paraId="59D571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noWrap w:val="0"/>
                  <w:vAlign w:val="center"/>
                </w:tcPr>
                <w:p w14:paraId="163C419C">
                  <w:pPr>
                    <w:widowControl/>
                    <w:spacing w:line="240" w:lineRule="exact"/>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种类</w:t>
                  </w:r>
                </w:p>
              </w:tc>
              <w:tc>
                <w:tcPr>
                  <w:tcW w:w="906" w:type="pct"/>
                  <w:noWrap w:val="0"/>
                  <w:vAlign w:val="center"/>
                </w:tcPr>
                <w:p w14:paraId="2B81ACD4">
                  <w:pPr>
                    <w:widowControl/>
                    <w:spacing w:line="240" w:lineRule="exact"/>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污染物名称</w:t>
                  </w:r>
                </w:p>
              </w:tc>
              <w:tc>
                <w:tcPr>
                  <w:tcW w:w="868" w:type="pct"/>
                  <w:noWrap w:val="0"/>
                  <w:vAlign w:val="center"/>
                </w:tcPr>
                <w:p w14:paraId="6C0EC8B6">
                  <w:pPr>
                    <w:widowControl/>
                    <w:spacing w:line="240" w:lineRule="exact"/>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lang w:val="en-US" w:eastAsia="zh-CN"/>
                    </w:rPr>
                    <w:t>本项目</w:t>
                  </w:r>
                  <w:r>
                    <w:rPr>
                      <w:rFonts w:hint="default" w:ascii="Times New Roman" w:hAnsi="Times New Roman" w:eastAsia="宋体" w:cs="Times New Roman"/>
                      <w:b/>
                      <w:bCs/>
                      <w:smallCaps w:val="0"/>
                      <w:color w:val="auto"/>
                      <w:spacing w:val="0"/>
                      <w:kern w:val="0"/>
                      <w:position w:val="0"/>
                      <w:sz w:val="21"/>
                      <w:szCs w:val="21"/>
                    </w:rPr>
                    <w:t>产生量</w:t>
                  </w:r>
                </w:p>
              </w:tc>
              <w:tc>
                <w:tcPr>
                  <w:tcW w:w="689" w:type="pct"/>
                  <w:noWrap w:val="0"/>
                  <w:vAlign w:val="center"/>
                </w:tcPr>
                <w:p w14:paraId="1CC115AB">
                  <w:pPr>
                    <w:widowControl/>
                    <w:spacing w:line="240" w:lineRule="exact"/>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lang w:val="en-US" w:eastAsia="zh-CN"/>
                    </w:rPr>
                    <w:t>本项目</w:t>
                  </w:r>
                  <w:r>
                    <w:rPr>
                      <w:rFonts w:hint="default" w:ascii="Times New Roman" w:hAnsi="Times New Roman" w:eastAsia="宋体" w:cs="Times New Roman"/>
                      <w:b/>
                      <w:bCs/>
                      <w:smallCaps w:val="0"/>
                      <w:color w:val="auto"/>
                      <w:spacing w:val="0"/>
                      <w:kern w:val="0"/>
                      <w:position w:val="0"/>
                      <w:sz w:val="21"/>
                      <w:szCs w:val="21"/>
                    </w:rPr>
                    <w:t>削减量</w:t>
                  </w:r>
                </w:p>
              </w:tc>
              <w:tc>
                <w:tcPr>
                  <w:tcW w:w="868" w:type="pct"/>
                  <w:noWrap w:val="0"/>
                  <w:vAlign w:val="center"/>
                </w:tcPr>
                <w:p w14:paraId="6AF2E0F2">
                  <w:pPr>
                    <w:widowControl/>
                    <w:spacing w:line="240" w:lineRule="exact"/>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lang w:val="en-US" w:eastAsia="zh-CN"/>
                    </w:rPr>
                    <w:t>本项目</w:t>
                  </w:r>
                  <w:r>
                    <w:rPr>
                      <w:rFonts w:hint="default" w:ascii="Times New Roman" w:hAnsi="Times New Roman" w:eastAsia="宋体" w:cs="Times New Roman"/>
                      <w:b/>
                      <w:bCs/>
                      <w:smallCaps w:val="0"/>
                      <w:color w:val="auto"/>
                      <w:spacing w:val="0"/>
                      <w:kern w:val="0"/>
                      <w:position w:val="0"/>
                      <w:sz w:val="21"/>
                      <w:szCs w:val="21"/>
                    </w:rPr>
                    <w:t>排放量</w:t>
                  </w:r>
                </w:p>
              </w:tc>
              <w:tc>
                <w:tcPr>
                  <w:tcW w:w="900" w:type="pct"/>
                  <w:noWrap w:val="0"/>
                  <w:vAlign w:val="center"/>
                </w:tcPr>
                <w:p w14:paraId="7A3D21F2">
                  <w:pPr>
                    <w:widowControl/>
                    <w:spacing w:line="240" w:lineRule="exact"/>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本项目排入外环境量</w:t>
                  </w:r>
                </w:p>
              </w:tc>
            </w:tr>
            <w:tr w14:paraId="11BB65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383" w:type="pct"/>
                  <w:noWrap w:val="0"/>
                  <w:vAlign w:val="center"/>
                </w:tcPr>
                <w:p w14:paraId="6D47CFFF">
                  <w:pPr>
                    <w:widowControl/>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废气</w:t>
                  </w:r>
                </w:p>
              </w:tc>
              <w:tc>
                <w:tcPr>
                  <w:tcW w:w="383" w:type="pct"/>
                  <w:noWrap w:val="0"/>
                  <w:vAlign w:val="center"/>
                </w:tcPr>
                <w:p w14:paraId="62F9283A">
                  <w:pPr>
                    <w:widowControl/>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无组织</w:t>
                  </w:r>
                </w:p>
              </w:tc>
              <w:tc>
                <w:tcPr>
                  <w:tcW w:w="906" w:type="pct"/>
                  <w:noWrap w:val="0"/>
                  <w:vAlign w:val="center"/>
                </w:tcPr>
                <w:p w14:paraId="6916872D">
                  <w:pPr>
                    <w:widowControl/>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颗粒物</w:t>
                  </w:r>
                </w:p>
              </w:tc>
              <w:tc>
                <w:tcPr>
                  <w:tcW w:w="868" w:type="pct"/>
                  <w:noWrap w:val="0"/>
                  <w:vAlign w:val="center"/>
                </w:tcPr>
                <w:p w14:paraId="75A52210">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0.104</w:t>
                  </w:r>
                </w:p>
              </w:tc>
              <w:tc>
                <w:tcPr>
                  <w:tcW w:w="689" w:type="pct"/>
                  <w:noWrap w:val="0"/>
                  <w:vAlign w:val="center"/>
                </w:tcPr>
                <w:p w14:paraId="7896FFFB">
                  <w:pPr>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cs="Times New Roman"/>
                      <w:smallCaps w:val="0"/>
                      <w:color w:val="auto"/>
                      <w:spacing w:val="0"/>
                      <w:kern w:val="0"/>
                      <w:position w:val="0"/>
                      <w:sz w:val="21"/>
                      <w:szCs w:val="21"/>
                      <w:lang w:val="en-US" w:eastAsia="zh-CN"/>
                    </w:rPr>
                    <w:t>0.0832</w:t>
                  </w:r>
                </w:p>
              </w:tc>
              <w:tc>
                <w:tcPr>
                  <w:tcW w:w="868" w:type="pct"/>
                  <w:noWrap w:val="0"/>
                  <w:vAlign w:val="center"/>
                </w:tcPr>
                <w:p w14:paraId="4CB28252">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0.0208</w:t>
                  </w:r>
                </w:p>
              </w:tc>
              <w:tc>
                <w:tcPr>
                  <w:tcW w:w="900" w:type="pct"/>
                  <w:noWrap w:val="0"/>
                  <w:vAlign w:val="center"/>
                </w:tcPr>
                <w:p w14:paraId="47F7C4D2">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cs="Times New Roman"/>
                      <w:smallCaps w:val="0"/>
                      <w:color w:val="auto"/>
                      <w:spacing w:val="0"/>
                      <w:kern w:val="0"/>
                      <w:position w:val="0"/>
                      <w:sz w:val="21"/>
                      <w:szCs w:val="21"/>
                      <w:lang w:val="en-US" w:eastAsia="zh-CN"/>
                    </w:rPr>
                    <w:t>0.0208</w:t>
                  </w:r>
                </w:p>
              </w:tc>
            </w:tr>
            <w:tr w14:paraId="1030C6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vMerge w:val="restart"/>
                  <w:noWrap w:val="0"/>
                  <w:vAlign w:val="center"/>
                </w:tcPr>
                <w:p w14:paraId="2F70C59F">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污水（接管量）</w:t>
                  </w:r>
                </w:p>
              </w:tc>
              <w:tc>
                <w:tcPr>
                  <w:tcW w:w="906" w:type="pct"/>
                  <w:noWrap w:val="0"/>
                  <w:vAlign w:val="center"/>
                </w:tcPr>
                <w:p w14:paraId="06918F95">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污水量</w:t>
                  </w:r>
                </w:p>
              </w:tc>
              <w:tc>
                <w:tcPr>
                  <w:tcW w:w="868" w:type="pct"/>
                  <w:noWrap w:val="0"/>
                  <w:vAlign w:val="center"/>
                </w:tcPr>
                <w:p w14:paraId="0718E14A">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120</w:t>
                  </w:r>
                </w:p>
              </w:tc>
              <w:tc>
                <w:tcPr>
                  <w:tcW w:w="689" w:type="pct"/>
                  <w:noWrap w:val="0"/>
                  <w:vAlign w:val="center"/>
                </w:tcPr>
                <w:p w14:paraId="2566E48E">
                  <w:pPr>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868" w:type="pct"/>
                  <w:noWrap w:val="0"/>
                  <w:vAlign w:val="center"/>
                </w:tcPr>
                <w:p w14:paraId="306BA16B">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120</w:t>
                  </w:r>
                </w:p>
              </w:tc>
              <w:tc>
                <w:tcPr>
                  <w:tcW w:w="900" w:type="pct"/>
                  <w:noWrap w:val="0"/>
                  <w:vAlign w:val="center"/>
                </w:tcPr>
                <w:p w14:paraId="132889C0">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120</w:t>
                  </w:r>
                </w:p>
              </w:tc>
            </w:tr>
            <w:tr w14:paraId="6E3A3C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vMerge w:val="continue"/>
                  <w:noWrap w:val="0"/>
                  <w:vAlign w:val="center"/>
                </w:tcPr>
                <w:p w14:paraId="014B0BBF">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p>
              </w:tc>
              <w:tc>
                <w:tcPr>
                  <w:tcW w:w="906" w:type="pct"/>
                  <w:noWrap w:val="0"/>
                  <w:vAlign w:val="center"/>
                </w:tcPr>
                <w:p w14:paraId="2B6CE7B7">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COD</w:t>
                  </w:r>
                </w:p>
              </w:tc>
              <w:tc>
                <w:tcPr>
                  <w:tcW w:w="868" w:type="pct"/>
                  <w:noWrap w:val="0"/>
                  <w:vAlign w:val="center"/>
                </w:tcPr>
                <w:p w14:paraId="787336E0">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0.048</w:t>
                  </w:r>
                </w:p>
              </w:tc>
              <w:tc>
                <w:tcPr>
                  <w:tcW w:w="689" w:type="pct"/>
                  <w:noWrap w:val="0"/>
                  <w:vAlign w:val="center"/>
                </w:tcPr>
                <w:p w14:paraId="72BDD293">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868" w:type="pct"/>
                  <w:noWrap w:val="0"/>
                  <w:vAlign w:val="center"/>
                </w:tcPr>
                <w:p w14:paraId="229237A8">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0.048</w:t>
                  </w:r>
                </w:p>
              </w:tc>
              <w:tc>
                <w:tcPr>
                  <w:tcW w:w="900" w:type="pct"/>
                  <w:noWrap w:val="0"/>
                  <w:vAlign w:val="center"/>
                </w:tcPr>
                <w:p w14:paraId="6C1A0FAC">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0.006</w:t>
                  </w:r>
                </w:p>
              </w:tc>
            </w:tr>
            <w:tr w14:paraId="298F23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vMerge w:val="continue"/>
                  <w:noWrap w:val="0"/>
                  <w:vAlign w:val="center"/>
                </w:tcPr>
                <w:p w14:paraId="3F24F158">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p>
              </w:tc>
              <w:tc>
                <w:tcPr>
                  <w:tcW w:w="906" w:type="pct"/>
                  <w:noWrap w:val="0"/>
                  <w:vAlign w:val="center"/>
                </w:tcPr>
                <w:p w14:paraId="13142FFE">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SS</w:t>
                  </w:r>
                </w:p>
              </w:tc>
              <w:tc>
                <w:tcPr>
                  <w:tcW w:w="868" w:type="pct"/>
                  <w:noWrap w:val="0"/>
                  <w:vAlign w:val="center"/>
                </w:tcPr>
                <w:p w14:paraId="32BC6F48">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0.03</w:t>
                  </w:r>
                </w:p>
              </w:tc>
              <w:tc>
                <w:tcPr>
                  <w:tcW w:w="689" w:type="pct"/>
                  <w:noWrap w:val="0"/>
                  <w:vAlign w:val="center"/>
                </w:tcPr>
                <w:p w14:paraId="264044CA">
                  <w:pPr>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868" w:type="pct"/>
                  <w:noWrap w:val="0"/>
                  <w:vAlign w:val="center"/>
                </w:tcPr>
                <w:p w14:paraId="61A56EBE">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0.03</w:t>
                  </w:r>
                </w:p>
              </w:tc>
              <w:tc>
                <w:tcPr>
                  <w:tcW w:w="900" w:type="pct"/>
                  <w:noWrap w:val="0"/>
                  <w:vAlign w:val="center"/>
                </w:tcPr>
                <w:p w14:paraId="27EAF7F3">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0.0012</w:t>
                  </w:r>
                </w:p>
              </w:tc>
            </w:tr>
            <w:tr w14:paraId="28A4A6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vMerge w:val="continue"/>
                  <w:noWrap w:val="0"/>
                  <w:vAlign w:val="center"/>
                </w:tcPr>
                <w:p w14:paraId="5AD694B5">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p>
              </w:tc>
              <w:tc>
                <w:tcPr>
                  <w:tcW w:w="906" w:type="pct"/>
                  <w:noWrap w:val="0"/>
                  <w:vAlign w:val="center"/>
                </w:tcPr>
                <w:p w14:paraId="144A03D1">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氨氮</w:t>
                  </w:r>
                </w:p>
              </w:tc>
              <w:tc>
                <w:tcPr>
                  <w:tcW w:w="868" w:type="pct"/>
                  <w:noWrap w:val="0"/>
                  <w:vAlign w:val="center"/>
                </w:tcPr>
                <w:p w14:paraId="7A12AA5B">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0.003</w:t>
                  </w:r>
                </w:p>
              </w:tc>
              <w:tc>
                <w:tcPr>
                  <w:tcW w:w="689" w:type="pct"/>
                  <w:noWrap w:val="0"/>
                  <w:vAlign w:val="center"/>
                </w:tcPr>
                <w:p w14:paraId="1951D4C3">
                  <w:pPr>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868" w:type="pct"/>
                  <w:noWrap w:val="0"/>
                  <w:vAlign w:val="center"/>
                </w:tcPr>
                <w:p w14:paraId="381753AB">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0.003</w:t>
                  </w:r>
                </w:p>
              </w:tc>
              <w:tc>
                <w:tcPr>
                  <w:tcW w:w="900" w:type="pct"/>
                  <w:noWrap w:val="0"/>
                  <w:vAlign w:val="center"/>
                </w:tcPr>
                <w:p w14:paraId="48552CA5">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0.00048</w:t>
                  </w:r>
                </w:p>
              </w:tc>
            </w:tr>
            <w:tr w14:paraId="06B375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vMerge w:val="continue"/>
                  <w:noWrap w:val="0"/>
                  <w:vAlign w:val="center"/>
                </w:tcPr>
                <w:p w14:paraId="1A7583B9">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p>
              </w:tc>
              <w:tc>
                <w:tcPr>
                  <w:tcW w:w="906" w:type="pct"/>
                  <w:noWrap w:val="0"/>
                  <w:vAlign w:val="center"/>
                </w:tcPr>
                <w:p w14:paraId="436B97F6">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总磷</w:t>
                  </w:r>
                </w:p>
              </w:tc>
              <w:tc>
                <w:tcPr>
                  <w:tcW w:w="868" w:type="pct"/>
                  <w:noWrap w:val="0"/>
                  <w:vAlign w:val="center"/>
                </w:tcPr>
                <w:p w14:paraId="522942D0">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0.0004</w:t>
                  </w:r>
                </w:p>
              </w:tc>
              <w:tc>
                <w:tcPr>
                  <w:tcW w:w="689" w:type="pct"/>
                  <w:noWrap w:val="0"/>
                  <w:vAlign w:val="center"/>
                </w:tcPr>
                <w:p w14:paraId="2513859B">
                  <w:pPr>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868" w:type="pct"/>
                  <w:noWrap w:val="0"/>
                  <w:vAlign w:val="center"/>
                </w:tcPr>
                <w:p w14:paraId="16349E40">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0.0004</w:t>
                  </w:r>
                </w:p>
              </w:tc>
              <w:tc>
                <w:tcPr>
                  <w:tcW w:w="900" w:type="pct"/>
                  <w:noWrap w:val="0"/>
                  <w:vAlign w:val="center"/>
                </w:tcPr>
                <w:p w14:paraId="33900320">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0.00006</w:t>
                  </w:r>
                </w:p>
              </w:tc>
            </w:tr>
            <w:tr w14:paraId="6E27BC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vMerge w:val="continue"/>
                  <w:noWrap w:val="0"/>
                  <w:vAlign w:val="center"/>
                </w:tcPr>
                <w:p w14:paraId="4FAE5ACA">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p>
              </w:tc>
              <w:tc>
                <w:tcPr>
                  <w:tcW w:w="906" w:type="pct"/>
                  <w:noWrap w:val="0"/>
                  <w:vAlign w:val="center"/>
                </w:tcPr>
                <w:p w14:paraId="78482F04">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总氮</w:t>
                  </w:r>
                </w:p>
              </w:tc>
              <w:tc>
                <w:tcPr>
                  <w:tcW w:w="868" w:type="pct"/>
                  <w:noWrap w:val="0"/>
                  <w:vAlign w:val="center"/>
                </w:tcPr>
                <w:p w14:paraId="2B64BBFF">
                  <w:pPr>
                    <w:widowControl/>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0.0042</w:t>
                  </w:r>
                </w:p>
              </w:tc>
              <w:tc>
                <w:tcPr>
                  <w:tcW w:w="689" w:type="pct"/>
                  <w:noWrap w:val="0"/>
                  <w:vAlign w:val="center"/>
                </w:tcPr>
                <w:p w14:paraId="69DCD942">
                  <w:pPr>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868" w:type="pct"/>
                  <w:noWrap w:val="0"/>
                  <w:vAlign w:val="center"/>
                </w:tcPr>
                <w:p w14:paraId="19F3954A">
                  <w:pPr>
                    <w:widowControl/>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0.0042</w:t>
                  </w:r>
                </w:p>
              </w:tc>
              <w:tc>
                <w:tcPr>
                  <w:tcW w:w="900" w:type="pct"/>
                  <w:noWrap w:val="0"/>
                  <w:vAlign w:val="center"/>
                </w:tcPr>
                <w:p w14:paraId="3831CFD4">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0.00144</w:t>
                  </w:r>
                </w:p>
              </w:tc>
            </w:tr>
            <w:tr w14:paraId="3C3E21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vMerge w:val="restart"/>
                  <w:noWrap/>
                  <w:vAlign w:val="center"/>
                </w:tcPr>
                <w:p w14:paraId="0F778F13">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固废</w:t>
                  </w:r>
                </w:p>
              </w:tc>
              <w:tc>
                <w:tcPr>
                  <w:tcW w:w="906" w:type="pct"/>
                  <w:noWrap w:val="0"/>
                  <w:vAlign w:val="center"/>
                </w:tcPr>
                <w:p w14:paraId="23326C6E">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一般固废</w:t>
                  </w:r>
                </w:p>
              </w:tc>
              <w:tc>
                <w:tcPr>
                  <w:tcW w:w="868" w:type="pct"/>
                  <w:noWrap/>
                  <w:vAlign w:val="center"/>
                </w:tcPr>
                <w:p w14:paraId="5FBF0BA0">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689" w:type="pct"/>
                  <w:noWrap w:val="0"/>
                  <w:vAlign w:val="center"/>
                </w:tcPr>
                <w:p w14:paraId="2A7E28FE">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868" w:type="pct"/>
                  <w:noWrap w:val="0"/>
                  <w:vAlign w:val="center"/>
                </w:tcPr>
                <w:p w14:paraId="62A89283">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900" w:type="pct"/>
                  <w:noWrap w:val="0"/>
                  <w:vAlign w:val="center"/>
                </w:tcPr>
                <w:p w14:paraId="14761E2A">
                  <w:pPr>
                    <w:widowControl/>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r>
            <w:tr w14:paraId="61E714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767" w:type="pct"/>
                  <w:gridSpan w:val="2"/>
                  <w:vMerge w:val="continue"/>
                  <w:noWrap w:val="0"/>
                  <w:vAlign w:val="center"/>
                </w:tcPr>
                <w:p w14:paraId="413C8463">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p>
              </w:tc>
              <w:tc>
                <w:tcPr>
                  <w:tcW w:w="906" w:type="pct"/>
                  <w:noWrap w:val="0"/>
                  <w:vAlign w:val="center"/>
                </w:tcPr>
                <w:p w14:paraId="266300BA">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危险废物</w:t>
                  </w:r>
                </w:p>
              </w:tc>
              <w:tc>
                <w:tcPr>
                  <w:tcW w:w="868" w:type="pct"/>
                  <w:noWrap/>
                  <w:vAlign w:val="center"/>
                </w:tcPr>
                <w:p w14:paraId="7571F995">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689" w:type="pct"/>
                  <w:noWrap w:val="0"/>
                  <w:vAlign w:val="center"/>
                </w:tcPr>
                <w:p w14:paraId="493362B9">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868" w:type="pct"/>
                  <w:noWrap w:val="0"/>
                  <w:vAlign w:val="center"/>
                </w:tcPr>
                <w:p w14:paraId="7A81C330">
                  <w:pPr>
                    <w:widowControl/>
                    <w:spacing w:line="240" w:lineRule="exact"/>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900" w:type="pct"/>
                  <w:noWrap w:val="0"/>
                  <w:vAlign w:val="center"/>
                </w:tcPr>
                <w:p w14:paraId="02E0D1B2">
                  <w:pPr>
                    <w:widowControl/>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r>
          </w:tbl>
          <w:p w14:paraId="46143EAF">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rPr>
            </w:pPr>
            <w:r>
              <w:rPr>
                <w:rFonts w:hint="default" w:ascii="Times New Roman" w:hAnsi="Times New Roman" w:eastAsia="宋体" w:cs="Times New Roman"/>
                <w:b/>
                <w:bCs/>
                <w:smallCaps w:val="0"/>
                <w:color w:val="auto"/>
                <w:spacing w:val="0"/>
                <w:kern w:val="0"/>
                <w:position w:val="0"/>
                <w:sz w:val="24"/>
              </w:rPr>
              <w:t>2、总量平衡方案</w:t>
            </w:r>
          </w:p>
          <w:p w14:paraId="704D7CC5">
            <w:pPr>
              <w:pStyle w:val="25"/>
              <w:keepNext w:val="0"/>
              <w:keepLines w:val="0"/>
              <w:pageBreakBefore w:val="0"/>
              <w:widowControl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（1）废水</w:t>
            </w:r>
          </w:p>
          <w:p w14:paraId="3F1D89A8">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lang w:val="en-US"/>
              </w:rPr>
            </w:pPr>
            <w:bookmarkStart w:id="3" w:name="_Hlk74576739"/>
            <w:r>
              <w:rPr>
                <w:rFonts w:hint="default" w:ascii="Times New Roman" w:hAnsi="Times New Roman" w:eastAsia="宋体" w:cs="Times New Roman"/>
                <w:bCs/>
                <w:smallCaps w:val="0"/>
                <w:color w:val="auto"/>
                <w:spacing w:val="0"/>
                <w:kern w:val="0"/>
                <w:position w:val="0"/>
                <w:sz w:val="24"/>
                <w:lang w:val="en-US" w:eastAsia="zh-CN"/>
              </w:rPr>
              <w:t>本项目新增排放生活污水120t/a，污染物接管量COD：0.048t/a、SS：0.03t/a、氨氮：0.003t/a、总磷：0.0004t/a、总氮</w:t>
            </w:r>
            <w:bookmarkEnd w:id="3"/>
            <w:r>
              <w:rPr>
                <w:rFonts w:hint="default" w:ascii="Times New Roman" w:hAnsi="Times New Roman" w:eastAsia="宋体" w:cs="Times New Roman"/>
                <w:bCs/>
                <w:smallCaps w:val="0"/>
                <w:color w:val="auto"/>
                <w:spacing w:val="0"/>
                <w:kern w:val="0"/>
                <w:position w:val="0"/>
                <w:sz w:val="24"/>
                <w:lang w:val="en-US" w:eastAsia="zh-CN"/>
              </w:rPr>
              <w:t>：0.0042t/a。</w:t>
            </w:r>
          </w:p>
          <w:p w14:paraId="4028F378">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lang w:val="en-US" w:eastAsia="zh-CN"/>
              </w:rPr>
            </w:pPr>
            <w:r>
              <w:rPr>
                <w:rFonts w:hint="default" w:ascii="Times New Roman" w:hAnsi="Times New Roman" w:eastAsia="宋体" w:cs="Times New Roman"/>
                <w:bCs/>
                <w:smallCaps w:val="0"/>
                <w:color w:val="auto"/>
                <w:spacing w:val="0"/>
                <w:kern w:val="0"/>
                <w:position w:val="0"/>
                <w:sz w:val="24"/>
                <w:lang w:val="en-US" w:eastAsia="zh-CN"/>
              </w:rPr>
              <w:t>（2）废气</w:t>
            </w:r>
          </w:p>
          <w:p w14:paraId="1685713B">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rPr>
            </w:pPr>
            <w:r>
              <w:rPr>
                <w:rFonts w:hint="default" w:ascii="Times New Roman" w:hAnsi="Times New Roman" w:eastAsia="宋体" w:cs="Times New Roman"/>
                <w:bCs/>
                <w:smallCaps w:val="0"/>
                <w:color w:val="auto"/>
                <w:spacing w:val="0"/>
                <w:kern w:val="0"/>
                <w:position w:val="0"/>
                <w:sz w:val="24"/>
              </w:rPr>
              <w:t>本项目大气污染物总量控制因子为颗粒物，新增无组织颗粒物排放量为</w:t>
            </w:r>
            <w:r>
              <w:rPr>
                <w:rFonts w:hint="eastAsia" w:cs="Times New Roman"/>
                <w:bCs/>
                <w:smallCaps w:val="0"/>
                <w:color w:val="auto"/>
                <w:spacing w:val="0"/>
                <w:kern w:val="0"/>
                <w:position w:val="0"/>
                <w:sz w:val="24"/>
                <w:lang w:val="en-US" w:eastAsia="zh-CN"/>
              </w:rPr>
              <w:t>0.0208</w:t>
            </w:r>
            <w:r>
              <w:rPr>
                <w:rFonts w:hint="default" w:ascii="Times New Roman" w:hAnsi="Times New Roman" w:eastAsia="宋体" w:cs="Times New Roman"/>
                <w:bCs/>
                <w:smallCaps w:val="0"/>
                <w:color w:val="auto"/>
                <w:spacing w:val="0"/>
                <w:kern w:val="0"/>
                <w:position w:val="0"/>
                <w:sz w:val="24"/>
              </w:rPr>
              <w:t>t/a。</w:t>
            </w:r>
          </w:p>
          <w:p w14:paraId="70CC2EF2">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rPr>
            </w:pPr>
            <w:r>
              <w:rPr>
                <w:rFonts w:hint="default" w:ascii="Times New Roman" w:hAnsi="Times New Roman" w:eastAsia="宋体" w:cs="Times New Roman"/>
                <w:bCs/>
                <w:smallCaps w:val="0"/>
                <w:color w:val="auto"/>
                <w:spacing w:val="0"/>
                <w:kern w:val="0"/>
                <w:position w:val="0"/>
                <w:sz w:val="24"/>
              </w:rPr>
              <w:t>（</w:t>
            </w:r>
            <w:r>
              <w:rPr>
                <w:rFonts w:hint="default" w:ascii="Times New Roman" w:hAnsi="Times New Roman" w:eastAsia="宋体" w:cs="Times New Roman"/>
                <w:bCs/>
                <w:smallCaps w:val="0"/>
                <w:color w:val="auto"/>
                <w:spacing w:val="0"/>
                <w:kern w:val="0"/>
                <w:position w:val="0"/>
                <w:sz w:val="24"/>
                <w:lang w:val="en-US" w:eastAsia="zh-CN"/>
              </w:rPr>
              <w:t>3</w:t>
            </w:r>
            <w:r>
              <w:rPr>
                <w:rFonts w:hint="default" w:ascii="Times New Roman" w:hAnsi="Times New Roman" w:eastAsia="宋体" w:cs="Times New Roman"/>
                <w:bCs/>
                <w:smallCaps w:val="0"/>
                <w:color w:val="auto"/>
                <w:spacing w:val="0"/>
                <w:kern w:val="0"/>
                <w:position w:val="0"/>
                <w:sz w:val="24"/>
              </w:rPr>
              <w:t>）固体废物</w:t>
            </w:r>
          </w:p>
          <w:p w14:paraId="71688322">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rPr>
            </w:pPr>
            <w:r>
              <w:rPr>
                <w:rFonts w:hint="default" w:ascii="Times New Roman" w:hAnsi="Times New Roman" w:eastAsia="宋体" w:cs="Times New Roman"/>
                <w:bCs/>
                <w:smallCaps w:val="0"/>
                <w:color w:val="auto"/>
                <w:spacing w:val="0"/>
                <w:kern w:val="0"/>
                <w:position w:val="0"/>
                <w:sz w:val="24"/>
              </w:rPr>
              <w:t>本项目固废均得到有效处置，故企业不单独申请核定总量指标。</w:t>
            </w:r>
          </w:p>
        </w:tc>
      </w:tr>
    </w:tbl>
    <w:p w14:paraId="712A950A">
      <w:pPr>
        <w:pStyle w:val="16"/>
        <w:outlineLvl w:val="0"/>
        <w:rPr>
          <w:rFonts w:hint="default" w:ascii="Times New Roman" w:hAnsi="Times New Roman" w:eastAsia="宋体" w:cs="Times New Roman"/>
          <w:smallCaps w:val="0"/>
          <w:snapToGrid w:val="0"/>
          <w:color w:val="auto"/>
          <w:spacing w:val="0"/>
          <w:kern w:val="0"/>
          <w:position w:val="0"/>
          <w:sz w:val="30"/>
          <w:szCs w:val="3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C15D547">
      <w:pPr>
        <w:pStyle w:val="16"/>
        <w:jc w:val="center"/>
        <w:outlineLvl w:val="0"/>
        <w:rPr>
          <w:rFonts w:hint="default" w:ascii="Times New Roman" w:hAnsi="Times New Roman" w:eastAsia="宋体" w:cs="Times New Roman"/>
          <w:smallCaps w:val="0"/>
          <w:snapToGrid w:val="0"/>
          <w:color w:val="auto"/>
          <w:spacing w:val="0"/>
          <w:kern w:val="0"/>
          <w:position w:val="0"/>
          <w:sz w:val="30"/>
          <w:szCs w:val="30"/>
        </w:rPr>
      </w:pPr>
      <w:r>
        <w:rPr>
          <w:rFonts w:hint="default" w:ascii="Times New Roman" w:hAnsi="Times New Roman" w:eastAsia="宋体" w:cs="Times New Roman"/>
          <w:smallCaps w:val="0"/>
          <w:snapToGrid w:val="0"/>
          <w:color w:val="auto"/>
          <w:spacing w:val="0"/>
          <w:kern w:val="0"/>
          <w:position w:val="0"/>
          <w:sz w:val="30"/>
          <w:szCs w:val="30"/>
        </w:rPr>
        <w:t>四、主要环境影响和保护措施</w:t>
      </w:r>
    </w:p>
    <w:tbl>
      <w:tblPr>
        <w:tblStyle w:val="17"/>
        <w:tblW w:w="51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727"/>
      </w:tblGrid>
      <w:tr w14:paraId="4A58B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tcMar>
              <w:left w:w="28" w:type="dxa"/>
              <w:right w:w="28" w:type="dxa"/>
            </w:tcMar>
            <w:vAlign w:val="center"/>
          </w:tcPr>
          <w:p w14:paraId="7B722E63">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施工</w:t>
            </w:r>
          </w:p>
          <w:p w14:paraId="5C18F6CC">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期环</w:t>
            </w:r>
          </w:p>
          <w:p w14:paraId="4A5E7592">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境保</w:t>
            </w:r>
          </w:p>
          <w:p w14:paraId="248F8BA3">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护措</w:t>
            </w:r>
          </w:p>
          <w:p w14:paraId="4831C3CE">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施</w:t>
            </w:r>
          </w:p>
        </w:tc>
        <w:tc>
          <w:tcPr>
            <w:tcW w:w="4689" w:type="pct"/>
            <w:noWrap w:val="0"/>
            <w:vAlign w:val="top"/>
          </w:tcPr>
          <w:p w14:paraId="4C86EC84">
            <w:pPr>
              <w:pStyle w:val="25"/>
              <w:spacing w:before="0" w:beforeLines="0" w:after="0" w:afterLines="0" w:line="440" w:lineRule="exact"/>
              <w:ind w:firstLine="50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本项目利用已建厂房进行生产，不需要土建工程施工，只需购置、安装设备，生产调试即可，对周围环境产生影响很小，本次环评将不予论述。</w:t>
            </w:r>
          </w:p>
        </w:tc>
      </w:tr>
      <w:tr w14:paraId="0DDEC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10" w:type="pct"/>
            <w:noWrap w:val="0"/>
            <w:tcMar>
              <w:left w:w="28" w:type="dxa"/>
              <w:right w:w="28" w:type="dxa"/>
            </w:tcMar>
            <w:vAlign w:val="center"/>
          </w:tcPr>
          <w:p w14:paraId="055FC209">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运营</w:t>
            </w:r>
          </w:p>
          <w:p w14:paraId="52CF754F">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期环</w:t>
            </w:r>
          </w:p>
          <w:p w14:paraId="1B81F6AC">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境影</w:t>
            </w:r>
          </w:p>
          <w:p w14:paraId="753D6EF8">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响和</w:t>
            </w:r>
          </w:p>
          <w:p w14:paraId="170CB535">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保护</w:t>
            </w:r>
          </w:p>
          <w:p w14:paraId="299711A0">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措施</w:t>
            </w:r>
          </w:p>
        </w:tc>
        <w:tc>
          <w:tcPr>
            <w:tcW w:w="4689" w:type="pct"/>
            <w:noWrap w:val="0"/>
            <w:vAlign w:val="top"/>
          </w:tcPr>
          <w:p w14:paraId="2EBA9AF7">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smallCaps w:val="0"/>
                <w:color w:val="auto"/>
                <w:spacing w:val="0"/>
                <w:kern w:val="0"/>
                <w:position w:val="0"/>
              </w:rPr>
            </w:pPr>
            <w:r>
              <w:rPr>
                <w:rFonts w:hint="default" w:ascii="Times New Roman" w:hAnsi="Times New Roman" w:eastAsia="宋体" w:cs="Times New Roman"/>
                <w:b/>
                <w:smallCaps w:val="0"/>
                <w:color w:val="auto"/>
                <w:spacing w:val="0"/>
                <w:kern w:val="0"/>
                <w:position w:val="0"/>
              </w:rPr>
              <w:t>1、废气</w:t>
            </w:r>
          </w:p>
          <w:p w14:paraId="3CF9702B">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smallCaps w:val="0"/>
                <w:color w:val="auto"/>
                <w:spacing w:val="0"/>
                <w:kern w:val="0"/>
                <w:position w:val="0"/>
              </w:rPr>
            </w:pPr>
            <w:r>
              <w:rPr>
                <w:rFonts w:hint="default" w:ascii="Times New Roman" w:hAnsi="Times New Roman" w:eastAsia="宋体" w:cs="Times New Roman"/>
                <w:b/>
                <w:smallCaps w:val="0"/>
                <w:color w:val="auto"/>
                <w:spacing w:val="0"/>
                <w:kern w:val="0"/>
                <w:position w:val="0"/>
              </w:rPr>
              <w:t>1.1废气产生</w:t>
            </w:r>
            <w:r>
              <w:rPr>
                <w:rFonts w:hint="default" w:ascii="Times New Roman" w:hAnsi="Times New Roman" w:eastAsia="宋体" w:cs="Times New Roman"/>
                <w:b/>
                <w:smallCaps w:val="0"/>
                <w:color w:val="auto"/>
                <w:spacing w:val="0"/>
                <w:kern w:val="0"/>
                <w:position w:val="0"/>
                <w:lang w:val="en-US" w:eastAsia="zh-CN"/>
              </w:rPr>
              <w:t>及排放</w:t>
            </w:r>
            <w:r>
              <w:rPr>
                <w:rFonts w:hint="default" w:ascii="Times New Roman" w:hAnsi="Times New Roman" w:eastAsia="宋体" w:cs="Times New Roman"/>
                <w:b/>
                <w:smallCaps w:val="0"/>
                <w:color w:val="auto"/>
                <w:spacing w:val="0"/>
                <w:kern w:val="0"/>
                <w:position w:val="0"/>
              </w:rPr>
              <w:t>情况</w:t>
            </w:r>
          </w:p>
          <w:p w14:paraId="7654469F">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smallCaps w:val="0"/>
                <w:color w:val="auto"/>
                <w:spacing w:val="0"/>
                <w:kern w:val="0"/>
                <w:position w:val="0"/>
                <w:lang w:val="en-US" w:eastAsia="zh-CN"/>
              </w:rPr>
              <w:t>本项目废气主要为切割粉尘G1、焊接废气G2和印刷废气G3。</w:t>
            </w:r>
          </w:p>
          <w:p w14:paraId="001C7CCD">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
                <w:bCs w:val="0"/>
                <w:smallCaps w:val="0"/>
                <w:color w:val="auto"/>
                <w:spacing w:val="0"/>
                <w:kern w:val="0"/>
                <w:position w:val="0"/>
                <w:lang w:val="en-US" w:eastAsia="zh-CN"/>
              </w:rPr>
            </w:pPr>
            <w:r>
              <w:rPr>
                <w:rFonts w:hint="default" w:ascii="Times New Roman" w:hAnsi="Times New Roman" w:eastAsia="宋体" w:cs="Times New Roman"/>
                <w:b/>
                <w:bCs w:val="0"/>
                <w:smallCaps w:val="0"/>
                <w:color w:val="auto"/>
                <w:spacing w:val="0"/>
                <w:kern w:val="0"/>
                <w:position w:val="0"/>
                <w:lang w:val="en-US" w:eastAsia="zh-CN"/>
              </w:rPr>
              <w:t>切割粉尘G1</w:t>
            </w:r>
          </w:p>
          <w:p w14:paraId="2DEAEF3D">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smallCaps w:val="0"/>
                <w:color w:val="auto"/>
                <w:spacing w:val="0"/>
                <w:kern w:val="0"/>
                <w:position w:val="0"/>
                <w:lang w:val="en-US" w:eastAsia="zh-CN"/>
              </w:rPr>
              <w:t>根据工艺要求使用切割机对不锈钢板进行切割，此过程产生切割烟尘G1。根据《排放源统计调查产排污核算方法和系数手册》中《33金属制品业、34通用设备制造业、35专用设备制造业、36汽车制造业、37铁路、船舶、航空天和其他运输设备制造业、431金属制品修理、432通用设备修理、433专用设备修理、434铁路、船舶、航空航天等运输设备修理(不包括电镀工艺)行业系数手册》中-“04下料”，等离子切割环节中颗粒物产生量约1.10kg/t-原料，根据企业提供资料，本项目使用不锈钢板80t/a，则切割烟尘产生量约为0.088t/a</w:t>
            </w:r>
            <w:r>
              <w:rPr>
                <w:rFonts w:hint="eastAsia" w:eastAsia="宋体" w:cs="Times New Roman"/>
                <w:smallCaps w:val="0"/>
                <w:color w:val="auto"/>
                <w:spacing w:val="0"/>
                <w:kern w:val="0"/>
                <w:position w:val="0"/>
                <w:lang w:val="en-US" w:eastAsia="zh-CN"/>
              </w:rPr>
              <w:t>，主要为不锈钢颗粒物，经除尘器处理后，在车间内无组织排放，处理效率按80%计，则无组织颗粒物产生量为0.0176t/a</w:t>
            </w:r>
            <w:r>
              <w:rPr>
                <w:rFonts w:hint="default" w:ascii="Times New Roman" w:hAnsi="Times New Roman" w:eastAsia="宋体" w:cs="Times New Roman"/>
                <w:smallCaps w:val="0"/>
                <w:color w:val="auto"/>
                <w:spacing w:val="0"/>
                <w:kern w:val="0"/>
                <w:position w:val="0"/>
                <w:lang w:val="en-US" w:eastAsia="zh-CN"/>
              </w:rPr>
              <w:t>。</w:t>
            </w:r>
          </w:p>
          <w:p w14:paraId="3A944343">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
                <w:bCs w:val="0"/>
                <w:smallCaps w:val="0"/>
                <w:color w:val="auto"/>
                <w:spacing w:val="0"/>
                <w:kern w:val="0"/>
                <w:position w:val="0"/>
                <w:lang w:val="en-US" w:eastAsia="zh-CN"/>
              </w:rPr>
            </w:pPr>
            <w:r>
              <w:rPr>
                <w:rFonts w:hint="default" w:ascii="Times New Roman" w:hAnsi="Times New Roman" w:eastAsia="宋体" w:cs="Times New Roman"/>
                <w:b/>
                <w:bCs w:val="0"/>
                <w:smallCaps w:val="0"/>
                <w:color w:val="auto"/>
                <w:spacing w:val="0"/>
                <w:kern w:val="0"/>
                <w:position w:val="0"/>
                <w:lang w:val="en-US" w:eastAsia="zh-CN"/>
              </w:rPr>
              <w:t>焊接废气G2</w:t>
            </w:r>
          </w:p>
          <w:p w14:paraId="2D513212">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lang w:val="en-US" w:eastAsia="zh-CN"/>
              </w:rPr>
            </w:pPr>
            <w:r>
              <w:rPr>
                <w:rFonts w:hint="default" w:ascii="Times New Roman" w:hAnsi="Times New Roman" w:eastAsia="宋体" w:cs="Times New Roman"/>
                <w:smallCaps w:val="0"/>
                <w:color w:val="auto"/>
                <w:spacing w:val="0"/>
                <w:lang w:val="en-US" w:eastAsia="zh-CN"/>
              </w:rPr>
              <w:t>本项目焊接过程中有烟尘产生，以颗粒物计。根据《排放源统计调查产排污核算方法和系数手册》中《33金属制品业、34通用设备制造业、35专用设备制造业、36汽车制造业、37铁路、船舶、航空天和其他运输设备制造业、431金属制品修理、432通用设备修理、433专用设备修理、434铁路、船舶、航空航天等运输设备修理(不包括电镀工艺)行业系数手册》中-“09焊接”，手工电弧焊中，颗粒物产生量约20.2kg/t-原料，根据业主提供资料，预计焊接1%原料，</w:t>
            </w:r>
            <w:r>
              <w:rPr>
                <w:rFonts w:hint="default" w:ascii="Times New Roman" w:hAnsi="Times New Roman" w:eastAsia="宋体" w:cs="Times New Roman"/>
                <w:smallCaps w:val="0"/>
                <w:color w:val="auto"/>
                <w:spacing w:val="0"/>
                <w:kern w:val="0"/>
                <w:position w:val="0"/>
                <w:lang w:val="en-US" w:eastAsia="zh-CN"/>
              </w:rPr>
              <w:t>本项目使用不锈钢板80t/a，</w:t>
            </w:r>
            <w:r>
              <w:rPr>
                <w:rFonts w:hint="default" w:ascii="Times New Roman" w:hAnsi="Times New Roman" w:eastAsia="宋体" w:cs="Times New Roman"/>
                <w:smallCaps w:val="0"/>
                <w:color w:val="auto"/>
                <w:spacing w:val="0"/>
                <w:lang w:val="en-US" w:eastAsia="zh-CN"/>
              </w:rPr>
              <w:t>则产生颗粒物约0.016t/a。焊接烟尘经移动式焊接烟尘净化器处理后，在车间内无组织排放，处理效率按80%计，则无组织颗粒物产生量为0.0032t/a。</w:t>
            </w:r>
          </w:p>
          <w:p w14:paraId="40F18734">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
                <w:bCs w:val="0"/>
                <w:smallCaps w:val="0"/>
                <w:color w:val="auto"/>
                <w:spacing w:val="0"/>
                <w:kern w:val="0"/>
                <w:position w:val="0"/>
                <w:lang w:val="en-US" w:eastAsia="zh-CN"/>
              </w:rPr>
            </w:pPr>
            <w:r>
              <w:rPr>
                <w:rFonts w:hint="default" w:ascii="Times New Roman" w:hAnsi="Times New Roman" w:eastAsia="宋体" w:cs="Times New Roman"/>
                <w:b/>
                <w:bCs w:val="0"/>
                <w:smallCaps w:val="0"/>
                <w:color w:val="auto"/>
                <w:spacing w:val="0"/>
                <w:kern w:val="0"/>
                <w:position w:val="0"/>
                <w:lang w:val="en-US" w:eastAsia="zh-CN"/>
              </w:rPr>
              <w:t>印刷废气G3</w:t>
            </w:r>
          </w:p>
          <w:p w14:paraId="58286AA8">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smallCaps w:val="0"/>
                <w:color w:val="auto"/>
                <w:spacing w:val="0"/>
                <w:kern w:val="0"/>
                <w:position w:val="0"/>
                <w:lang w:val="en-US" w:eastAsia="zh-CN"/>
              </w:rPr>
              <w:t>对照企业提供的检测报告（报告编号：EY210528025VC007），施工状态中VOC检出结果为0.55%，满足《油墨中可挥发性有机化合物(VOCs)含量的限值（GB38507-2020）》相关限值的要求。本项目使用UV油墨量0.006t/a，挥发性有机物产生量极少，因此，本项目不进行定量分析。</w:t>
            </w:r>
          </w:p>
          <w:p w14:paraId="221E83E0">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smallCaps w:val="0"/>
                <w:color w:val="auto"/>
                <w:spacing w:val="0"/>
                <w:kern w:val="0"/>
                <w:position w:val="0"/>
                <w:lang w:val="en-US" w:eastAsia="zh-CN"/>
              </w:rPr>
              <w:t>本项目无组织废气产生及排放情况见下表：</w:t>
            </w:r>
          </w:p>
          <w:p w14:paraId="2CE8FF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position w:val="0"/>
                <w:sz w:val="21"/>
                <w:szCs w:val="18"/>
                <w:lang w:val="en-US" w:eastAsia="zh-CN" w:bidi="ar-SA"/>
              </w:rPr>
            </w:pPr>
            <w:r>
              <w:rPr>
                <w:rFonts w:hint="default" w:ascii="Times New Roman" w:hAnsi="Times New Roman" w:eastAsia="宋体" w:cs="Times New Roman"/>
                <w:b/>
                <w:bCs w:val="0"/>
                <w:smallCaps w:val="0"/>
                <w:color w:val="auto"/>
                <w:spacing w:val="0"/>
                <w:kern w:val="0"/>
                <w:position w:val="0"/>
                <w:sz w:val="21"/>
                <w:szCs w:val="18"/>
                <w:lang w:val="en-US" w:eastAsia="zh-CN" w:bidi="ar-SA"/>
              </w:rPr>
              <w:t>表4-1无组织废气产生及排放情况一览表</w:t>
            </w:r>
          </w:p>
          <w:tbl>
            <w:tblPr>
              <w:tblStyle w:val="1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466"/>
              <w:gridCol w:w="760"/>
              <w:gridCol w:w="777"/>
              <w:gridCol w:w="990"/>
              <w:gridCol w:w="808"/>
              <w:gridCol w:w="966"/>
              <w:gridCol w:w="1047"/>
              <w:gridCol w:w="984"/>
              <w:gridCol w:w="899"/>
              <w:gridCol w:w="812"/>
            </w:tblGrid>
            <w:tr w14:paraId="40221337">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73" w:type="pct"/>
                  <w:vMerge w:val="restart"/>
                  <w:noWrap w:val="0"/>
                  <w:vAlign w:val="center"/>
                </w:tcPr>
                <w:p w14:paraId="78AE4284">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车间</w:t>
                  </w:r>
                </w:p>
              </w:tc>
              <w:tc>
                <w:tcPr>
                  <w:tcW w:w="446" w:type="pct"/>
                  <w:vMerge w:val="restart"/>
                  <w:noWrap w:val="0"/>
                  <w:vAlign w:val="center"/>
                </w:tcPr>
                <w:p w14:paraId="7764A84C">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污染工序</w:t>
                  </w:r>
                </w:p>
              </w:tc>
              <w:tc>
                <w:tcPr>
                  <w:tcW w:w="456" w:type="pct"/>
                  <w:vMerge w:val="restart"/>
                  <w:noWrap w:val="0"/>
                  <w:vAlign w:val="center"/>
                </w:tcPr>
                <w:p w14:paraId="1AE0AF8A">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污染因子</w:t>
                  </w:r>
                </w:p>
              </w:tc>
              <w:tc>
                <w:tcPr>
                  <w:tcW w:w="1056" w:type="pct"/>
                  <w:gridSpan w:val="2"/>
                  <w:noWrap w:val="0"/>
                  <w:vAlign w:val="center"/>
                </w:tcPr>
                <w:p w14:paraId="4AB2775E">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产生情况</w:t>
                  </w:r>
                </w:p>
              </w:tc>
              <w:tc>
                <w:tcPr>
                  <w:tcW w:w="567" w:type="pct"/>
                  <w:vMerge w:val="restart"/>
                  <w:noWrap w:val="0"/>
                  <w:vAlign w:val="center"/>
                </w:tcPr>
                <w:p w14:paraId="14C19E10">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治理措施</w:t>
                  </w:r>
                </w:p>
              </w:tc>
              <w:tc>
                <w:tcPr>
                  <w:tcW w:w="1192" w:type="pct"/>
                  <w:gridSpan w:val="2"/>
                  <w:noWrap w:val="0"/>
                  <w:vAlign w:val="center"/>
                </w:tcPr>
                <w:p w14:paraId="039EC791">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排放情况</w:t>
                  </w:r>
                </w:p>
              </w:tc>
              <w:tc>
                <w:tcPr>
                  <w:tcW w:w="528" w:type="pct"/>
                  <w:vMerge w:val="restart"/>
                  <w:noWrap w:val="0"/>
                  <w:vAlign w:val="center"/>
                </w:tcPr>
                <w:p w14:paraId="4CC8A5A5">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面源面积（m</w:t>
                  </w:r>
                  <w:r>
                    <w:rPr>
                      <w:rFonts w:hint="default" w:ascii="Times New Roman" w:hAnsi="Times New Roman" w:eastAsia="宋体" w:cs="Times New Roman"/>
                      <w:b/>
                      <w:bCs w:val="0"/>
                      <w:smallCaps w:val="0"/>
                      <w:color w:val="auto"/>
                      <w:spacing w:val="0"/>
                      <w:sz w:val="21"/>
                      <w:szCs w:val="21"/>
                      <w:vertAlign w:val="superscript"/>
                      <w:lang w:val="en-US" w:eastAsia="zh-CN"/>
                    </w:rPr>
                    <w:t>2</w:t>
                  </w:r>
                  <w:r>
                    <w:rPr>
                      <w:rFonts w:hint="default" w:ascii="Times New Roman" w:hAnsi="Times New Roman" w:eastAsia="宋体" w:cs="Times New Roman"/>
                      <w:b/>
                      <w:bCs w:val="0"/>
                      <w:smallCaps w:val="0"/>
                      <w:color w:val="auto"/>
                      <w:spacing w:val="0"/>
                      <w:sz w:val="21"/>
                      <w:szCs w:val="21"/>
                      <w:lang w:val="en-US" w:eastAsia="zh-CN"/>
                    </w:rPr>
                    <w:t>）</w:t>
                  </w:r>
                </w:p>
              </w:tc>
              <w:tc>
                <w:tcPr>
                  <w:tcW w:w="477" w:type="pct"/>
                  <w:vMerge w:val="restart"/>
                  <w:noWrap w:val="0"/>
                  <w:vAlign w:val="center"/>
                </w:tcPr>
                <w:p w14:paraId="0985E082">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面源高度（m）</w:t>
                  </w:r>
                </w:p>
              </w:tc>
            </w:tr>
            <w:tr w14:paraId="3A943FC4">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73" w:type="pct"/>
                  <w:vMerge w:val="continue"/>
                  <w:noWrap w:val="0"/>
                  <w:vAlign w:val="center"/>
                </w:tcPr>
                <w:p w14:paraId="5FBEDDB0">
                  <w:pPr>
                    <w:jc w:val="center"/>
                    <w:rPr>
                      <w:rFonts w:hint="default" w:ascii="Times New Roman" w:hAnsi="Times New Roman" w:eastAsia="宋体" w:cs="Times New Roman"/>
                      <w:b/>
                      <w:bCs w:val="0"/>
                      <w:smallCaps w:val="0"/>
                      <w:color w:val="auto"/>
                      <w:spacing w:val="0"/>
                      <w:sz w:val="21"/>
                      <w:szCs w:val="21"/>
                    </w:rPr>
                  </w:pPr>
                </w:p>
              </w:tc>
              <w:tc>
                <w:tcPr>
                  <w:tcW w:w="446" w:type="pct"/>
                  <w:vMerge w:val="continue"/>
                  <w:noWrap w:val="0"/>
                  <w:vAlign w:val="center"/>
                </w:tcPr>
                <w:p w14:paraId="37570A9E">
                  <w:pPr>
                    <w:jc w:val="center"/>
                    <w:rPr>
                      <w:rFonts w:hint="default" w:ascii="Times New Roman" w:hAnsi="Times New Roman" w:eastAsia="宋体" w:cs="Times New Roman"/>
                      <w:b/>
                      <w:bCs w:val="0"/>
                      <w:smallCaps w:val="0"/>
                      <w:color w:val="auto"/>
                      <w:spacing w:val="0"/>
                      <w:sz w:val="21"/>
                      <w:szCs w:val="21"/>
                    </w:rPr>
                  </w:pPr>
                </w:p>
              </w:tc>
              <w:tc>
                <w:tcPr>
                  <w:tcW w:w="456" w:type="pct"/>
                  <w:vMerge w:val="continue"/>
                  <w:noWrap w:val="0"/>
                  <w:vAlign w:val="center"/>
                </w:tcPr>
                <w:p w14:paraId="12430F8D">
                  <w:pPr>
                    <w:jc w:val="center"/>
                    <w:rPr>
                      <w:rFonts w:hint="default" w:ascii="Times New Roman" w:hAnsi="Times New Roman" w:eastAsia="宋体" w:cs="Times New Roman"/>
                      <w:b/>
                      <w:bCs w:val="0"/>
                      <w:smallCaps w:val="0"/>
                      <w:color w:val="auto"/>
                      <w:spacing w:val="0"/>
                      <w:sz w:val="21"/>
                      <w:szCs w:val="21"/>
                    </w:rPr>
                  </w:pPr>
                </w:p>
              </w:tc>
              <w:tc>
                <w:tcPr>
                  <w:tcW w:w="581" w:type="pct"/>
                  <w:noWrap w:val="0"/>
                  <w:vAlign w:val="center"/>
                </w:tcPr>
                <w:p w14:paraId="5B1D4682">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产生速率</w:t>
                  </w:r>
                </w:p>
                <w:p w14:paraId="1A5D9F9B">
                  <w:pPr>
                    <w:jc w:val="center"/>
                    <w:rPr>
                      <w:rFonts w:hint="default" w:ascii="Times New Roman" w:hAnsi="Times New Roman" w:eastAsia="宋体" w:cs="Times New Roman"/>
                      <w:b/>
                      <w:bCs w:val="0"/>
                      <w:smallCaps w:val="0"/>
                      <w:color w:val="auto"/>
                      <w:spacing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（kg/h）</w:t>
                  </w:r>
                </w:p>
              </w:tc>
              <w:tc>
                <w:tcPr>
                  <w:tcW w:w="474" w:type="pct"/>
                  <w:noWrap w:val="0"/>
                  <w:vAlign w:val="center"/>
                </w:tcPr>
                <w:p w14:paraId="29D802A0">
                  <w:pPr>
                    <w:jc w:val="center"/>
                    <w:rPr>
                      <w:rFonts w:hint="default" w:ascii="Times New Roman" w:hAnsi="Times New Roman" w:eastAsia="宋体" w:cs="Times New Roman"/>
                      <w:b/>
                      <w:bCs w:val="0"/>
                      <w:smallCaps w:val="0"/>
                      <w:color w:val="auto"/>
                      <w:spacing w:val="0"/>
                      <w:kern w:val="0"/>
                      <w:sz w:val="21"/>
                      <w:szCs w:val="21"/>
                      <w:lang w:val="en-US" w:eastAsia="zh-CN"/>
                    </w:rPr>
                  </w:pPr>
                  <w:r>
                    <w:rPr>
                      <w:rFonts w:hint="default" w:ascii="Times New Roman" w:hAnsi="Times New Roman" w:eastAsia="宋体" w:cs="Times New Roman"/>
                      <w:b/>
                      <w:bCs w:val="0"/>
                      <w:smallCaps w:val="0"/>
                      <w:color w:val="auto"/>
                      <w:spacing w:val="0"/>
                      <w:sz w:val="21"/>
                      <w:szCs w:val="21"/>
                      <w:lang w:val="en-US" w:eastAsia="zh-CN"/>
                    </w:rPr>
                    <w:t>产生量（t/a）</w:t>
                  </w:r>
                </w:p>
              </w:tc>
              <w:tc>
                <w:tcPr>
                  <w:tcW w:w="567" w:type="pct"/>
                  <w:vMerge w:val="continue"/>
                  <w:noWrap w:val="0"/>
                  <w:vAlign w:val="center"/>
                </w:tcPr>
                <w:p w14:paraId="40AB40C9">
                  <w:pPr>
                    <w:jc w:val="center"/>
                    <w:rPr>
                      <w:rFonts w:hint="default" w:ascii="Times New Roman" w:hAnsi="Times New Roman" w:eastAsia="宋体" w:cs="Times New Roman"/>
                      <w:b/>
                      <w:bCs w:val="0"/>
                      <w:smallCaps w:val="0"/>
                      <w:color w:val="auto"/>
                      <w:spacing w:val="0"/>
                      <w:sz w:val="21"/>
                      <w:szCs w:val="21"/>
                      <w:lang w:val="en-US" w:eastAsia="zh-CN"/>
                    </w:rPr>
                  </w:pPr>
                </w:p>
              </w:tc>
              <w:tc>
                <w:tcPr>
                  <w:tcW w:w="614" w:type="pct"/>
                  <w:noWrap w:val="0"/>
                  <w:vAlign w:val="center"/>
                </w:tcPr>
                <w:p w14:paraId="2269003A">
                  <w:pPr>
                    <w:jc w:val="center"/>
                    <w:rPr>
                      <w:rFonts w:hint="default" w:ascii="Times New Roman" w:hAnsi="Times New Roman" w:eastAsia="宋体" w:cs="Times New Roman"/>
                      <w:b/>
                      <w:bCs w:val="0"/>
                      <w:smallCaps w:val="0"/>
                      <w:color w:val="auto"/>
                      <w:spacing w:val="0"/>
                      <w:kern w:val="2"/>
                      <w:sz w:val="21"/>
                      <w:szCs w:val="21"/>
                      <w:lang w:val="en-US" w:eastAsia="zh-CN" w:bidi="ar-SA"/>
                    </w:rPr>
                  </w:pPr>
                  <w:r>
                    <w:rPr>
                      <w:rFonts w:hint="default" w:ascii="Times New Roman" w:hAnsi="Times New Roman" w:eastAsia="宋体" w:cs="Times New Roman"/>
                      <w:b/>
                      <w:bCs w:val="0"/>
                      <w:smallCaps w:val="0"/>
                      <w:color w:val="auto"/>
                      <w:spacing w:val="0"/>
                      <w:sz w:val="21"/>
                      <w:szCs w:val="21"/>
                      <w:lang w:val="en-US" w:eastAsia="zh-CN"/>
                    </w:rPr>
                    <w:t>排放速率（kg/h）</w:t>
                  </w:r>
                </w:p>
              </w:tc>
              <w:tc>
                <w:tcPr>
                  <w:tcW w:w="578" w:type="pct"/>
                  <w:noWrap w:val="0"/>
                  <w:vAlign w:val="center"/>
                </w:tcPr>
                <w:p w14:paraId="76E707F1">
                  <w:pPr>
                    <w:jc w:val="center"/>
                    <w:rPr>
                      <w:rFonts w:hint="default" w:ascii="Times New Roman" w:hAnsi="Times New Roman" w:eastAsia="宋体" w:cs="Times New Roman"/>
                      <w:b/>
                      <w:bCs w:val="0"/>
                      <w:smallCaps w:val="0"/>
                      <w:color w:val="auto"/>
                      <w:spacing w:val="0"/>
                      <w:kern w:val="0"/>
                      <w:sz w:val="21"/>
                      <w:szCs w:val="21"/>
                      <w:lang w:val="en-US" w:eastAsia="zh-CN" w:bidi="ar-SA"/>
                    </w:rPr>
                  </w:pPr>
                  <w:r>
                    <w:rPr>
                      <w:rFonts w:hint="default" w:ascii="Times New Roman" w:hAnsi="Times New Roman" w:eastAsia="宋体" w:cs="Times New Roman"/>
                      <w:b/>
                      <w:bCs w:val="0"/>
                      <w:smallCaps w:val="0"/>
                      <w:color w:val="auto"/>
                      <w:spacing w:val="0"/>
                      <w:sz w:val="21"/>
                      <w:szCs w:val="21"/>
                      <w:lang w:val="en-US" w:eastAsia="zh-CN"/>
                    </w:rPr>
                    <w:t>排放量（t/a）</w:t>
                  </w:r>
                </w:p>
              </w:tc>
              <w:tc>
                <w:tcPr>
                  <w:tcW w:w="528" w:type="pct"/>
                  <w:vMerge w:val="continue"/>
                  <w:noWrap w:val="0"/>
                  <w:vAlign w:val="center"/>
                </w:tcPr>
                <w:p w14:paraId="2CD5E8BE">
                  <w:pPr>
                    <w:jc w:val="center"/>
                    <w:rPr>
                      <w:rFonts w:hint="default" w:ascii="Times New Roman" w:hAnsi="Times New Roman" w:eastAsia="宋体" w:cs="Times New Roman"/>
                      <w:b/>
                      <w:bCs w:val="0"/>
                      <w:smallCaps w:val="0"/>
                      <w:color w:val="auto"/>
                      <w:spacing w:val="0"/>
                      <w:kern w:val="0"/>
                      <w:sz w:val="21"/>
                      <w:szCs w:val="21"/>
                      <w:lang w:val="en-US" w:eastAsia="zh-CN" w:bidi="ar-SA"/>
                    </w:rPr>
                  </w:pPr>
                </w:p>
              </w:tc>
              <w:tc>
                <w:tcPr>
                  <w:tcW w:w="477" w:type="pct"/>
                  <w:vMerge w:val="continue"/>
                  <w:noWrap w:val="0"/>
                  <w:vAlign w:val="center"/>
                </w:tcPr>
                <w:p w14:paraId="72A18CC9">
                  <w:pPr>
                    <w:jc w:val="center"/>
                    <w:rPr>
                      <w:rFonts w:hint="default" w:ascii="Times New Roman" w:hAnsi="Times New Roman" w:eastAsia="宋体" w:cs="Times New Roman"/>
                      <w:b/>
                      <w:bCs w:val="0"/>
                      <w:smallCaps w:val="0"/>
                      <w:color w:val="auto"/>
                      <w:spacing w:val="0"/>
                      <w:sz w:val="21"/>
                      <w:szCs w:val="21"/>
                      <w:lang w:val="en-US" w:eastAsia="zh-CN"/>
                    </w:rPr>
                  </w:pPr>
                </w:p>
              </w:tc>
            </w:tr>
            <w:tr w14:paraId="26B2A2C0">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73" w:type="pct"/>
                  <w:vMerge w:val="restart"/>
                  <w:noWrap w:val="0"/>
                  <w:vAlign w:val="center"/>
                </w:tcPr>
                <w:p w14:paraId="452AA85C">
                  <w:pPr>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生产车间</w:t>
                  </w:r>
                  <w:r>
                    <w:rPr>
                      <w:rFonts w:hint="eastAsia" w:cs="Times New Roman"/>
                      <w:smallCaps w:val="0"/>
                      <w:color w:val="auto"/>
                      <w:spacing w:val="0"/>
                      <w:sz w:val="21"/>
                      <w:szCs w:val="21"/>
                      <w:lang w:val="en-US" w:eastAsia="zh-CN"/>
                    </w:rPr>
                    <w:t>二</w:t>
                  </w:r>
                </w:p>
              </w:tc>
              <w:tc>
                <w:tcPr>
                  <w:tcW w:w="446" w:type="pct"/>
                  <w:shd w:val="clear" w:color="auto" w:fill="auto"/>
                  <w:noWrap w:val="0"/>
                  <w:vAlign w:val="center"/>
                </w:tcPr>
                <w:p w14:paraId="438DE4C2">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kern w:val="2"/>
                      <w:sz w:val="21"/>
                      <w:szCs w:val="21"/>
                      <w:lang w:val="en-US" w:eastAsia="zh-CN" w:bidi="ar-SA"/>
                    </w:rPr>
                    <w:t>切割</w:t>
                  </w:r>
                </w:p>
              </w:tc>
              <w:tc>
                <w:tcPr>
                  <w:tcW w:w="456" w:type="pct"/>
                  <w:noWrap w:val="0"/>
                  <w:vAlign w:val="center"/>
                </w:tcPr>
                <w:p w14:paraId="1857217C">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颗粒物</w:t>
                  </w:r>
                </w:p>
              </w:tc>
              <w:tc>
                <w:tcPr>
                  <w:tcW w:w="581" w:type="pct"/>
                  <w:noWrap w:val="0"/>
                  <w:vAlign w:val="center"/>
                </w:tcPr>
                <w:p w14:paraId="25C691F5">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sz w:val="21"/>
                      <w:szCs w:val="21"/>
                      <w:u w:val="none"/>
                      <w:lang w:val="en-US" w:eastAsia="zh-CN" w:bidi="ar"/>
                    </w:rPr>
                    <w:t>0.0</w:t>
                  </w:r>
                  <w:r>
                    <w:rPr>
                      <w:rFonts w:hint="eastAsia" w:cs="Times New Roman"/>
                      <w:i w:val="0"/>
                      <w:iCs w:val="0"/>
                      <w:smallCaps w:val="0"/>
                      <w:color w:val="auto"/>
                      <w:spacing w:val="0"/>
                      <w:kern w:val="0"/>
                      <w:sz w:val="21"/>
                      <w:szCs w:val="21"/>
                      <w:u w:val="none"/>
                      <w:lang w:val="en-US" w:eastAsia="zh-CN" w:bidi="ar"/>
                    </w:rPr>
                    <w:t>36</w:t>
                  </w:r>
                </w:p>
              </w:tc>
              <w:tc>
                <w:tcPr>
                  <w:tcW w:w="474" w:type="pct"/>
                  <w:shd w:val="clear" w:color="auto" w:fill="auto"/>
                  <w:noWrap w:val="0"/>
                  <w:vAlign w:val="center"/>
                </w:tcPr>
                <w:p w14:paraId="69E652B9">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kern w:val="2"/>
                      <w:sz w:val="21"/>
                      <w:szCs w:val="21"/>
                      <w:lang w:val="en-US" w:eastAsia="zh-CN" w:bidi="ar-SA"/>
                    </w:rPr>
                  </w:pPr>
                  <w:r>
                    <w:rPr>
                      <w:rFonts w:hint="default" w:ascii="Times New Roman" w:hAnsi="Times New Roman" w:eastAsia="宋体" w:cs="Times New Roman"/>
                      <w:b w:val="0"/>
                      <w:bCs w:val="0"/>
                      <w:smallCaps w:val="0"/>
                      <w:color w:val="auto"/>
                      <w:spacing w:val="0"/>
                      <w:kern w:val="2"/>
                      <w:sz w:val="21"/>
                      <w:szCs w:val="21"/>
                      <w:lang w:val="en-US" w:eastAsia="zh-CN" w:bidi="ar-SA"/>
                    </w:rPr>
                    <w:t>0.088</w:t>
                  </w:r>
                </w:p>
              </w:tc>
              <w:tc>
                <w:tcPr>
                  <w:tcW w:w="567" w:type="pct"/>
                  <w:noWrap w:val="0"/>
                  <w:vAlign w:val="center"/>
                </w:tcPr>
                <w:p w14:paraId="1D02B335">
                  <w:pPr>
                    <w:keepNext w:val="0"/>
                    <w:keepLines w:val="0"/>
                    <w:widowControl/>
                    <w:suppressLineNumbers w:val="0"/>
                    <w:jc w:val="center"/>
                    <w:textAlignment w:val="center"/>
                    <w:rPr>
                      <w:rFonts w:hint="default" w:ascii="Times New Roman" w:hAnsi="Times New Roman" w:eastAsia="宋体" w:cs="Times New Roman"/>
                      <w:smallCaps w:val="0"/>
                      <w:color w:val="auto"/>
                      <w:spacing w:val="0"/>
                      <w:sz w:val="21"/>
                      <w:szCs w:val="21"/>
                      <w:lang w:val="en-US" w:eastAsia="zh-CN"/>
                    </w:rPr>
                  </w:pPr>
                  <w:r>
                    <w:rPr>
                      <w:rFonts w:hint="eastAsia" w:cs="Times New Roman"/>
                      <w:smallCaps w:val="0"/>
                      <w:color w:val="auto"/>
                      <w:spacing w:val="0"/>
                      <w:sz w:val="21"/>
                      <w:szCs w:val="21"/>
                      <w:lang w:val="en-US" w:eastAsia="zh-CN"/>
                    </w:rPr>
                    <w:t>除尘器</w:t>
                  </w:r>
                </w:p>
              </w:tc>
              <w:tc>
                <w:tcPr>
                  <w:tcW w:w="614" w:type="pct"/>
                  <w:shd w:val="clear" w:color="auto" w:fill="auto"/>
                  <w:noWrap w:val="0"/>
                  <w:vAlign w:val="center"/>
                </w:tcPr>
                <w:p w14:paraId="196578FC">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sz w:val="21"/>
                      <w:szCs w:val="21"/>
                      <w:u w:val="none"/>
                      <w:lang w:val="en-US" w:eastAsia="zh-CN" w:bidi="ar"/>
                    </w:rPr>
                  </w:pPr>
                  <w:r>
                    <w:rPr>
                      <w:rFonts w:hint="eastAsia" w:cs="Times New Roman"/>
                      <w:i w:val="0"/>
                      <w:iCs w:val="0"/>
                      <w:smallCaps w:val="0"/>
                      <w:color w:val="auto"/>
                      <w:spacing w:val="0"/>
                      <w:kern w:val="0"/>
                      <w:sz w:val="21"/>
                      <w:szCs w:val="21"/>
                      <w:u w:val="none"/>
                      <w:lang w:val="en-US" w:eastAsia="zh-CN" w:bidi="ar"/>
                    </w:rPr>
                    <w:t>0.007</w:t>
                  </w:r>
                </w:p>
              </w:tc>
              <w:tc>
                <w:tcPr>
                  <w:tcW w:w="578" w:type="pct"/>
                  <w:shd w:val="clear" w:color="auto" w:fill="auto"/>
                  <w:noWrap w:val="0"/>
                  <w:vAlign w:val="center"/>
                </w:tcPr>
                <w:p w14:paraId="1383089C">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kern w:val="2"/>
                      <w:sz w:val="21"/>
                      <w:szCs w:val="21"/>
                      <w:lang w:val="en-US" w:eastAsia="zh-CN" w:bidi="ar-SA"/>
                    </w:rPr>
                  </w:pPr>
                  <w:r>
                    <w:rPr>
                      <w:rFonts w:hint="eastAsia" w:cs="Times New Roman"/>
                      <w:b w:val="0"/>
                      <w:bCs w:val="0"/>
                      <w:smallCaps w:val="0"/>
                      <w:color w:val="auto"/>
                      <w:spacing w:val="0"/>
                      <w:kern w:val="2"/>
                      <w:sz w:val="21"/>
                      <w:szCs w:val="21"/>
                      <w:lang w:val="en-US" w:eastAsia="zh-CN" w:bidi="ar-SA"/>
                    </w:rPr>
                    <w:t>0.0176</w:t>
                  </w:r>
                </w:p>
              </w:tc>
              <w:tc>
                <w:tcPr>
                  <w:tcW w:w="528" w:type="pct"/>
                  <w:vMerge w:val="restart"/>
                  <w:shd w:val="clear" w:color="auto" w:fill="auto"/>
                  <w:noWrap w:val="0"/>
                  <w:vAlign w:val="center"/>
                </w:tcPr>
                <w:p w14:paraId="0D3B3A91">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kern w:val="2"/>
                      <w:sz w:val="21"/>
                      <w:szCs w:val="21"/>
                      <w:lang w:val="en-US" w:eastAsia="zh-CN" w:bidi="ar-SA"/>
                    </w:rPr>
                  </w:pPr>
                  <w:r>
                    <w:rPr>
                      <w:rFonts w:hint="default" w:ascii="Times New Roman" w:hAnsi="Times New Roman" w:eastAsia="宋体" w:cs="Times New Roman"/>
                      <w:b w:val="0"/>
                      <w:bCs w:val="0"/>
                      <w:smallCaps w:val="0"/>
                      <w:color w:val="auto"/>
                      <w:spacing w:val="0"/>
                      <w:szCs w:val="21"/>
                      <w:lang w:val="en-US" w:eastAsia="zh-CN"/>
                    </w:rPr>
                    <w:t>2026.31</w:t>
                  </w:r>
                </w:p>
              </w:tc>
              <w:tc>
                <w:tcPr>
                  <w:tcW w:w="477" w:type="pct"/>
                  <w:vMerge w:val="restart"/>
                  <w:shd w:val="clear" w:color="auto" w:fill="auto"/>
                  <w:noWrap w:val="0"/>
                  <w:vAlign w:val="center"/>
                </w:tcPr>
                <w:p w14:paraId="36B2177D">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kern w:val="2"/>
                      <w:sz w:val="21"/>
                      <w:szCs w:val="21"/>
                      <w:lang w:val="en-US" w:eastAsia="zh-CN" w:bidi="ar-SA"/>
                    </w:rPr>
                  </w:pPr>
                  <w:r>
                    <w:rPr>
                      <w:rFonts w:hint="default" w:ascii="Times New Roman" w:hAnsi="Times New Roman" w:eastAsia="宋体" w:cs="Times New Roman"/>
                      <w:b w:val="0"/>
                      <w:bCs w:val="0"/>
                      <w:smallCaps w:val="0"/>
                      <w:color w:val="auto"/>
                      <w:spacing w:val="0"/>
                      <w:szCs w:val="21"/>
                      <w:lang w:val="en-US" w:eastAsia="zh-CN"/>
                    </w:rPr>
                    <w:t>8</w:t>
                  </w:r>
                </w:p>
              </w:tc>
            </w:tr>
            <w:tr w14:paraId="43E1B154">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73" w:type="pct"/>
                  <w:vMerge w:val="continue"/>
                  <w:noWrap w:val="0"/>
                  <w:vAlign w:val="center"/>
                </w:tcPr>
                <w:p w14:paraId="6BE685CA">
                  <w:pPr>
                    <w:jc w:val="center"/>
                    <w:rPr>
                      <w:rFonts w:hint="default" w:ascii="Times New Roman" w:hAnsi="Times New Roman" w:eastAsia="宋体" w:cs="Times New Roman"/>
                      <w:smallCaps w:val="0"/>
                      <w:color w:val="auto"/>
                      <w:spacing w:val="0"/>
                      <w:sz w:val="21"/>
                      <w:szCs w:val="21"/>
                      <w:lang w:val="en-US" w:eastAsia="zh-CN"/>
                    </w:rPr>
                  </w:pPr>
                </w:p>
              </w:tc>
              <w:tc>
                <w:tcPr>
                  <w:tcW w:w="446" w:type="pct"/>
                  <w:shd w:val="clear" w:color="auto" w:fill="auto"/>
                  <w:noWrap w:val="0"/>
                  <w:vAlign w:val="center"/>
                </w:tcPr>
                <w:p w14:paraId="5F1C5BD7">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kern w:val="2"/>
                      <w:sz w:val="21"/>
                      <w:szCs w:val="21"/>
                      <w:lang w:val="en-US" w:eastAsia="zh-CN" w:bidi="ar-SA"/>
                    </w:rPr>
                    <w:t>焊接</w:t>
                  </w:r>
                </w:p>
              </w:tc>
              <w:tc>
                <w:tcPr>
                  <w:tcW w:w="456" w:type="pct"/>
                  <w:noWrap w:val="0"/>
                  <w:vAlign w:val="center"/>
                </w:tcPr>
                <w:p w14:paraId="4BD00787">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颗粒物</w:t>
                  </w:r>
                </w:p>
              </w:tc>
              <w:tc>
                <w:tcPr>
                  <w:tcW w:w="581" w:type="pct"/>
                  <w:noWrap w:val="0"/>
                  <w:vAlign w:val="center"/>
                </w:tcPr>
                <w:p w14:paraId="705DA626">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sz w:val="21"/>
                      <w:szCs w:val="21"/>
                      <w:u w:val="none"/>
                      <w:lang w:val="en-US" w:eastAsia="zh-CN" w:bidi="ar"/>
                    </w:rPr>
                    <w:t>0.007</w:t>
                  </w:r>
                </w:p>
              </w:tc>
              <w:tc>
                <w:tcPr>
                  <w:tcW w:w="474" w:type="pct"/>
                  <w:shd w:val="clear" w:color="auto" w:fill="auto"/>
                  <w:noWrap w:val="0"/>
                  <w:vAlign w:val="center"/>
                </w:tcPr>
                <w:p w14:paraId="10C5C509">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kern w:val="2"/>
                      <w:sz w:val="21"/>
                      <w:szCs w:val="21"/>
                      <w:lang w:val="en-US" w:eastAsia="zh-CN" w:bidi="ar-SA"/>
                    </w:rPr>
                  </w:pPr>
                  <w:r>
                    <w:rPr>
                      <w:rFonts w:hint="default" w:ascii="Times New Roman" w:hAnsi="Times New Roman" w:eastAsia="宋体" w:cs="Times New Roman"/>
                      <w:b w:val="0"/>
                      <w:bCs w:val="0"/>
                      <w:smallCaps w:val="0"/>
                      <w:color w:val="auto"/>
                      <w:spacing w:val="0"/>
                      <w:kern w:val="2"/>
                      <w:sz w:val="21"/>
                      <w:szCs w:val="21"/>
                      <w:lang w:val="en-US" w:eastAsia="zh-CN" w:bidi="ar-SA"/>
                    </w:rPr>
                    <w:t>0.016</w:t>
                  </w:r>
                </w:p>
              </w:tc>
              <w:tc>
                <w:tcPr>
                  <w:tcW w:w="567" w:type="pct"/>
                  <w:noWrap w:val="0"/>
                  <w:vAlign w:val="center"/>
                </w:tcPr>
                <w:p w14:paraId="45586342">
                  <w:pPr>
                    <w:keepNext w:val="0"/>
                    <w:keepLines w:val="0"/>
                    <w:widowControl/>
                    <w:suppressLineNumbers w:val="0"/>
                    <w:jc w:val="center"/>
                    <w:textAlignment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移动式焊接烟尘净化器</w:t>
                  </w:r>
                </w:p>
              </w:tc>
              <w:tc>
                <w:tcPr>
                  <w:tcW w:w="614" w:type="pct"/>
                  <w:shd w:val="clear" w:color="auto" w:fill="auto"/>
                  <w:noWrap w:val="0"/>
                  <w:vAlign w:val="center"/>
                </w:tcPr>
                <w:p w14:paraId="71ADF219">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sz w:val="21"/>
                      <w:szCs w:val="21"/>
                      <w:u w:val="none"/>
                      <w:lang w:val="en-US" w:eastAsia="zh-CN" w:bidi="ar"/>
                    </w:rPr>
                    <w:t>0.001</w:t>
                  </w:r>
                </w:p>
              </w:tc>
              <w:tc>
                <w:tcPr>
                  <w:tcW w:w="578" w:type="pct"/>
                  <w:shd w:val="clear" w:color="auto" w:fill="auto"/>
                  <w:noWrap w:val="0"/>
                  <w:vAlign w:val="center"/>
                </w:tcPr>
                <w:p w14:paraId="0ED6910D">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kern w:val="2"/>
                      <w:sz w:val="21"/>
                      <w:szCs w:val="21"/>
                      <w:lang w:val="en-US" w:eastAsia="zh-CN" w:bidi="ar-SA"/>
                    </w:rPr>
                  </w:pPr>
                  <w:r>
                    <w:rPr>
                      <w:rFonts w:hint="default" w:ascii="Times New Roman" w:hAnsi="Times New Roman" w:eastAsia="宋体" w:cs="Times New Roman"/>
                      <w:b w:val="0"/>
                      <w:bCs w:val="0"/>
                      <w:smallCaps w:val="0"/>
                      <w:color w:val="auto"/>
                      <w:spacing w:val="0"/>
                      <w:kern w:val="2"/>
                      <w:sz w:val="21"/>
                      <w:szCs w:val="21"/>
                      <w:lang w:val="en-US" w:eastAsia="zh-CN" w:bidi="ar-SA"/>
                    </w:rPr>
                    <w:t>0.0032</w:t>
                  </w:r>
                </w:p>
              </w:tc>
              <w:tc>
                <w:tcPr>
                  <w:tcW w:w="528" w:type="pct"/>
                  <w:vMerge w:val="continue"/>
                  <w:shd w:val="clear" w:color="auto" w:fill="auto"/>
                  <w:noWrap w:val="0"/>
                  <w:vAlign w:val="center"/>
                </w:tcPr>
                <w:p w14:paraId="04CD83B5">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szCs w:val="21"/>
                      <w:lang w:val="en-US" w:eastAsia="zh-CN"/>
                    </w:rPr>
                  </w:pPr>
                </w:p>
              </w:tc>
              <w:tc>
                <w:tcPr>
                  <w:tcW w:w="477" w:type="pct"/>
                  <w:vMerge w:val="continue"/>
                  <w:shd w:val="clear" w:color="auto" w:fill="auto"/>
                  <w:noWrap w:val="0"/>
                  <w:vAlign w:val="center"/>
                </w:tcPr>
                <w:p w14:paraId="01CD82A1">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szCs w:val="21"/>
                      <w:lang w:val="en-US" w:eastAsia="zh-CN"/>
                    </w:rPr>
                  </w:pPr>
                </w:p>
              </w:tc>
            </w:tr>
            <w:tr w14:paraId="06475F2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73" w:type="pct"/>
                  <w:vMerge w:val="continue"/>
                  <w:noWrap w:val="0"/>
                  <w:vAlign w:val="center"/>
                </w:tcPr>
                <w:p w14:paraId="254C4FA4">
                  <w:pPr>
                    <w:jc w:val="center"/>
                    <w:rPr>
                      <w:rFonts w:hint="default" w:ascii="Times New Roman" w:hAnsi="Times New Roman" w:eastAsia="宋体" w:cs="Times New Roman"/>
                      <w:smallCaps w:val="0"/>
                      <w:color w:val="auto"/>
                      <w:spacing w:val="0"/>
                      <w:sz w:val="21"/>
                      <w:szCs w:val="21"/>
                      <w:lang w:val="en-US" w:eastAsia="zh-CN"/>
                    </w:rPr>
                  </w:pPr>
                </w:p>
              </w:tc>
              <w:tc>
                <w:tcPr>
                  <w:tcW w:w="446" w:type="pct"/>
                  <w:shd w:val="clear" w:color="auto" w:fill="auto"/>
                  <w:noWrap w:val="0"/>
                  <w:vAlign w:val="center"/>
                </w:tcPr>
                <w:p w14:paraId="2D7489B1">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kern w:val="2"/>
                      <w:sz w:val="21"/>
                      <w:szCs w:val="21"/>
                      <w:lang w:val="en-US" w:eastAsia="zh-CN" w:bidi="ar-SA"/>
                    </w:rPr>
                    <w:t>印刷编码</w:t>
                  </w:r>
                </w:p>
              </w:tc>
              <w:tc>
                <w:tcPr>
                  <w:tcW w:w="456" w:type="pct"/>
                  <w:noWrap w:val="0"/>
                  <w:vAlign w:val="center"/>
                </w:tcPr>
                <w:p w14:paraId="5F08BEF7">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非甲烷总烃</w:t>
                  </w:r>
                </w:p>
              </w:tc>
              <w:tc>
                <w:tcPr>
                  <w:tcW w:w="581" w:type="pct"/>
                  <w:noWrap w:val="0"/>
                  <w:vAlign w:val="center"/>
                </w:tcPr>
                <w:p w14:paraId="3F5A81F9">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sz w:val="21"/>
                      <w:szCs w:val="21"/>
                      <w:u w:val="none"/>
                      <w:lang w:val="en-US" w:eastAsia="zh-CN" w:bidi="ar"/>
                    </w:rPr>
                    <w:t>/</w:t>
                  </w:r>
                </w:p>
              </w:tc>
              <w:tc>
                <w:tcPr>
                  <w:tcW w:w="474" w:type="pct"/>
                  <w:shd w:val="clear" w:color="auto" w:fill="auto"/>
                  <w:noWrap w:val="0"/>
                  <w:vAlign w:val="center"/>
                </w:tcPr>
                <w:p w14:paraId="7D283913">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kern w:val="2"/>
                      <w:sz w:val="21"/>
                      <w:szCs w:val="21"/>
                      <w:lang w:val="en-US" w:eastAsia="zh-CN" w:bidi="ar-SA"/>
                    </w:rPr>
                  </w:pPr>
                  <w:r>
                    <w:rPr>
                      <w:rFonts w:hint="default" w:ascii="Times New Roman" w:hAnsi="Times New Roman" w:eastAsia="宋体" w:cs="Times New Roman"/>
                      <w:b w:val="0"/>
                      <w:bCs w:val="0"/>
                      <w:smallCaps w:val="0"/>
                      <w:color w:val="auto"/>
                      <w:spacing w:val="0"/>
                      <w:kern w:val="2"/>
                      <w:sz w:val="21"/>
                      <w:szCs w:val="21"/>
                      <w:lang w:val="en-US" w:eastAsia="zh-CN" w:bidi="ar-SA"/>
                    </w:rPr>
                    <w:t>/</w:t>
                  </w:r>
                </w:p>
              </w:tc>
              <w:tc>
                <w:tcPr>
                  <w:tcW w:w="567" w:type="pct"/>
                  <w:noWrap w:val="0"/>
                  <w:vAlign w:val="center"/>
                </w:tcPr>
                <w:p w14:paraId="1731B1FF">
                  <w:pPr>
                    <w:keepNext w:val="0"/>
                    <w:keepLines w:val="0"/>
                    <w:widowControl/>
                    <w:suppressLineNumbers w:val="0"/>
                    <w:jc w:val="center"/>
                    <w:textAlignment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加强车间通风</w:t>
                  </w:r>
                </w:p>
              </w:tc>
              <w:tc>
                <w:tcPr>
                  <w:tcW w:w="614" w:type="pct"/>
                  <w:shd w:val="clear" w:color="auto" w:fill="auto"/>
                  <w:noWrap w:val="0"/>
                  <w:vAlign w:val="center"/>
                </w:tcPr>
                <w:p w14:paraId="4F70324E">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sz w:val="21"/>
                      <w:szCs w:val="21"/>
                      <w:u w:val="none"/>
                      <w:lang w:val="en-US" w:eastAsia="zh-CN" w:bidi="ar"/>
                    </w:rPr>
                    <w:t>/</w:t>
                  </w:r>
                </w:p>
              </w:tc>
              <w:tc>
                <w:tcPr>
                  <w:tcW w:w="578" w:type="pct"/>
                  <w:shd w:val="clear" w:color="auto" w:fill="auto"/>
                  <w:noWrap w:val="0"/>
                  <w:vAlign w:val="center"/>
                </w:tcPr>
                <w:p w14:paraId="2D6EA39A">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kern w:val="2"/>
                      <w:sz w:val="21"/>
                      <w:szCs w:val="21"/>
                      <w:lang w:val="en-US" w:eastAsia="zh-CN" w:bidi="ar-SA"/>
                    </w:rPr>
                  </w:pPr>
                  <w:r>
                    <w:rPr>
                      <w:rFonts w:hint="default" w:ascii="Times New Roman" w:hAnsi="Times New Roman" w:eastAsia="宋体" w:cs="Times New Roman"/>
                      <w:b w:val="0"/>
                      <w:bCs w:val="0"/>
                      <w:smallCaps w:val="0"/>
                      <w:color w:val="auto"/>
                      <w:spacing w:val="0"/>
                      <w:kern w:val="2"/>
                      <w:sz w:val="21"/>
                      <w:szCs w:val="21"/>
                      <w:lang w:val="en-US" w:eastAsia="zh-CN" w:bidi="ar-SA"/>
                    </w:rPr>
                    <w:t>/</w:t>
                  </w:r>
                </w:p>
              </w:tc>
              <w:tc>
                <w:tcPr>
                  <w:tcW w:w="528" w:type="pct"/>
                  <w:vMerge w:val="continue"/>
                  <w:shd w:val="clear" w:color="auto" w:fill="auto"/>
                  <w:noWrap w:val="0"/>
                  <w:vAlign w:val="center"/>
                </w:tcPr>
                <w:p w14:paraId="2B16BF47">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szCs w:val="21"/>
                      <w:lang w:val="en-US" w:eastAsia="zh-CN"/>
                    </w:rPr>
                  </w:pPr>
                </w:p>
              </w:tc>
              <w:tc>
                <w:tcPr>
                  <w:tcW w:w="477" w:type="pct"/>
                  <w:vMerge w:val="continue"/>
                  <w:shd w:val="clear" w:color="auto" w:fill="auto"/>
                  <w:noWrap w:val="0"/>
                  <w:vAlign w:val="center"/>
                </w:tcPr>
                <w:p w14:paraId="1C4673CA">
                  <w:pPr>
                    <w:adjustRightInd w:val="0"/>
                    <w:snapToGrid w:val="0"/>
                    <w:spacing w:line="240" w:lineRule="auto"/>
                    <w:ind w:firstLine="0" w:firstLineChars="0"/>
                    <w:jc w:val="center"/>
                    <w:rPr>
                      <w:rFonts w:hint="default" w:ascii="Times New Roman" w:hAnsi="Times New Roman" w:eastAsia="宋体" w:cs="Times New Roman"/>
                      <w:b w:val="0"/>
                      <w:bCs w:val="0"/>
                      <w:smallCaps w:val="0"/>
                      <w:color w:val="auto"/>
                      <w:spacing w:val="0"/>
                      <w:szCs w:val="21"/>
                      <w:lang w:val="en-US" w:eastAsia="zh-CN"/>
                    </w:rPr>
                  </w:pPr>
                </w:p>
              </w:tc>
            </w:tr>
          </w:tbl>
          <w:p w14:paraId="6032AC4B">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smallCaps w:val="0"/>
                <w:color w:val="auto"/>
                <w:spacing w:val="0"/>
                <w:kern w:val="0"/>
                <w:position w:val="0"/>
                <w:lang w:val="en-US" w:eastAsia="zh-CN"/>
              </w:rPr>
            </w:pPr>
            <w:r>
              <w:rPr>
                <w:rFonts w:hint="default" w:ascii="Times New Roman" w:hAnsi="Times New Roman" w:eastAsia="宋体" w:cs="Times New Roman"/>
                <w:b/>
                <w:smallCaps w:val="0"/>
                <w:color w:val="auto"/>
                <w:spacing w:val="0"/>
                <w:kern w:val="0"/>
                <w:position w:val="0"/>
              </w:rPr>
              <w:t>1.</w:t>
            </w:r>
            <w:r>
              <w:rPr>
                <w:rFonts w:hint="default" w:ascii="Times New Roman" w:hAnsi="Times New Roman" w:eastAsia="宋体" w:cs="Times New Roman"/>
                <w:b/>
                <w:smallCaps w:val="0"/>
                <w:color w:val="auto"/>
                <w:spacing w:val="0"/>
                <w:kern w:val="0"/>
                <w:position w:val="0"/>
                <w:lang w:val="en-US" w:eastAsia="zh-CN"/>
              </w:rPr>
              <w:t>2技术可行性分析</w:t>
            </w:r>
          </w:p>
          <w:p w14:paraId="5A228EBD">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b w:val="0"/>
                <w:bCs w:val="0"/>
                <w:smallCaps w:val="0"/>
                <w:color w:val="auto"/>
                <w:spacing w:val="0"/>
                <w:kern w:val="0"/>
                <w:position w:val="0"/>
                <w:sz w:val="24"/>
                <w:szCs w:val="24"/>
                <w:lang w:val="en-US" w:eastAsia="zh-CN" w:bidi="ar-SA"/>
              </w:rPr>
            </w:pPr>
            <w:r>
              <w:rPr>
                <w:rFonts w:hint="default" w:ascii="Times New Roman" w:hAnsi="Times New Roman" w:eastAsia="宋体" w:cs="Times New Roman"/>
                <w:b w:val="0"/>
                <w:bCs w:val="0"/>
                <w:smallCaps w:val="0"/>
                <w:color w:val="auto"/>
                <w:spacing w:val="0"/>
                <w:kern w:val="0"/>
                <w:position w:val="0"/>
                <w:sz w:val="24"/>
                <w:szCs w:val="24"/>
                <w:lang w:val="en-US" w:eastAsia="zh-CN" w:bidi="ar-SA"/>
              </w:rPr>
              <w:t>本项目主要采用UV印刷机进行印刷编码，UV印刷机是一种在紫外光的照射下，UV墨水通过光引发剂辅助吸收一定波长的光子，激发到激发态形成自由基或离子，然后通过分子间能量转移，使聚合的预聚物和光敏感的单体和聚合物形成激发态，产生的电荷转移复合体，这些复杂的粒子不断交联聚合，固化成膜的一种打印工艺，UV油墨即喷即干，仅有少量小分子单体挥发</w:t>
            </w:r>
            <w:r>
              <w:rPr>
                <w:rFonts w:hint="eastAsia" w:cs="Times New Roman"/>
                <w:b w:val="0"/>
                <w:bCs w:val="0"/>
                <w:smallCaps w:val="0"/>
                <w:color w:val="auto"/>
                <w:spacing w:val="0"/>
                <w:kern w:val="0"/>
                <w:position w:val="0"/>
                <w:sz w:val="24"/>
                <w:szCs w:val="24"/>
                <w:lang w:val="en-US" w:eastAsia="zh-CN" w:bidi="ar-SA"/>
              </w:rPr>
              <w:t>。本项目使用UV油墨根据其主要成分，属于能量固化油墨-喷墨印刷油墨，对照企业提供的检测报告（报告编号：EY210528025VC007），施工状态中VOC检出结果为0.55%，满足《油墨中可挥发性有机化合物(VOCs)含量的限值（GB38507-2020）》相关限值的要求，根据《挥发性有机物无组织排放控制标准（GB37822-2019）》VOCs物料指VOC质量占比大于等于10%的物料，以及有机聚合物材料等，本项目使用UV油墨VOC远低于10%，本项目使用UV油墨使用量为0.006t/a，挥发性有机物产生量极少，因此印刷废气无需设置废气收集系统。</w:t>
            </w:r>
          </w:p>
          <w:p w14:paraId="5959C8BA">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b w:val="0"/>
                <w:bCs w:val="0"/>
                <w:smallCaps w:val="0"/>
                <w:color w:val="auto"/>
                <w:spacing w:val="0"/>
                <w:kern w:val="0"/>
                <w:position w:val="0"/>
                <w:sz w:val="24"/>
                <w:szCs w:val="24"/>
                <w:lang w:val="en-US" w:eastAsia="zh-CN" w:bidi="ar-SA"/>
              </w:rPr>
            </w:pPr>
            <w:r>
              <w:rPr>
                <w:rFonts w:hint="default" w:ascii="Times New Roman" w:hAnsi="Times New Roman" w:eastAsia="宋体" w:cs="Times New Roman"/>
                <w:b w:val="0"/>
                <w:bCs w:val="0"/>
                <w:smallCaps w:val="0"/>
                <w:color w:val="auto"/>
                <w:spacing w:val="0"/>
                <w:kern w:val="0"/>
                <w:position w:val="0"/>
                <w:sz w:val="24"/>
                <w:szCs w:val="24"/>
                <w:lang w:val="en-US" w:eastAsia="zh-CN" w:bidi="ar-SA"/>
              </w:rPr>
              <w:t>本项目生产过程中的无组织废气主要为切割粉尘、焊接烟尘和印刷废气，其中</w:t>
            </w:r>
            <w:r>
              <w:rPr>
                <w:rFonts w:hint="eastAsia" w:cs="Times New Roman"/>
                <w:b w:val="0"/>
                <w:bCs w:val="0"/>
                <w:smallCaps w:val="0"/>
                <w:color w:val="auto"/>
                <w:spacing w:val="0"/>
                <w:kern w:val="0"/>
                <w:position w:val="0"/>
                <w:sz w:val="24"/>
                <w:szCs w:val="24"/>
                <w:lang w:val="en-US" w:eastAsia="zh-CN" w:bidi="ar-SA"/>
              </w:rPr>
              <w:t>切割粉尘经除尘器处理后在车间内无组织排放，</w:t>
            </w:r>
            <w:r>
              <w:rPr>
                <w:rFonts w:hint="default" w:ascii="Times New Roman" w:hAnsi="Times New Roman" w:eastAsia="宋体" w:cs="Times New Roman"/>
                <w:b w:val="0"/>
                <w:bCs w:val="0"/>
                <w:smallCaps w:val="0"/>
                <w:color w:val="auto"/>
                <w:spacing w:val="0"/>
                <w:kern w:val="0"/>
                <w:position w:val="0"/>
                <w:sz w:val="24"/>
                <w:szCs w:val="24"/>
                <w:lang w:val="en-US" w:eastAsia="zh-CN" w:bidi="ar-SA"/>
              </w:rPr>
              <w:t>焊接烟尘经移动式焊接烟尘净化器处理后在车间内无组织排放，为有效控制无组织废气的排放，本项目采取预防为主的方针，同时工艺设计尽量减少生产过程中的产污环节，本项目采取的控制措施主要有：</w:t>
            </w:r>
          </w:p>
          <w:p w14:paraId="37749FC3">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b w:val="0"/>
                <w:bCs w:val="0"/>
                <w:smallCaps w:val="0"/>
                <w:color w:val="auto"/>
                <w:spacing w:val="0"/>
                <w:kern w:val="0"/>
                <w:position w:val="0"/>
                <w:sz w:val="24"/>
                <w:szCs w:val="24"/>
                <w:lang w:val="en-US" w:eastAsia="zh-CN" w:bidi="ar-SA"/>
              </w:rPr>
            </w:pPr>
            <w:r>
              <w:rPr>
                <w:rFonts w:hint="default" w:ascii="Times New Roman" w:hAnsi="Times New Roman" w:eastAsia="宋体" w:cs="Times New Roman"/>
                <w:b w:val="0"/>
                <w:bCs w:val="0"/>
                <w:smallCaps w:val="0"/>
                <w:color w:val="auto"/>
                <w:spacing w:val="0"/>
                <w:kern w:val="0"/>
                <w:position w:val="0"/>
                <w:sz w:val="24"/>
                <w:szCs w:val="24"/>
                <w:lang w:val="en-US" w:eastAsia="zh-CN" w:bidi="ar-SA"/>
              </w:rPr>
              <w:t>①首先是选用高质量的设备，提高安装质量，同时经常对设备进行检修维护；</w:t>
            </w:r>
          </w:p>
          <w:p w14:paraId="2FF7BAEA">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b w:val="0"/>
                <w:bCs w:val="0"/>
                <w:smallCaps w:val="0"/>
                <w:color w:val="auto"/>
                <w:spacing w:val="0"/>
                <w:kern w:val="0"/>
                <w:position w:val="0"/>
                <w:sz w:val="24"/>
                <w:szCs w:val="24"/>
                <w:lang w:val="en-US" w:eastAsia="zh-CN" w:bidi="ar-SA"/>
              </w:rPr>
            </w:pPr>
            <w:r>
              <w:rPr>
                <w:rFonts w:hint="default" w:ascii="Times New Roman" w:hAnsi="Times New Roman" w:eastAsia="宋体" w:cs="Times New Roman"/>
                <w:b w:val="0"/>
                <w:bCs w:val="0"/>
                <w:smallCaps w:val="0"/>
                <w:color w:val="auto"/>
                <w:spacing w:val="0"/>
                <w:kern w:val="0"/>
                <w:position w:val="0"/>
                <w:sz w:val="24"/>
                <w:szCs w:val="24"/>
                <w:lang w:val="en-US" w:eastAsia="zh-CN" w:bidi="ar-SA"/>
              </w:rPr>
              <w:t>②规范操作流程，加强环境管理，尽量降低无组织废气的产生量；</w:t>
            </w:r>
          </w:p>
          <w:p w14:paraId="57FEBBB5">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b w:val="0"/>
                <w:bCs w:val="0"/>
                <w:smallCaps w:val="0"/>
                <w:color w:val="auto"/>
                <w:spacing w:val="0"/>
                <w:kern w:val="0"/>
                <w:position w:val="0"/>
                <w:sz w:val="24"/>
                <w:szCs w:val="24"/>
                <w:lang w:val="en-US" w:eastAsia="zh-CN" w:bidi="ar-SA"/>
              </w:rPr>
            </w:pPr>
            <w:r>
              <w:rPr>
                <w:rFonts w:hint="default" w:ascii="Times New Roman" w:hAnsi="Times New Roman" w:eastAsia="宋体" w:cs="Times New Roman"/>
                <w:b w:val="0"/>
                <w:bCs w:val="0"/>
                <w:smallCaps w:val="0"/>
                <w:color w:val="auto"/>
                <w:spacing w:val="0"/>
                <w:kern w:val="0"/>
                <w:position w:val="0"/>
                <w:sz w:val="24"/>
                <w:szCs w:val="24"/>
                <w:lang w:val="en-US" w:eastAsia="zh-CN" w:bidi="ar-SA"/>
              </w:rPr>
              <w:t>③加强厂区和厂界的绿化工作，减少无组织废气对周围环境的影响；</w:t>
            </w:r>
          </w:p>
          <w:p w14:paraId="34DD2C2B">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b w:val="0"/>
                <w:bCs w:val="0"/>
                <w:smallCaps w:val="0"/>
                <w:color w:val="auto"/>
                <w:spacing w:val="0"/>
                <w:kern w:val="0"/>
                <w:position w:val="0"/>
                <w:sz w:val="24"/>
                <w:szCs w:val="24"/>
                <w:lang w:val="en-US" w:eastAsia="zh-CN" w:bidi="ar-SA"/>
              </w:rPr>
            </w:pPr>
            <w:r>
              <w:rPr>
                <w:rFonts w:hint="default" w:ascii="Times New Roman" w:hAnsi="Times New Roman" w:eastAsia="宋体" w:cs="Times New Roman"/>
                <w:b w:val="0"/>
                <w:bCs w:val="0"/>
                <w:smallCaps w:val="0"/>
                <w:color w:val="auto"/>
                <w:spacing w:val="0"/>
                <w:kern w:val="0"/>
                <w:position w:val="0"/>
                <w:sz w:val="24"/>
                <w:szCs w:val="24"/>
                <w:lang w:val="en-US" w:eastAsia="zh-CN" w:bidi="ar-SA"/>
              </w:rPr>
              <w:t>通过采取以上无组织排放控制措施，无组织排放的颗粒物、非甲烷总烃满足《大气污染物综合排放标准》（DB32/4041-2021）中表3标准限值。</w:t>
            </w:r>
          </w:p>
          <w:p w14:paraId="511B6AF1">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smallCaps w:val="0"/>
                <w:color w:val="auto"/>
                <w:spacing w:val="0"/>
                <w:kern w:val="0"/>
                <w:position w:val="0"/>
                <w:lang w:val="en-US" w:eastAsia="zh-CN"/>
              </w:rPr>
            </w:pPr>
            <w:r>
              <w:rPr>
                <w:rFonts w:hint="default" w:ascii="Times New Roman" w:hAnsi="Times New Roman" w:eastAsia="宋体" w:cs="Times New Roman"/>
                <w:b/>
                <w:smallCaps w:val="0"/>
                <w:color w:val="auto"/>
                <w:spacing w:val="0"/>
                <w:kern w:val="0"/>
                <w:position w:val="0"/>
              </w:rPr>
              <w:t>1.</w:t>
            </w:r>
            <w:r>
              <w:rPr>
                <w:rFonts w:hint="default" w:ascii="Times New Roman" w:hAnsi="Times New Roman" w:eastAsia="宋体" w:cs="Times New Roman"/>
                <w:b/>
                <w:smallCaps w:val="0"/>
                <w:color w:val="auto"/>
                <w:spacing w:val="0"/>
                <w:kern w:val="0"/>
                <w:position w:val="0"/>
                <w:lang w:val="en-US" w:eastAsia="zh-CN"/>
              </w:rPr>
              <w:t>3排放口基本情况</w:t>
            </w:r>
          </w:p>
          <w:p w14:paraId="2E2D49E2">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smallCaps w:val="0"/>
                <w:color w:val="auto"/>
                <w:spacing w:val="0"/>
                <w:kern w:val="2"/>
                <w:sz w:val="24"/>
                <w:szCs w:val="24"/>
                <w:lang w:val="en-US" w:eastAsia="zh-CN" w:bidi="ar-SA"/>
              </w:rPr>
            </w:pPr>
            <w:r>
              <w:rPr>
                <w:rFonts w:hint="default" w:ascii="Times New Roman" w:hAnsi="Times New Roman" w:eastAsia="宋体" w:cs="Times New Roman"/>
                <w:smallCaps w:val="0"/>
                <w:color w:val="auto"/>
                <w:spacing w:val="0"/>
                <w:kern w:val="2"/>
                <w:sz w:val="24"/>
                <w:szCs w:val="24"/>
                <w:lang w:val="en-US" w:eastAsia="zh-CN" w:bidi="ar-SA"/>
              </w:rPr>
              <w:t>本项目废气排放基本情况如下：</w:t>
            </w:r>
          </w:p>
          <w:p w14:paraId="7211F99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sz w:val="21"/>
                <w:szCs w:val="18"/>
                <w:lang w:val="en-US" w:eastAsia="zh-CN" w:bidi="ar-SA"/>
              </w:rPr>
            </w:pPr>
            <w:r>
              <w:rPr>
                <w:rFonts w:hint="default" w:ascii="Times New Roman" w:hAnsi="Times New Roman" w:eastAsia="宋体" w:cs="Times New Roman"/>
                <w:b/>
                <w:bCs w:val="0"/>
                <w:smallCaps w:val="0"/>
                <w:color w:val="auto"/>
                <w:spacing w:val="0"/>
                <w:kern w:val="0"/>
                <w:sz w:val="21"/>
                <w:szCs w:val="18"/>
                <w:lang w:val="en-US" w:eastAsia="zh-CN" w:bidi="ar-SA"/>
              </w:rPr>
              <w:t>表4-2本项目废气排放口基本情况信息表</w:t>
            </w:r>
          </w:p>
          <w:tbl>
            <w:tblPr>
              <w:tblStyle w:val="17"/>
              <w:tblW w:w="4931" w:type="pct"/>
              <w:jc w:val="center"/>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Layout w:type="fixed"/>
              <w:tblCellMar>
                <w:top w:w="0" w:type="dxa"/>
                <w:left w:w="0" w:type="dxa"/>
                <w:bottom w:w="0" w:type="dxa"/>
                <w:right w:w="0" w:type="dxa"/>
              </w:tblCellMar>
            </w:tblPr>
            <w:tblGrid>
              <w:gridCol w:w="646"/>
              <w:gridCol w:w="1266"/>
              <w:gridCol w:w="1589"/>
              <w:gridCol w:w="1730"/>
              <w:gridCol w:w="914"/>
              <w:gridCol w:w="1104"/>
              <w:gridCol w:w="1136"/>
            </w:tblGrid>
            <w:tr w14:paraId="157425B3">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PrEx>
              <w:trPr>
                <w:trHeight w:val="340" w:hRule="atLeast"/>
                <w:jc w:val="center"/>
              </w:trPr>
              <w:tc>
                <w:tcPr>
                  <w:tcW w:w="385" w:type="pct"/>
                  <w:vMerge w:val="restart"/>
                  <w:tcBorders>
                    <w:tl2br w:val="nil"/>
                    <w:tr2bl w:val="nil"/>
                  </w:tcBorders>
                  <w:noWrap w:val="0"/>
                  <w:tcMar>
                    <w:top w:w="0" w:type="dxa"/>
                    <w:left w:w="28" w:type="dxa"/>
                    <w:bottom w:w="0" w:type="dxa"/>
                    <w:right w:w="28" w:type="dxa"/>
                  </w:tcMar>
                  <w:vAlign w:val="center"/>
                </w:tcPr>
                <w:p w14:paraId="77B8A5D3">
                  <w:pPr>
                    <w:snapToGrid w:val="0"/>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b/>
                      <w:bCs/>
                      <w:smallCaps w:val="0"/>
                      <w:color w:val="auto"/>
                      <w:spacing w:val="0"/>
                      <w:sz w:val="21"/>
                      <w:szCs w:val="21"/>
                    </w:rPr>
                    <w:t>编号</w:t>
                  </w:r>
                </w:p>
              </w:tc>
              <w:tc>
                <w:tcPr>
                  <w:tcW w:w="754" w:type="pct"/>
                  <w:vMerge w:val="restart"/>
                  <w:tcBorders>
                    <w:tl2br w:val="nil"/>
                    <w:tr2bl w:val="nil"/>
                  </w:tcBorders>
                  <w:noWrap w:val="0"/>
                  <w:tcMar>
                    <w:top w:w="0" w:type="dxa"/>
                    <w:left w:w="28" w:type="dxa"/>
                    <w:bottom w:w="0" w:type="dxa"/>
                    <w:right w:w="28" w:type="dxa"/>
                  </w:tcMar>
                  <w:vAlign w:val="center"/>
                </w:tcPr>
                <w:p w14:paraId="03AF405B">
                  <w:pPr>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b/>
                      <w:bCs/>
                      <w:smallCaps w:val="0"/>
                      <w:color w:val="auto"/>
                      <w:spacing w:val="0"/>
                      <w:sz w:val="21"/>
                      <w:szCs w:val="21"/>
                    </w:rPr>
                    <w:t>名称</w:t>
                  </w:r>
                </w:p>
              </w:tc>
              <w:tc>
                <w:tcPr>
                  <w:tcW w:w="1979" w:type="pct"/>
                  <w:gridSpan w:val="2"/>
                  <w:tcBorders>
                    <w:tl2br w:val="nil"/>
                    <w:tr2bl w:val="nil"/>
                  </w:tcBorders>
                  <w:noWrap w:val="0"/>
                  <w:tcMar>
                    <w:top w:w="0" w:type="dxa"/>
                    <w:left w:w="28" w:type="dxa"/>
                    <w:bottom w:w="0" w:type="dxa"/>
                    <w:right w:w="28" w:type="dxa"/>
                  </w:tcMar>
                  <w:vAlign w:val="center"/>
                </w:tcPr>
                <w:p w14:paraId="6D5E80E7">
                  <w:pPr>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b/>
                      <w:bCs/>
                      <w:smallCaps w:val="0"/>
                      <w:color w:val="auto"/>
                      <w:spacing w:val="0"/>
                      <w:sz w:val="21"/>
                      <w:szCs w:val="21"/>
                    </w:rPr>
                    <w:t>面源起点坐标/m</w:t>
                  </w:r>
                </w:p>
              </w:tc>
              <w:tc>
                <w:tcPr>
                  <w:tcW w:w="545" w:type="pct"/>
                  <w:vMerge w:val="restart"/>
                  <w:tcBorders>
                    <w:tl2br w:val="nil"/>
                    <w:tr2bl w:val="nil"/>
                  </w:tcBorders>
                  <w:noWrap w:val="0"/>
                  <w:tcMar>
                    <w:top w:w="0" w:type="dxa"/>
                    <w:left w:w="28" w:type="dxa"/>
                    <w:bottom w:w="0" w:type="dxa"/>
                    <w:right w:w="28" w:type="dxa"/>
                  </w:tcMar>
                  <w:vAlign w:val="center"/>
                </w:tcPr>
                <w:p w14:paraId="3E7E7BB2">
                  <w:pPr>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b/>
                      <w:bCs/>
                      <w:smallCaps w:val="0"/>
                      <w:color w:val="auto"/>
                      <w:spacing w:val="0"/>
                      <w:sz w:val="21"/>
                      <w:szCs w:val="21"/>
                    </w:rPr>
                    <w:t>面源长度/m</w:t>
                  </w:r>
                </w:p>
              </w:tc>
              <w:tc>
                <w:tcPr>
                  <w:tcW w:w="658" w:type="pct"/>
                  <w:vMerge w:val="restart"/>
                  <w:tcBorders>
                    <w:tl2br w:val="nil"/>
                    <w:tr2bl w:val="nil"/>
                  </w:tcBorders>
                  <w:noWrap w:val="0"/>
                  <w:tcMar>
                    <w:top w:w="0" w:type="dxa"/>
                    <w:left w:w="28" w:type="dxa"/>
                    <w:bottom w:w="0" w:type="dxa"/>
                    <w:right w:w="28" w:type="dxa"/>
                  </w:tcMar>
                  <w:vAlign w:val="center"/>
                </w:tcPr>
                <w:p w14:paraId="2D024BB9">
                  <w:pPr>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b/>
                      <w:bCs/>
                      <w:smallCaps w:val="0"/>
                      <w:color w:val="auto"/>
                      <w:spacing w:val="0"/>
                      <w:sz w:val="21"/>
                      <w:szCs w:val="21"/>
                    </w:rPr>
                    <w:t>面源宽度/m</w:t>
                  </w:r>
                </w:p>
              </w:tc>
              <w:tc>
                <w:tcPr>
                  <w:tcW w:w="677" w:type="pct"/>
                  <w:vMerge w:val="restart"/>
                  <w:tcBorders>
                    <w:tl2br w:val="nil"/>
                    <w:tr2bl w:val="nil"/>
                  </w:tcBorders>
                  <w:noWrap w:val="0"/>
                  <w:tcMar>
                    <w:top w:w="0" w:type="dxa"/>
                    <w:left w:w="28" w:type="dxa"/>
                    <w:bottom w:w="0" w:type="dxa"/>
                    <w:right w:w="28" w:type="dxa"/>
                  </w:tcMar>
                  <w:vAlign w:val="center"/>
                </w:tcPr>
                <w:p w14:paraId="3664CB0B">
                  <w:pPr>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b/>
                      <w:bCs/>
                      <w:smallCaps w:val="0"/>
                      <w:color w:val="auto"/>
                      <w:spacing w:val="0"/>
                      <w:sz w:val="21"/>
                      <w:szCs w:val="21"/>
                    </w:rPr>
                    <w:t>面源有效排放高度/m</w:t>
                  </w:r>
                </w:p>
              </w:tc>
            </w:tr>
            <w:tr w14:paraId="590B6D5F">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85" w:type="pct"/>
                  <w:vMerge w:val="continue"/>
                  <w:tcBorders>
                    <w:tl2br w:val="nil"/>
                    <w:tr2bl w:val="nil"/>
                  </w:tcBorders>
                  <w:noWrap w:val="0"/>
                  <w:vAlign w:val="center"/>
                </w:tcPr>
                <w:p w14:paraId="60CE4E57">
                  <w:pPr>
                    <w:widowControl/>
                    <w:spacing w:line="240" w:lineRule="auto"/>
                    <w:ind w:firstLine="0" w:firstLineChars="0"/>
                    <w:jc w:val="center"/>
                    <w:rPr>
                      <w:rFonts w:hint="default" w:ascii="Times New Roman" w:hAnsi="Times New Roman" w:eastAsia="宋体" w:cs="Times New Roman"/>
                      <w:smallCaps w:val="0"/>
                      <w:color w:val="auto"/>
                      <w:spacing w:val="0"/>
                      <w:sz w:val="21"/>
                      <w:szCs w:val="21"/>
                    </w:rPr>
                  </w:pPr>
                </w:p>
              </w:tc>
              <w:tc>
                <w:tcPr>
                  <w:tcW w:w="754" w:type="pct"/>
                  <w:vMerge w:val="continue"/>
                  <w:tcBorders>
                    <w:tl2br w:val="nil"/>
                    <w:tr2bl w:val="nil"/>
                  </w:tcBorders>
                  <w:noWrap w:val="0"/>
                  <w:vAlign w:val="center"/>
                </w:tcPr>
                <w:p w14:paraId="499CEC38">
                  <w:pPr>
                    <w:widowControl/>
                    <w:spacing w:line="240" w:lineRule="auto"/>
                    <w:ind w:firstLine="0" w:firstLineChars="0"/>
                    <w:jc w:val="center"/>
                    <w:rPr>
                      <w:rFonts w:hint="default" w:ascii="Times New Roman" w:hAnsi="Times New Roman" w:eastAsia="宋体" w:cs="Times New Roman"/>
                      <w:smallCaps w:val="0"/>
                      <w:color w:val="auto"/>
                      <w:spacing w:val="0"/>
                      <w:sz w:val="21"/>
                      <w:szCs w:val="21"/>
                    </w:rPr>
                  </w:pPr>
                </w:p>
              </w:tc>
              <w:tc>
                <w:tcPr>
                  <w:tcW w:w="947" w:type="pct"/>
                  <w:tcBorders>
                    <w:tl2br w:val="nil"/>
                    <w:tr2bl w:val="nil"/>
                  </w:tcBorders>
                  <w:noWrap w:val="0"/>
                  <w:tcMar>
                    <w:top w:w="0" w:type="dxa"/>
                    <w:left w:w="28" w:type="dxa"/>
                    <w:bottom w:w="0" w:type="dxa"/>
                    <w:right w:w="28" w:type="dxa"/>
                  </w:tcMar>
                  <w:vAlign w:val="center"/>
                </w:tcPr>
                <w:p w14:paraId="169C26E7">
                  <w:pPr>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b/>
                      <w:bCs/>
                      <w:smallCaps w:val="0"/>
                      <w:color w:val="auto"/>
                      <w:spacing w:val="0"/>
                      <w:sz w:val="21"/>
                      <w:szCs w:val="21"/>
                    </w:rPr>
                    <w:t>X</w:t>
                  </w:r>
                </w:p>
              </w:tc>
              <w:tc>
                <w:tcPr>
                  <w:tcW w:w="1031" w:type="pct"/>
                  <w:tcBorders>
                    <w:tl2br w:val="nil"/>
                    <w:tr2bl w:val="nil"/>
                  </w:tcBorders>
                  <w:noWrap w:val="0"/>
                  <w:tcMar>
                    <w:top w:w="0" w:type="dxa"/>
                    <w:left w:w="28" w:type="dxa"/>
                    <w:bottom w:w="0" w:type="dxa"/>
                    <w:right w:w="28" w:type="dxa"/>
                  </w:tcMar>
                  <w:vAlign w:val="center"/>
                </w:tcPr>
                <w:p w14:paraId="134F0452">
                  <w:pPr>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b/>
                      <w:bCs/>
                      <w:smallCaps w:val="0"/>
                      <w:color w:val="auto"/>
                      <w:spacing w:val="0"/>
                      <w:sz w:val="21"/>
                      <w:szCs w:val="21"/>
                    </w:rPr>
                    <w:t>Y</w:t>
                  </w:r>
                </w:p>
              </w:tc>
              <w:tc>
                <w:tcPr>
                  <w:tcW w:w="545" w:type="pct"/>
                  <w:vMerge w:val="continue"/>
                  <w:tcBorders>
                    <w:tl2br w:val="nil"/>
                    <w:tr2bl w:val="nil"/>
                  </w:tcBorders>
                  <w:noWrap w:val="0"/>
                  <w:vAlign w:val="center"/>
                </w:tcPr>
                <w:p w14:paraId="755A272A">
                  <w:pPr>
                    <w:widowControl/>
                    <w:spacing w:line="240" w:lineRule="auto"/>
                    <w:ind w:firstLine="0" w:firstLineChars="0"/>
                    <w:jc w:val="center"/>
                    <w:rPr>
                      <w:rFonts w:hint="default" w:ascii="Times New Roman" w:hAnsi="Times New Roman" w:eastAsia="宋体" w:cs="Times New Roman"/>
                      <w:smallCaps w:val="0"/>
                      <w:color w:val="auto"/>
                      <w:spacing w:val="0"/>
                      <w:sz w:val="21"/>
                      <w:szCs w:val="21"/>
                    </w:rPr>
                  </w:pPr>
                </w:p>
              </w:tc>
              <w:tc>
                <w:tcPr>
                  <w:tcW w:w="658" w:type="pct"/>
                  <w:vMerge w:val="continue"/>
                  <w:tcBorders>
                    <w:tl2br w:val="nil"/>
                    <w:tr2bl w:val="nil"/>
                  </w:tcBorders>
                  <w:noWrap w:val="0"/>
                  <w:vAlign w:val="center"/>
                </w:tcPr>
                <w:p w14:paraId="45E31C7A">
                  <w:pPr>
                    <w:widowControl/>
                    <w:spacing w:line="240" w:lineRule="auto"/>
                    <w:ind w:firstLine="0" w:firstLineChars="0"/>
                    <w:jc w:val="center"/>
                    <w:rPr>
                      <w:rFonts w:hint="default" w:ascii="Times New Roman" w:hAnsi="Times New Roman" w:eastAsia="宋体" w:cs="Times New Roman"/>
                      <w:smallCaps w:val="0"/>
                      <w:color w:val="auto"/>
                      <w:spacing w:val="0"/>
                      <w:sz w:val="21"/>
                      <w:szCs w:val="21"/>
                    </w:rPr>
                  </w:pPr>
                </w:p>
              </w:tc>
              <w:tc>
                <w:tcPr>
                  <w:tcW w:w="677" w:type="pct"/>
                  <w:vMerge w:val="continue"/>
                  <w:tcBorders>
                    <w:tl2br w:val="nil"/>
                    <w:tr2bl w:val="nil"/>
                  </w:tcBorders>
                  <w:noWrap w:val="0"/>
                  <w:vAlign w:val="center"/>
                </w:tcPr>
                <w:p w14:paraId="3246F1F8">
                  <w:pPr>
                    <w:widowControl/>
                    <w:spacing w:line="240" w:lineRule="auto"/>
                    <w:ind w:firstLine="0" w:firstLineChars="0"/>
                    <w:jc w:val="center"/>
                    <w:rPr>
                      <w:rFonts w:hint="default" w:ascii="Times New Roman" w:hAnsi="Times New Roman" w:eastAsia="宋体" w:cs="Times New Roman"/>
                      <w:smallCaps w:val="0"/>
                      <w:color w:val="auto"/>
                      <w:spacing w:val="0"/>
                      <w:sz w:val="21"/>
                      <w:szCs w:val="21"/>
                    </w:rPr>
                  </w:pPr>
                </w:p>
              </w:tc>
            </w:tr>
            <w:tr w14:paraId="6F12E393">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85" w:type="pct"/>
                  <w:tcBorders>
                    <w:tl2br w:val="nil"/>
                    <w:tr2bl w:val="nil"/>
                  </w:tcBorders>
                  <w:noWrap w:val="0"/>
                  <w:tcMar>
                    <w:top w:w="0" w:type="dxa"/>
                    <w:left w:w="28" w:type="dxa"/>
                    <w:bottom w:w="0" w:type="dxa"/>
                    <w:right w:w="28" w:type="dxa"/>
                  </w:tcMar>
                  <w:vAlign w:val="center"/>
                </w:tcPr>
                <w:p w14:paraId="75A07AD3">
                  <w:pPr>
                    <w:snapToGrid w:val="0"/>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sz w:val="21"/>
                      <w:szCs w:val="21"/>
                    </w:rPr>
                    <w:t>1</w:t>
                  </w:r>
                </w:p>
              </w:tc>
              <w:tc>
                <w:tcPr>
                  <w:tcW w:w="754" w:type="pct"/>
                  <w:tcBorders>
                    <w:tl2br w:val="nil"/>
                    <w:tr2bl w:val="nil"/>
                  </w:tcBorders>
                  <w:noWrap w:val="0"/>
                  <w:tcMar>
                    <w:top w:w="0" w:type="dxa"/>
                    <w:left w:w="28" w:type="dxa"/>
                    <w:bottom w:w="0" w:type="dxa"/>
                    <w:right w:w="28" w:type="dxa"/>
                  </w:tcMar>
                  <w:vAlign w:val="center"/>
                </w:tcPr>
                <w:p w14:paraId="43EB902F">
                  <w:pPr>
                    <w:adjustRightInd w:val="0"/>
                    <w:snapToGrid w:val="0"/>
                    <w:spacing w:line="240" w:lineRule="auto"/>
                    <w:ind w:firstLine="0" w:firstLineChars="0"/>
                    <w:jc w:val="center"/>
                    <w:rPr>
                      <w:rFonts w:hint="eastAsia"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rPr>
                    <w:t>生产车间</w:t>
                  </w:r>
                  <w:r>
                    <w:rPr>
                      <w:rFonts w:hint="eastAsia" w:cs="Times New Roman"/>
                      <w:smallCaps w:val="0"/>
                      <w:color w:val="auto"/>
                      <w:spacing w:val="0"/>
                      <w:sz w:val="21"/>
                      <w:szCs w:val="21"/>
                      <w:lang w:val="en-US" w:eastAsia="zh-CN"/>
                    </w:rPr>
                    <w:t>二</w:t>
                  </w:r>
                </w:p>
              </w:tc>
              <w:tc>
                <w:tcPr>
                  <w:tcW w:w="947" w:type="pct"/>
                  <w:tcBorders>
                    <w:tl2br w:val="nil"/>
                    <w:tr2bl w:val="nil"/>
                  </w:tcBorders>
                  <w:noWrap w:val="0"/>
                  <w:tcMar>
                    <w:top w:w="0" w:type="dxa"/>
                    <w:left w:w="28" w:type="dxa"/>
                    <w:bottom w:w="0" w:type="dxa"/>
                    <w:right w:w="28" w:type="dxa"/>
                  </w:tcMar>
                  <w:vAlign w:val="center"/>
                </w:tcPr>
                <w:p w14:paraId="6045946F">
                  <w:pPr>
                    <w:spacing w:line="240" w:lineRule="auto"/>
                    <w:ind w:firstLine="0" w:firstLineChars="0"/>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119.643727769</w:t>
                  </w:r>
                </w:p>
              </w:tc>
              <w:tc>
                <w:tcPr>
                  <w:tcW w:w="1031" w:type="pct"/>
                  <w:tcBorders>
                    <w:tl2br w:val="nil"/>
                    <w:tr2bl w:val="nil"/>
                  </w:tcBorders>
                  <w:noWrap w:val="0"/>
                  <w:tcMar>
                    <w:top w:w="0" w:type="dxa"/>
                    <w:left w:w="28" w:type="dxa"/>
                    <w:bottom w:w="0" w:type="dxa"/>
                    <w:right w:w="28" w:type="dxa"/>
                  </w:tcMar>
                  <w:vAlign w:val="center"/>
                </w:tcPr>
                <w:p w14:paraId="04D41C61">
                  <w:pPr>
                    <w:spacing w:line="240" w:lineRule="auto"/>
                    <w:ind w:firstLine="0" w:firstLineChars="0"/>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31.764513408</w:t>
                  </w:r>
                </w:p>
              </w:tc>
              <w:tc>
                <w:tcPr>
                  <w:tcW w:w="545" w:type="pct"/>
                  <w:tcBorders>
                    <w:tl2br w:val="nil"/>
                    <w:tr2bl w:val="nil"/>
                  </w:tcBorders>
                  <w:noWrap w:val="0"/>
                  <w:tcMar>
                    <w:top w:w="0" w:type="dxa"/>
                    <w:left w:w="28" w:type="dxa"/>
                    <w:bottom w:w="0" w:type="dxa"/>
                    <w:right w:w="28" w:type="dxa"/>
                  </w:tcMar>
                  <w:vAlign w:val="center"/>
                </w:tcPr>
                <w:p w14:paraId="0A367C86">
                  <w:pPr>
                    <w:spacing w:line="240" w:lineRule="auto"/>
                    <w:ind w:firstLine="0" w:firstLineChars="0"/>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66</w:t>
                  </w:r>
                </w:p>
              </w:tc>
              <w:tc>
                <w:tcPr>
                  <w:tcW w:w="658" w:type="pct"/>
                  <w:tcBorders>
                    <w:tl2br w:val="nil"/>
                    <w:tr2bl w:val="nil"/>
                  </w:tcBorders>
                  <w:noWrap w:val="0"/>
                  <w:tcMar>
                    <w:top w:w="0" w:type="dxa"/>
                    <w:left w:w="28" w:type="dxa"/>
                    <w:bottom w:w="0" w:type="dxa"/>
                    <w:right w:w="28" w:type="dxa"/>
                  </w:tcMar>
                  <w:vAlign w:val="center"/>
                </w:tcPr>
                <w:p w14:paraId="546DFD4D">
                  <w:pPr>
                    <w:spacing w:line="240" w:lineRule="auto"/>
                    <w:ind w:firstLine="0" w:firstLineChars="0"/>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29</w:t>
                  </w:r>
                </w:p>
              </w:tc>
              <w:tc>
                <w:tcPr>
                  <w:tcW w:w="677" w:type="pct"/>
                  <w:tcBorders>
                    <w:tl2br w:val="nil"/>
                    <w:tr2bl w:val="nil"/>
                  </w:tcBorders>
                  <w:noWrap w:val="0"/>
                  <w:tcMar>
                    <w:top w:w="0" w:type="dxa"/>
                    <w:left w:w="28" w:type="dxa"/>
                    <w:bottom w:w="0" w:type="dxa"/>
                    <w:right w:w="28" w:type="dxa"/>
                  </w:tcMar>
                  <w:vAlign w:val="center"/>
                </w:tcPr>
                <w:p w14:paraId="733BC1DC">
                  <w:pPr>
                    <w:spacing w:line="240" w:lineRule="auto"/>
                    <w:ind w:firstLine="0" w:firstLineChars="0"/>
                    <w:jc w:val="center"/>
                    <w:rPr>
                      <w:rFonts w:hint="default" w:ascii="Times New Roman" w:hAnsi="Times New Roman" w:eastAsia="宋体" w:cs="Times New Roman"/>
                      <w:smallCaps w:val="0"/>
                      <w:color w:val="auto"/>
                      <w:spacing w:val="0"/>
                      <w:sz w:val="21"/>
                      <w:szCs w:val="21"/>
                      <w:lang w:val="en-US" w:eastAsia="zh-CN"/>
                    </w:rPr>
                  </w:pPr>
                  <w:r>
                    <w:rPr>
                      <w:rFonts w:hint="default" w:ascii="Times New Roman" w:hAnsi="Times New Roman" w:eastAsia="宋体" w:cs="Times New Roman"/>
                      <w:smallCaps w:val="0"/>
                      <w:color w:val="auto"/>
                      <w:spacing w:val="0"/>
                      <w:sz w:val="21"/>
                      <w:szCs w:val="21"/>
                      <w:lang w:val="en-US" w:eastAsia="zh-CN"/>
                    </w:rPr>
                    <w:t>8</w:t>
                  </w:r>
                </w:p>
              </w:tc>
            </w:tr>
          </w:tbl>
          <w:p w14:paraId="1BD9DE47">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2" w:firstLineChars="200"/>
              <w:textAlignment w:val="auto"/>
              <w:rPr>
                <w:rFonts w:hint="default" w:ascii="Times New Roman" w:hAnsi="Times New Roman" w:eastAsia="宋体" w:cs="Times New Roman"/>
                <w:b/>
                <w:bCs/>
                <w:smallCaps w:val="0"/>
                <w:color w:val="auto"/>
                <w:spacing w:val="0"/>
                <w:kern w:val="2"/>
                <w:sz w:val="24"/>
                <w:szCs w:val="24"/>
                <w:lang w:val="en-US" w:eastAsia="zh-CN" w:bidi="ar-SA"/>
              </w:rPr>
            </w:pPr>
            <w:r>
              <w:rPr>
                <w:rFonts w:hint="default" w:ascii="Times New Roman" w:hAnsi="Times New Roman" w:eastAsia="宋体" w:cs="Times New Roman"/>
                <w:b/>
                <w:bCs/>
                <w:smallCaps w:val="0"/>
                <w:color w:val="auto"/>
                <w:spacing w:val="0"/>
                <w:kern w:val="2"/>
                <w:sz w:val="24"/>
                <w:szCs w:val="24"/>
                <w:lang w:val="en-US" w:eastAsia="zh-CN" w:bidi="ar-SA"/>
              </w:rPr>
              <w:t>1.4卫生防护距离</w:t>
            </w:r>
          </w:p>
          <w:p w14:paraId="564AC057">
            <w:pPr>
              <w:pStyle w:val="25"/>
              <w:keepNext w:val="0"/>
              <w:keepLines w:val="0"/>
              <w:pageBreakBefore w:val="0"/>
              <w:kinsoku/>
              <w:wordWrap/>
              <w:overflowPunct/>
              <w:topLinePunct w:val="0"/>
              <w:bidi w:val="0"/>
              <w:adjustRightInd w:val="0"/>
              <w:snapToGrid w:val="0"/>
              <w:spacing w:before="0" w:beforeLines="0" w:after="0" w:afterLines="0" w:line="440" w:lineRule="exact"/>
              <w:ind w:firstLine="482"/>
              <w:textAlignment w:val="auto"/>
              <w:rPr>
                <w:rFonts w:hint="default" w:ascii="Times New Roman" w:hAnsi="Times New Roman" w:eastAsia="宋体" w:cs="Times New Roman"/>
                <w:smallCaps w:val="0"/>
                <w:snapToGrid w:val="0"/>
                <w:color w:val="auto"/>
                <w:spacing w:val="0"/>
                <w:sz w:val="24"/>
                <w:szCs w:val="24"/>
                <w:lang w:eastAsia="zh-CN"/>
              </w:rPr>
            </w:pPr>
            <w:r>
              <w:rPr>
                <w:rFonts w:hint="default" w:ascii="Times New Roman" w:hAnsi="Times New Roman" w:eastAsia="宋体" w:cs="Times New Roman"/>
                <w:smallCaps w:val="0"/>
                <w:snapToGrid w:val="0"/>
                <w:color w:val="auto"/>
                <w:spacing w:val="0"/>
                <w:sz w:val="24"/>
                <w:szCs w:val="24"/>
              </w:rPr>
              <w:t>预测</w:t>
            </w:r>
            <w:r>
              <w:rPr>
                <w:rFonts w:hint="default" w:ascii="Times New Roman" w:hAnsi="Times New Roman" w:eastAsia="宋体" w:cs="Times New Roman"/>
                <w:smallCaps w:val="0"/>
                <w:snapToGrid w:val="0"/>
                <w:color w:val="auto"/>
                <w:spacing w:val="0"/>
                <w:sz w:val="24"/>
                <w:szCs w:val="24"/>
                <w:lang w:val="en-US" w:eastAsia="zh-CN"/>
              </w:rPr>
              <w:t>颗粒物、非甲烷总烃</w:t>
            </w:r>
            <w:r>
              <w:rPr>
                <w:rFonts w:hint="default" w:ascii="Times New Roman" w:hAnsi="Times New Roman" w:eastAsia="宋体" w:cs="Times New Roman"/>
                <w:smallCaps w:val="0"/>
                <w:snapToGrid w:val="0"/>
                <w:color w:val="auto"/>
                <w:spacing w:val="0"/>
                <w:sz w:val="24"/>
                <w:szCs w:val="24"/>
              </w:rPr>
              <w:t>对环境的影响</w:t>
            </w:r>
            <w:r>
              <w:rPr>
                <w:rFonts w:hint="default" w:ascii="Times New Roman" w:hAnsi="Times New Roman" w:eastAsia="宋体" w:cs="Times New Roman"/>
                <w:smallCaps w:val="0"/>
                <w:snapToGrid w:val="0"/>
                <w:color w:val="auto"/>
                <w:spacing w:val="0"/>
                <w:sz w:val="24"/>
                <w:szCs w:val="24"/>
                <w:lang w:eastAsia="zh-CN"/>
              </w:rPr>
              <w:t>，</w:t>
            </w:r>
            <w:r>
              <w:rPr>
                <w:rFonts w:hint="default" w:ascii="Times New Roman" w:hAnsi="Times New Roman" w:eastAsia="宋体" w:cs="Times New Roman"/>
                <w:smallCaps w:val="0"/>
                <w:snapToGrid w:val="0"/>
                <w:color w:val="auto"/>
                <w:spacing w:val="0"/>
                <w:sz w:val="24"/>
                <w:szCs w:val="24"/>
              </w:rPr>
              <w:t>并提出卫生防护距离</w:t>
            </w:r>
            <w:r>
              <w:rPr>
                <w:rFonts w:hint="default" w:ascii="Times New Roman" w:hAnsi="Times New Roman" w:eastAsia="宋体" w:cs="Times New Roman"/>
                <w:smallCaps w:val="0"/>
                <w:snapToGrid w:val="0"/>
                <w:color w:val="auto"/>
                <w:spacing w:val="0"/>
                <w:sz w:val="24"/>
                <w:szCs w:val="24"/>
                <w:lang w:eastAsia="zh-CN"/>
              </w:rPr>
              <w:t>，</w:t>
            </w:r>
            <w:r>
              <w:rPr>
                <w:rFonts w:hint="default" w:ascii="Times New Roman" w:hAnsi="Times New Roman" w:eastAsia="宋体" w:cs="Times New Roman"/>
                <w:smallCaps w:val="0"/>
                <w:snapToGrid w:val="0"/>
                <w:color w:val="auto"/>
                <w:spacing w:val="0"/>
                <w:sz w:val="24"/>
                <w:szCs w:val="24"/>
              </w:rPr>
              <w:t>生产车间与居住区之间的卫生防护距离L按下式计算</w:t>
            </w:r>
            <w:r>
              <w:rPr>
                <w:rFonts w:hint="default" w:ascii="Times New Roman" w:hAnsi="Times New Roman" w:eastAsia="宋体" w:cs="Times New Roman"/>
                <w:smallCaps w:val="0"/>
                <w:snapToGrid w:val="0"/>
                <w:color w:val="auto"/>
                <w:spacing w:val="0"/>
                <w:sz w:val="24"/>
                <w:szCs w:val="24"/>
                <w:lang w:eastAsia="zh-CN"/>
              </w:rPr>
              <w:t>：</w:t>
            </w:r>
          </w:p>
          <w:p w14:paraId="49A7D440">
            <w:pPr>
              <w:pStyle w:val="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snapToGrid w:val="0"/>
                <w:color w:val="auto"/>
                <w:spacing w:val="0"/>
                <w:sz w:val="24"/>
                <w:szCs w:val="24"/>
              </w:rPr>
            </w:pPr>
            <w:r>
              <w:rPr>
                <w:rFonts w:hint="default" w:ascii="Times New Roman" w:hAnsi="Times New Roman" w:eastAsia="宋体" w:cs="Times New Roman"/>
                <w:color w:val="auto"/>
                <w:position w:val="-30"/>
              </w:rPr>
              <w:object>
                <v:shape id="_x0000_i1027" o:spt="75" type="#_x0000_t75" style="height:39.7pt;width:165pt;" o:ole="t" filled="f" o:preferrelative="t" stroked="f" coordsize="21600,21600">
                  <v:path/>
                  <v:fill on="f" focussize="0,0"/>
                  <v:stroke on="f"/>
                  <v:imagedata r:id="rId21" o:title=""/>
                  <o:lock v:ext="edit" aspectratio="t"/>
                  <w10:wrap type="none"/>
                  <w10:anchorlock/>
                </v:shape>
                <o:OLEObject Type="Embed" ProgID="Equation.DSMT4" ShapeID="_x0000_i1027" DrawAspect="Content" ObjectID="_1468075727" r:id="rId20">
                  <o:LockedField>false</o:LockedField>
                </o:OLEObject>
              </w:object>
            </w:r>
          </w:p>
          <w:p w14:paraId="7612A1B2">
            <w:pPr>
              <w:pStyle w:val="5"/>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snapToGrid w:val="0"/>
                <w:color w:val="auto"/>
                <w:spacing w:val="0"/>
                <w:sz w:val="24"/>
                <w:szCs w:val="24"/>
              </w:rPr>
            </w:pPr>
            <w:r>
              <w:rPr>
                <w:rFonts w:hint="default" w:ascii="Times New Roman" w:hAnsi="Times New Roman" w:eastAsia="宋体" w:cs="Times New Roman"/>
                <w:smallCaps w:val="0"/>
                <w:snapToGrid w:val="0"/>
                <w:color w:val="auto"/>
                <w:spacing w:val="0"/>
                <w:sz w:val="24"/>
                <w:szCs w:val="24"/>
              </w:rPr>
              <w:t>式中</w:t>
            </w:r>
            <w:r>
              <w:rPr>
                <w:rFonts w:hint="default" w:ascii="Times New Roman" w:hAnsi="Times New Roman" w:eastAsia="宋体" w:cs="Times New Roman"/>
                <w:smallCaps w:val="0"/>
                <w:snapToGrid w:val="0"/>
                <w:color w:val="auto"/>
                <w:spacing w:val="0"/>
                <w:sz w:val="24"/>
                <w:szCs w:val="24"/>
                <w:lang w:eastAsia="zh-CN"/>
              </w:rPr>
              <w:t>：</w:t>
            </w:r>
            <w:r>
              <w:rPr>
                <w:rFonts w:hint="default" w:ascii="Times New Roman" w:hAnsi="Times New Roman" w:eastAsia="宋体" w:cs="Times New Roman"/>
                <w:smallCaps w:val="0"/>
                <w:snapToGrid w:val="0"/>
                <w:color w:val="auto"/>
                <w:spacing w:val="0"/>
                <w:sz w:val="24"/>
                <w:szCs w:val="24"/>
              </w:rPr>
              <w:t>Cm—标准浓度限值</w:t>
            </w:r>
            <w:r>
              <w:rPr>
                <w:rFonts w:hint="default" w:ascii="Times New Roman" w:hAnsi="Times New Roman" w:eastAsia="宋体" w:cs="Times New Roman"/>
                <w:smallCaps w:val="0"/>
                <w:snapToGrid w:val="0"/>
                <w:color w:val="auto"/>
                <w:spacing w:val="0"/>
                <w:sz w:val="24"/>
                <w:szCs w:val="24"/>
                <w:lang w:eastAsia="zh-CN"/>
              </w:rPr>
              <w:t>，</w:t>
            </w:r>
            <w:r>
              <w:rPr>
                <w:rFonts w:hint="default" w:ascii="Times New Roman" w:hAnsi="Times New Roman" w:eastAsia="宋体" w:cs="Times New Roman"/>
                <w:smallCaps w:val="0"/>
                <w:snapToGrid w:val="0"/>
                <w:color w:val="auto"/>
                <w:spacing w:val="0"/>
                <w:sz w:val="24"/>
                <w:szCs w:val="24"/>
              </w:rPr>
              <w:t>mg/m</w:t>
            </w:r>
            <w:r>
              <w:rPr>
                <w:rFonts w:hint="default" w:ascii="Times New Roman" w:hAnsi="Times New Roman" w:eastAsia="宋体" w:cs="Times New Roman"/>
                <w:smallCaps w:val="0"/>
                <w:snapToGrid w:val="0"/>
                <w:color w:val="auto"/>
                <w:spacing w:val="0"/>
                <w:sz w:val="24"/>
                <w:szCs w:val="24"/>
                <w:vertAlign w:val="superscript"/>
              </w:rPr>
              <w:t>3</w:t>
            </w:r>
            <w:r>
              <w:rPr>
                <w:rFonts w:hint="default" w:ascii="Times New Roman" w:hAnsi="Times New Roman" w:eastAsia="宋体" w:cs="Times New Roman"/>
                <w:smallCaps w:val="0"/>
                <w:snapToGrid w:val="0"/>
                <w:color w:val="auto"/>
                <w:spacing w:val="0"/>
                <w:sz w:val="24"/>
                <w:szCs w:val="24"/>
              </w:rPr>
              <w:t>；</w:t>
            </w:r>
          </w:p>
          <w:p w14:paraId="0A20AC11">
            <w:pPr>
              <w:pStyle w:val="5"/>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snapToGrid w:val="0"/>
                <w:color w:val="auto"/>
                <w:spacing w:val="0"/>
                <w:sz w:val="24"/>
                <w:szCs w:val="24"/>
              </w:rPr>
            </w:pPr>
            <w:r>
              <w:rPr>
                <w:rFonts w:hint="default" w:ascii="Times New Roman" w:hAnsi="Times New Roman" w:eastAsia="宋体" w:cs="Times New Roman"/>
                <w:smallCaps w:val="0"/>
                <w:snapToGrid w:val="0"/>
                <w:color w:val="auto"/>
                <w:spacing w:val="0"/>
                <w:sz w:val="24"/>
                <w:szCs w:val="24"/>
              </w:rPr>
              <w:t>Qc—工业企业有害气体无组织排放量可以达到的控制水平</w:t>
            </w:r>
            <w:r>
              <w:rPr>
                <w:rFonts w:hint="default" w:ascii="Times New Roman" w:hAnsi="Times New Roman" w:eastAsia="宋体" w:cs="Times New Roman"/>
                <w:smallCaps w:val="0"/>
                <w:snapToGrid w:val="0"/>
                <w:color w:val="auto"/>
                <w:spacing w:val="0"/>
                <w:sz w:val="24"/>
                <w:szCs w:val="24"/>
                <w:lang w:eastAsia="zh-CN"/>
              </w:rPr>
              <w:t>，</w:t>
            </w:r>
            <w:r>
              <w:rPr>
                <w:rFonts w:hint="default" w:ascii="Times New Roman" w:hAnsi="Times New Roman" w:eastAsia="宋体" w:cs="Times New Roman"/>
                <w:smallCaps w:val="0"/>
                <w:snapToGrid w:val="0"/>
                <w:color w:val="auto"/>
                <w:spacing w:val="0"/>
                <w:sz w:val="24"/>
                <w:szCs w:val="24"/>
              </w:rPr>
              <w:t>kg/h；</w:t>
            </w:r>
          </w:p>
          <w:p w14:paraId="76808132">
            <w:pPr>
              <w:pStyle w:val="5"/>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snapToGrid w:val="0"/>
                <w:color w:val="auto"/>
                <w:spacing w:val="0"/>
                <w:sz w:val="24"/>
                <w:szCs w:val="24"/>
              </w:rPr>
            </w:pPr>
            <w:r>
              <w:rPr>
                <w:rFonts w:hint="default" w:ascii="Times New Roman" w:hAnsi="Times New Roman" w:eastAsia="宋体" w:cs="Times New Roman"/>
                <w:smallCaps w:val="0"/>
                <w:snapToGrid w:val="0"/>
                <w:color w:val="auto"/>
                <w:spacing w:val="0"/>
                <w:sz w:val="24"/>
                <w:szCs w:val="24"/>
              </w:rPr>
              <w:t>r—有害气体无组织排放源所在生产单元的等效半径</w:t>
            </w:r>
            <w:r>
              <w:rPr>
                <w:rFonts w:hint="default" w:ascii="Times New Roman" w:hAnsi="Times New Roman" w:eastAsia="宋体" w:cs="Times New Roman"/>
                <w:smallCaps w:val="0"/>
                <w:snapToGrid w:val="0"/>
                <w:color w:val="auto"/>
                <w:spacing w:val="0"/>
                <w:sz w:val="24"/>
                <w:szCs w:val="24"/>
                <w:lang w:eastAsia="zh-CN"/>
              </w:rPr>
              <w:t>，</w:t>
            </w:r>
            <w:r>
              <w:rPr>
                <w:rFonts w:hint="default" w:ascii="Times New Roman" w:hAnsi="Times New Roman" w:eastAsia="宋体" w:cs="Times New Roman"/>
                <w:smallCaps w:val="0"/>
                <w:snapToGrid w:val="0"/>
                <w:color w:val="auto"/>
                <w:spacing w:val="0"/>
                <w:sz w:val="24"/>
                <w:szCs w:val="24"/>
              </w:rPr>
              <w:t>m；</w:t>
            </w:r>
          </w:p>
          <w:p w14:paraId="3FB7EC29">
            <w:pPr>
              <w:pStyle w:val="5"/>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snapToGrid w:val="0"/>
                <w:color w:val="auto"/>
                <w:spacing w:val="0"/>
                <w:sz w:val="24"/>
                <w:szCs w:val="24"/>
              </w:rPr>
            </w:pPr>
            <w:r>
              <w:rPr>
                <w:rFonts w:hint="default" w:ascii="Times New Roman" w:hAnsi="Times New Roman" w:eastAsia="宋体" w:cs="Times New Roman"/>
                <w:smallCaps w:val="0"/>
                <w:snapToGrid w:val="0"/>
                <w:color w:val="auto"/>
                <w:spacing w:val="0"/>
                <w:sz w:val="24"/>
                <w:szCs w:val="24"/>
              </w:rPr>
              <w:t>L—工业企业所需的卫生防护距离</w:t>
            </w:r>
            <w:r>
              <w:rPr>
                <w:rFonts w:hint="default" w:ascii="Times New Roman" w:hAnsi="Times New Roman" w:eastAsia="宋体" w:cs="Times New Roman"/>
                <w:smallCaps w:val="0"/>
                <w:snapToGrid w:val="0"/>
                <w:color w:val="auto"/>
                <w:spacing w:val="0"/>
                <w:sz w:val="24"/>
                <w:szCs w:val="24"/>
                <w:lang w:eastAsia="zh-CN"/>
              </w:rPr>
              <w:t>，</w:t>
            </w:r>
            <w:r>
              <w:rPr>
                <w:rFonts w:hint="default" w:ascii="Times New Roman" w:hAnsi="Times New Roman" w:eastAsia="宋体" w:cs="Times New Roman"/>
                <w:smallCaps w:val="0"/>
                <w:snapToGrid w:val="0"/>
                <w:color w:val="auto"/>
                <w:spacing w:val="0"/>
                <w:sz w:val="24"/>
                <w:szCs w:val="24"/>
              </w:rPr>
              <w:t>m；</w:t>
            </w:r>
          </w:p>
          <w:p w14:paraId="205203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snapToGrid w:val="0"/>
                <w:color w:val="auto"/>
                <w:spacing w:val="0"/>
                <w:kern w:val="0"/>
                <w:sz w:val="24"/>
                <w:szCs w:val="24"/>
                <w:lang w:eastAsia="zh-CN"/>
              </w:rPr>
            </w:pPr>
            <w:r>
              <w:rPr>
                <w:rFonts w:hint="default" w:ascii="Times New Roman" w:hAnsi="Times New Roman" w:eastAsia="宋体" w:cs="Times New Roman"/>
                <w:smallCaps w:val="0"/>
                <w:snapToGrid w:val="0"/>
                <w:color w:val="auto"/>
                <w:spacing w:val="0"/>
                <w:kern w:val="0"/>
                <w:sz w:val="24"/>
                <w:szCs w:val="24"/>
              </w:rPr>
              <w:t>A、B、C、D—卫生防护距离计算系数</w:t>
            </w:r>
            <w:r>
              <w:rPr>
                <w:rFonts w:hint="default" w:ascii="Times New Roman" w:hAnsi="Times New Roman" w:eastAsia="宋体" w:cs="Times New Roman"/>
                <w:smallCaps w:val="0"/>
                <w:snapToGrid w:val="0"/>
                <w:color w:val="auto"/>
                <w:spacing w:val="0"/>
                <w:kern w:val="0"/>
                <w:sz w:val="24"/>
                <w:szCs w:val="24"/>
                <w:lang w:eastAsia="zh-CN"/>
              </w:rPr>
              <w:t>，</w:t>
            </w:r>
            <w:r>
              <w:rPr>
                <w:rFonts w:hint="default" w:ascii="Times New Roman" w:hAnsi="Times New Roman" w:eastAsia="宋体" w:cs="Times New Roman"/>
                <w:smallCaps w:val="0"/>
                <w:snapToGrid w:val="0"/>
                <w:color w:val="auto"/>
                <w:spacing w:val="0"/>
                <w:kern w:val="0"/>
                <w:sz w:val="24"/>
                <w:szCs w:val="24"/>
              </w:rPr>
              <w:t>见下表</w:t>
            </w:r>
            <w:r>
              <w:rPr>
                <w:rFonts w:hint="default" w:ascii="Times New Roman" w:hAnsi="Times New Roman" w:eastAsia="宋体" w:cs="Times New Roman"/>
                <w:smallCaps w:val="0"/>
                <w:snapToGrid w:val="0"/>
                <w:color w:val="auto"/>
                <w:spacing w:val="0"/>
                <w:kern w:val="0"/>
                <w:sz w:val="24"/>
                <w:szCs w:val="24"/>
                <w:lang w:eastAsia="zh-CN"/>
              </w:rPr>
              <w:t>：</w:t>
            </w:r>
          </w:p>
          <w:p w14:paraId="6C93786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sz w:val="21"/>
                <w:szCs w:val="18"/>
                <w:lang w:val="en-US" w:eastAsia="zh-CN" w:bidi="ar-SA"/>
              </w:rPr>
            </w:pPr>
            <w:r>
              <w:rPr>
                <w:rFonts w:hint="default" w:ascii="Times New Roman" w:hAnsi="Times New Roman" w:eastAsia="宋体" w:cs="Times New Roman"/>
                <w:b/>
                <w:bCs w:val="0"/>
                <w:smallCaps w:val="0"/>
                <w:color w:val="auto"/>
                <w:spacing w:val="0"/>
                <w:kern w:val="0"/>
                <w:sz w:val="21"/>
                <w:szCs w:val="18"/>
                <w:lang w:val="en-US" w:eastAsia="zh-CN" w:bidi="ar-SA"/>
              </w:rPr>
              <w:t>表4-3卫生防护距离初值计算系数</w:t>
            </w:r>
          </w:p>
          <w:tbl>
            <w:tblPr>
              <w:tblStyle w:val="17"/>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055"/>
              <w:gridCol w:w="878"/>
              <w:gridCol w:w="683"/>
              <w:gridCol w:w="802"/>
              <w:gridCol w:w="703"/>
              <w:gridCol w:w="652"/>
              <w:gridCol w:w="686"/>
              <w:gridCol w:w="19"/>
              <w:gridCol w:w="686"/>
              <w:gridCol w:w="740"/>
              <w:gridCol w:w="709"/>
            </w:tblGrid>
            <w:tr w14:paraId="236A5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restart"/>
                  <w:noWrap w:val="0"/>
                  <w:vAlign w:val="center"/>
                </w:tcPr>
                <w:p w14:paraId="1B3EC9EC">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r>
                    <w:rPr>
                      <w:rFonts w:hint="default" w:ascii="Times New Roman" w:hAnsi="Times New Roman" w:eastAsia="宋体" w:cs="Times New Roman"/>
                      <w:b/>
                      <w:bCs/>
                      <w:smallCaps w:val="0"/>
                      <w:snapToGrid w:val="0"/>
                      <w:color w:val="auto"/>
                      <w:spacing w:val="0"/>
                      <w:kern w:val="0"/>
                      <w:szCs w:val="21"/>
                    </w:rPr>
                    <w:t>计算</w:t>
                  </w:r>
                </w:p>
                <w:p w14:paraId="07687A56">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r>
                    <w:rPr>
                      <w:rFonts w:hint="default" w:ascii="Times New Roman" w:hAnsi="Times New Roman" w:eastAsia="宋体" w:cs="Times New Roman"/>
                      <w:b/>
                      <w:bCs/>
                      <w:smallCaps w:val="0"/>
                      <w:snapToGrid w:val="0"/>
                      <w:color w:val="auto"/>
                      <w:spacing w:val="0"/>
                      <w:kern w:val="0"/>
                      <w:szCs w:val="21"/>
                    </w:rPr>
                    <w:t>系数</w:t>
                  </w:r>
                </w:p>
              </w:tc>
              <w:tc>
                <w:tcPr>
                  <w:tcW w:w="621" w:type="pct"/>
                  <w:vMerge w:val="restart"/>
                  <w:noWrap w:val="0"/>
                  <w:vAlign w:val="center"/>
                </w:tcPr>
                <w:p w14:paraId="1948E6FE">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r>
                    <w:rPr>
                      <w:rFonts w:hint="default" w:ascii="Times New Roman" w:hAnsi="Times New Roman" w:eastAsia="宋体" w:cs="Times New Roman"/>
                      <w:b/>
                      <w:bCs/>
                      <w:smallCaps w:val="0"/>
                      <w:snapToGrid w:val="0"/>
                      <w:color w:val="auto"/>
                      <w:spacing w:val="0"/>
                      <w:kern w:val="0"/>
                      <w:szCs w:val="21"/>
                    </w:rPr>
                    <w:t>5年平均风速(m/s)</w:t>
                  </w:r>
                </w:p>
              </w:tc>
              <w:tc>
                <w:tcPr>
                  <w:tcW w:w="3859" w:type="pct"/>
                  <w:gridSpan w:val="10"/>
                  <w:noWrap w:val="0"/>
                  <w:vAlign w:val="center"/>
                </w:tcPr>
                <w:p w14:paraId="3E14B347">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r>
                    <w:rPr>
                      <w:rFonts w:hint="default" w:ascii="Times New Roman" w:hAnsi="Times New Roman" w:eastAsia="宋体" w:cs="Times New Roman"/>
                      <w:b/>
                      <w:bCs/>
                      <w:smallCaps w:val="0"/>
                      <w:snapToGrid w:val="0"/>
                      <w:color w:val="auto"/>
                      <w:spacing w:val="0"/>
                      <w:kern w:val="0"/>
                      <w:szCs w:val="21"/>
                    </w:rPr>
                    <w:t>卫生防护距离L(m)</w:t>
                  </w:r>
                </w:p>
              </w:tc>
            </w:tr>
            <w:tr w14:paraId="751C0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continue"/>
                  <w:noWrap w:val="0"/>
                  <w:vAlign w:val="center"/>
                </w:tcPr>
                <w:p w14:paraId="0E986058">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p>
              </w:tc>
              <w:tc>
                <w:tcPr>
                  <w:tcW w:w="621" w:type="pct"/>
                  <w:vMerge w:val="continue"/>
                  <w:noWrap w:val="0"/>
                  <w:vAlign w:val="center"/>
                </w:tcPr>
                <w:p w14:paraId="0A477406">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p>
              </w:tc>
              <w:tc>
                <w:tcPr>
                  <w:tcW w:w="1391" w:type="pct"/>
                  <w:gridSpan w:val="3"/>
                  <w:noWrap w:val="0"/>
                  <w:vAlign w:val="center"/>
                </w:tcPr>
                <w:p w14:paraId="5AFB2AF7">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r>
                    <w:rPr>
                      <w:rFonts w:hint="default" w:ascii="Times New Roman" w:hAnsi="Times New Roman" w:eastAsia="宋体" w:cs="Times New Roman"/>
                      <w:b/>
                      <w:bCs/>
                      <w:smallCaps w:val="0"/>
                      <w:snapToGrid w:val="0"/>
                      <w:color w:val="auto"/>
                      <w:spacing w:val="0"/>
                      <w:kern w:val="0"/>
                      <w:szCs w:val="21"/>
                    </w:rPr>
                    <w:t>L≤1000</w:t>
                  </w:r>
                </w:p>
              </w:tc>
              <w:tc>
                <w:tcPr>
                  <w:tcW w:w="1213" w:type="pct"/>
                  <w:gridSpan w:val="4"/>
                  <w:noWrap w:val="0"/>
                  <w:vAlign w:val="center"/>
                </w:tcPr>
                <w:p w14:paraId="115B146A">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r>
                    <w:rPr>
                      <w:rFonts w:hint="default" w:ascii="Times New Roman" w:hAnsi="Times New Roman" w:eastAsia="宋体" w:cs="Times New Roman"/>
                      <w:b/>
                      <w:bCs/>
                      <w:smallCaps w:val="0"/>
                      <w:snapToGrid w:val="0"/>
                      <w:color w:val="auto"/>
                      <w:spacing w:val="0"/>
                      <w:kern w:val="0"/>
                      <w:szCs w:val="21"/>
                    </w:rPr>
                    <w:t>1000＜L≤2000</w:t>
                  </w:r>
                </w:p>
              </w:tc>
              <w:tc>
                <w:tcPr>
                  <w:tcW w:w="1254" w:type="pct"/>
                  <w:gridSpan w:val="3"/>
                  <w:noWrap w:val="0"/>
                  <w:vAlign w:val="center"/>
                </w:tcPr>
                <w:p w14:paraId="448FD35C">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r>
                    <w:rPr>
                      <w:rFonts w:hint="default" w:ascii="Times New Roman" w:hAnsi="Times New Roman" w:eastAsia="宋体" w:cs="Times New Roman"/>
                      <w:b/>
                      <w:bCs/>
                      <w:smallCaps w:val="0"/>
                      <w:snapToGrid w:val="0"/>
                      <w:color w:val="auto"/>
                      <w:spacing w:val="0"/>
                      <w:kern w:val="0"/>
                      <w:szCs w:val="21"/>
                    </w:rPr>
                    <w:t>L＞2000</w:t>
                  </w:r>
                </w:p>
              </w:tc>
            </w:tr>
            <w:tr w14:paraId="778A6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continue"/>
                  <w:noWrap w:val="0"/>
                  <w:vAlign w:val="center"/>
                </w:tcPr>
                <w:p w14:paraId="598AD320">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p>
              </w:tc>
              <w:tc>
                <w:tcPr>
                  <w:tcW w:w="621" w:type="pct"/>
                  <w:vMerge w:val="continue"/>
                  <w:noWrap w:val="0"/>
                  <w:vAlign w:val="center"/>
                </w:tcPr>
                <w:p w14:paraId="6FE40187">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p>
              </w:tc>
              <w:tc>
                <w:tcPr>
                  <w:tcW w:w="3859" w:type="pct"/>
                  <w:gridSpan w:val="10"/>
                  <w:noWrap w:val="0"/>
                  <w:vAlign w:val="center"/>
                </w:tcPr>
                <w:p w14:paraId="55502D06">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工业大气污染源构成类别</w:t>
                  </w:r>
                </w:p>
              </w:tc>
            </w:tr>
            <w:tr w14:paraId="7B685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continue"/>
                  <w:noWrap w:val="0"/>
                  <w:vAlign w:val="center"/>
                </w:tcPr>
                <w:p w14:paraId="6C9DD265">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p>
              </w:tc>
              <w:tc>
                <w:tcPr>
                  <w:tcW w:w="621" w:type="pct"/>
                  <w:vMerge w:val="continue"/>
                  <w:noWrap w:val="0"/>
                  <w:vAlign w:val="center"/>
                </w:tcPr>
                <w:p w14:paraId="011BA8FD">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p>
              </w:tc>
              <w:tc>
                <w:tcPr>
                  <w:tcW w:w="517" w:type="pct"/>
                  <w:noWrap w:val="0"/>
                  <w:vAlign w:val="center"/>
                </w:tcPr>
                <w:p w14:paraId="30DD4D25">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Ⅰ</w:t>
                  </w:r>
                </w:p>
              </w:tc>
              <w:tc>
                <w:tcPr>
                  <w:tcW w:w="402" w:type="pct"/>
                  <w:noWrap w:val="0"/>
                  <w:vAlign w:val="center"/>
                </w:tcPr>
                <w:p w14:paraId="647C54B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Ⅱ</w:t>
                  </w:r>
                </w:p>
              </w:tc>
              <w:tc>
                <w:tcPr>
                  <w:tcW w:w="472" w:type="pct"/>
                  <w:noWrap w:val="0"/>
                  <w:vAlign w:val="center"/>
                </w:tcPr>
                <w:p w14:paraId="68C85906">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Ⅲ</w:t>
                  </w:r>
                </w:p>
              </w:tc>
              <w:tc>
                <w:tcPr>
                  <w:tcW w:w="414" w:type="pct"/>
                  <w:noWrap w:val="0"/>
                  <w:vAlign w:val="center"/>
                </w:tcPr>
                <w:p w14:paraId="0A3F2BB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Ⅰ</w:t>
                  </w:r>
                </w:p>
              </w:tc>
              <w:tc>
                <w:tcPr>
                  <w:tcW w:w="384" w:type="pct"/>
                  <w:noWrap w:val="0"/>
                  <w:vAlign w:val="center"/>
                </w:tcPr>
                <w:p w14:paraId="0CB2A48B">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Ⅱ</w:t>
                  </w:r>
                </w:p>
              </w:tc>
              <w:tc>
                <w:tcPr>
                  <w:tcW w:w="403" w:type="pct"/>
                  <w:noWrap w:val="0"/>
                  <w:vAlign w:val="center"/>
                </w:tcPr>
                <w:p w14:paraId="1003024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Ⅲ</w:t>
                  </w:r>
                </w:p>
              </w:tc>
              <w:tc>
                <w:tcPr>
                  <w:tcW w:w="415" w:type="pct"/>
                  <w:gridSpan w:val="2"/>
                  <w:noWrap w:val="0"/>
                  <w:vAlign w:val="center"/>
                </w:tcPr>
                <w:p w14:paraId="5656642B">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Ⅰ</w:t>
                  </w:r>
                </w:p>
              </w:tc>
              <w:tc>
                <w:tcPr>
                  <w:tcW w:w="435" w:type="pct"/>
                  <w:noWrap w:val="0"/>
                  <w:vAlign w:val="center"/>
                </w:tcPr>
                <w:p w14:paraId="332A3148">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Ⅱ</w:t>
                  </w:r>
                </w:p>
              </w:tc>
              <w:tc>
                <w:tcPr>
                  <w:tcW w:w="414" w:type="pct"/>
                  <w:noWrap w:val="0"/>
                  <w:vAlign w:val="center"/>
                </w:tcPr>
                <w:p w14:paraId="035C4ED0">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Ⅲ</w:t>
                  </w:r>
                </w:p>
              </w:tc>
            </w:tr>
            <w:tr w14:paraId="1C5C1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restart"/>
                  <w:noWrap w:val="0"/>
                  <w:vAlign w:val="center"/>
                </w:tcPr>
                <w:p w14:paraId="1DA5EAAA">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A</w:t>
                  </w:r>
                </w:p>
              </w:tc>
              <w:tc>
                <w:tcPr>
                  <w:tcW w:w="621" w:type="pct"/>
                  <w:noWrap w:val="0"/>
                  <w:vAlign w:val="center"/>
                </w:tcPr>
                <w:p w14:paraId="0484CED4">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w:t>
                  </w:r>
                </w:p>
              </w:tc>
              <w:tc>
                <w:tcPr>
                  <w:tcW w:w="517" w:type="pct"/>
                  <w:noWrap w:val="0"/>
                  <w:vAlign w:val="center"/>
                </w:tcPr>
                <w:p w14:paraId="7F41CD43">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400</w:t>
                  </w:r>
                </w:p>
              </w:tc>
              <w:tc>
                <w:tcPr>
                  <w:tcW w:w="402" w:type="pct"/>
                  <w:noWrap w:val="0"/>
                  <w:vAlign w:val="center"/>
                </w:tcPr>
                <w:p w14:paraId="1965B51A">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400</w:t>
                  </w:r>
                </w:p>
              </w:tc>
              <w:tc>
                <w:tcPr>
                  <w:tcW w:w="472" w:type="pct"/>
                  <w:noWrap w:val="0"/>
                  <w:vAlign w:val="center"/>
                </w:tcPr>
                <w:p w14:paraId="6AA2CB30">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400</w:t>
                  </w:r>
                </w:p>
              </w:tc>
              <w:tc>
                <w:tcPr>
                  <w:tcW w:w="414" w:type="pct"/>
                  <w:noWrap w:val="0"/>
                  <w:vAlign w:val="center"/>
                </w:tcPr>
                <w:p w14:paraId="4171D8BD">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400</w:t>
                  </w:r>
                </w:p>
              </w:tc>
              <w:tc>
                <w:tcPr>
                  <w:tcW w:w="384" w:type="pct"/>
                  <w:noWrap w:val="0"/>
                  <w:vAlign w:val="center"/>
                </w:tcPr>
                <w:p w14:paraId="4C6BB35A">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400</w:t>
                  </w:r>
                </w:p>
              </w:tc>
              <w:tc>
                <w:tcPr>
                  <w:tcW w:w="403" w:type="pct"/>
                  <w:noWrap w:val="0"/>
                  <w:vAlign w:val="center"/>
                </w:tcPr>
                <w:p w14:paraId="1541876B">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400</w:t>
                  </w:r>
                </w:p>
              </w:tc>
              <w:tc>
                <w:tcPr>
                  <w:tcW w:w="415" w:type="pct"/>
                  <w:gridSpan w:val="2"/>
                  <w:noWrap w:val="0"/>
                  <w:vAlign w:val="center"/>
                </w:tcPr>
                <w:p w14:paraId="49FB3A0A">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80</w:t>
                  </w:r>
                </w:p>
              </w:tc>
              <w:tc>
                <w:tcPr>
                  <w:tcW w:w="435" w:type="pct"/>
                  <w:noWrap w:val="0"/>
                  <w:vAlign w:val="center"/>
                </w:tcPr>
                <w:p w14:paraId="4856AC10">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80</w:t>
                  </w:r>
                </w:p>
              </w:tc>
              <w:tc>
                <w:tcPr>
                  <w:tcW w:w="414" w:type="pct"/>
                  <w:noWrap w:val="0"/>
                  <w:vAlign w:val="center"/>
                </w:tcPr>
                <w:p w14:paraId="7570A4B5">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80</w:t>
                  </w:r>
                </w:p>
              </w:tc>
            </w:tr>
            <w:tr w14:paraId="30D90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continue"/>
                  <w:shd w:val="clear" w:color="auto" w:fill="auto"/>
                  <w:noWrap w:val="0"/>
                  <w:vAlign w:val="center"/>
                </w:tcPr>
                <w:p w14:paraId="471CD275">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p>
              </w:tc>
              <w:tc>
                <w:tcPr>
                  <w:tcW w:w="621" w:type="pct"/>
                  <w:shd w:val="clear" w:color="auto" w:fill="auto"/>
                  <w:noWrap w:val="0"/>
                  <w:vAlign w:val="center"/>
                </w:tcPr>
                <w:p w14:paraId="0B675F2E">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2～4</w:t>
                  </w:r>
                </w:p>
              </w:tc>
              <w:tc>
                <w:tcPr>
                  <w:tcW w:w="517" w:type="pct"/>
                  <w:shd w:val="clear" w:color="auto" w:fill="auto"/>
                  <w:noWrap w:val="0"/>
                  <w:vAlign w:val="center"/>
                </w:tcPr>
                <w:p w14:paraId="28DD3726">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700</w:t>
                  </w:r>
                </w:p>
              </w:tc>
              <w:tc>
                <w:tcPr>
                  <w:tcW w:w="402" w:type="pct"/>
                  <w:shd w:val="clear" w:color="auto" w:fill="E0E0E0"/>
                  <w:noWrap w:val="0"/>
                  <w:vAlign w:val="center"/>
                </w:tcPr>
                <w:p w14:paraId="09EC9A9B">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470</w:t>
                  </w:r>
                </w:p>
              </w:tc>
              <w:tc>
                <w:tcPr>
                  <w:tcW w:w="472" w:type="pct"/>
                  <w:noWrap w:val="0"/>
                  <w:vAlign w:val="center"/>
                </w:tcPr>
                <w:p w14:paraId="57CD440E">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350</w:t>
                  </w:r>
                </w:p>
              </w:tc>
              <w:tc>
                <w:tcPr>
                  <w:tcW w:w="414" w:type="pct"/>
                  <w:noWrap w:val="0"/>
                  <w:vAlign w:val="center"/>
                </w:tcPr>
                <w:p w14:paraId="1C5D7BB3">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700</w:t>
                  </w:r>
                </w:p>
              </w:tc>
              <w:tc>
                <w:tcPr>
                  <w:tcW w:w="384" w:type="pct"/>
                  <w:noWrap w:val="0"/>
                  <w:vAlign w:val="center"/>
                </w:tcPr>
                <w:p w14:paraId="3195121E">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470</w:t>
                  </w:r>
                </w:p>
              </w:tc>
              <w:tc>
                <w:tcPr>
                  <w:tcW w:w="403" w:type="pct"/>
                  <w:noWrap w:val="0"/>
                  <w:vAlign w:val="center"/>
                </w:tcPr>
                <w:p w14:paraId="445E6D12">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350</w:t>
                  </w:r>
                </w:p>
              </w:tc>
              <w:tc>
                <w:tcPr>
                  <w:tcW w:w="415" w:type="pct"/>
                  <w:gridSpan w:val="2"/>
                  <w:noWrap w:val="0"/>
                  <w:vAlign w:val="center"/>
                </w:tcPr>
                <w:p w14:paraId="0BD1FF82">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380</w:t>
                  </w:r>
                </w:p>
              </w:tc>
              <w:tc>
                <w:tcPr>
                  <w:tcW w:w="435" w:type="pct"/>
                  <w:noWrap w:val="0"/>
                  <w:vAlign w:val="center"/>
                </w:tcPr>
                <w:p w14:paraId="2415E2AD">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250</w:t>
                  </w:r>
                </w:p>
              </w:tc>
              <w:tc>
                <w:tcPr>
                  <w:tcW w:w="414" w:type="pct"/>
                  <w:noWrap w:val="0"/>
                  <w:vAlign w:val="center"/>
                </w:tcPr>
                <w:p w14:paraId="5914B44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190</w:t>
                  </w:r>
                </w:p>
              </w:tc>
            </w:tr>
            <w:tr w14:paraId="3862B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continue"/>
                  <w:noWrap w:val="0"/>
                  <w:vAlign w:val="center"/>
                </w:tcPr>
                <w:p w14:paraId="6596F33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p>
              </w:tc>
              <w:tc>
                <w:tcPr>
                  <w:tcW w:w="621" w:type="pct"/>
                  <w:noWrap w:val="0"/>
                  <w:vAlign w:val="center"/>
                </w:tcPr>
                <w:p w14:paraId="7E585F88">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＞4</w:t>
                  </w:r>
                </w:p>
              </w:tc>
              <w:tc>
                <w:tcPr>
                  <w:tcW w:w="517" w:type="pct"/>
                  <w:noWrap w:val="0"/>
                  <w:vAlign w:val="center"/>
                </w:tcPr>
                <w:p w14:paraId="5FF72046">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530</w:t>
                  </w:r>
                </w:p>
              </w:tc>
              <w:tc>
                <w:tcPr>
                  <w:tcW w:w="402" w:type="pct"/>
                  <w:noWrap w:val="0"/>
                  <w:vAlign w:val="center"/>
                </w:tcPr>
                <w:p w14:paraId="41162ED8">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350</w:t>
                  </w:r>
                </w:p>
              </w:tc>
              <w:tc>
                <w:tcPr>
                  <w:tcW w:w="472" w:type="pct"/>
                  <w:noWrap w:val="0"/>
                  <w:vAlign w:val="center"/>
                </w:tcPr>
                <w:p w14:paraId="5D760443">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260</w:t>
                  </w:r>
                </w:p>
              </w:tc>
              <w:tc>
                <w:tcPr>
                  <w:tcW w:w="414" w:type="pct"/>
                  <w:noWrap w:val="0"/>
                  <w:vAlign w:val="center"/>
                </w:tcPr>
                <w:p w14:paraId="314BE5F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530</w:t>
                  </w:r>
                </w:p>
              </w:tc>
              <w:tc>
                <w:tcPr>
                  <w:tcW w:w="384" w:type="pct"/>
                  <w:noWrap w:val="0"/>
                  <w:vAlign w:val="center"/>
                </w:tcPr>
                <w:p w14:paraId="71AFD8F7">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350</w:t>
                  </w:r>
                </w:p>
              </w:tc>
              <w:tc>
                <w:tcPr>
                  <w:tcW w:w="403" w:type="pct"/>
                  <w:noWrap w:val="0"/>
                  <w:vAlign w:val="center"/>
                </w:tcPr>
                <w:p w14:paraId="2342F2D4">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260</w:t>
                  </w:r>
                </w:p>
              </w:tc>
              <w:tc>
                <w:tcPr>
                  <w:tcW w:w="415" w:type="pct"/>
                  <w:gridSpan w:val="2"/>
                  <w:noWrap w:val="0"/>
                  <w:vAlign w:val="center"/>
                </w:tcPr>
                <w:p w14:paraId="15D266EA">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290</w:t>
                  </w:r>
                </w:p>
              </w:tc>
              <w:tc>
                <w:tcPr>
                  <w:tcW w:w="435" w:type="pct"/>
                  <w:noWrap w:val="0"/>
                  <w:vAlign w:val="center"/>
                </w:tcPr>
                <w:p w14:paraId="78012753">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190</w:t>
                  </w:r>
                </w:p>
              </w:tc>
              <w:tc>
                <w:tcPr>
                  <w:tcW w:w="414" w:type="pct"/>
                  <w:noWrap w:val="0"/>
                  <w:vAlign w:val="center"/>
                </w:tcPr>
                <w:p w14:paraId="292ACEBB">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110</w:t>
                  </w:r>
                </w:p>
              </w:tc>
            </w:tr>
            <w:tr w14:paraId="6F7E9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restart"/>
                  <w:noWrap w:val="0"/>
                  <w:vAlign w:val="center"/>
                </w:tcPr>
                <w:p w14:paraId="50429BC2">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B</w:t>
                  </w:r>
                </w:p>
              </w:tc>
              <w:tc>
                <w:tcPr>
                  <w:tcW w:w="621" w:type="pct"/>
                  <w:noWrap w:val="0"/>
                  <w:vAlign w:val="center"/>
                </w:tcPr>
                <w:p w14:paraId="44DC220A">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w:t>
                  </w:r>
                </w:p>
              </w:tc>
              <w:tc>
                <w:tcPr>
                  <w:tcW w:w="1391" w:type="pct"/>
                  <w:gridSpan w:val="3"/>
                  <w:noWrap w:val="0"/>
                  <w:vAlign w:val="center"/>
                </w:tcPr>
                <w:p w14:paraId="19DBFF69">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0.01</w:t>
                  </w:r>
                </w:p>
              </w:tc>
              <w:tc>
                <w:tcPr>
                  <w:tcW w:w="1202" w:type="pct"/>
                  <w:gridSpan w:val="3"/>
                  <w:noWrap w:val="0"/>
                  <w:vAlign w:val="center"/>
                </w:tcPr>
                <w:p w14:paraId="504A14B7">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0.015</w:t>
                  </w:r>
                </w:p>
              </w:tc>
              <w:tc>
                <w:tcPr>
                  <w:tcW w:w="1265" w:type="pct"/>
                  <w:gridSpan w:val="4"/>
                  <w:noWrap w:val="0"/>
                  <w:vAlign w:val="center"/>
                </w:tcPr>
                <w:p w14:paraId="5525F66E">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0.015</w:t>
                  </w:r>
                </w:p>
              </w:tc>
            </w:tr>
            <w:tr w14:paraId="0B450F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continue"/>
                  <w:shd w:val="clear" w:color="auto" w:fill="auto"/>
                  <w:noWrap w:val="0"/>
                  <w:vAlign w:val="center"/>
                </w:tcPr>
                <w:p w14:paraId="5B72C3C4">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p>
              </w:tc>
              <w:tc>
                <w:tcPr>
                  <w:tcW w:w="621" w:type="pct"/>
                  <w:shd w:val="clear" w:color="auto" w:fill="auto"/>
                  <w:noWrap w:val="0"/>
                  <w:vAlign w:val="center"/>
                </w:tcPr>
                <w:p w14:paraId="4FF3BF39">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w:t>
                  </w:r>
                </w:p>
              </w:tc>
              <w:tc>
                <w:tcPr>
                  <w:tcW w:w="1391" w:type="pct"/>
                  <w:gridSpan w:val="3"/>
                  <w:shd w:val="clear" w:color="auto" w:fill="E0E0E0"/>
                  <w:noWrap w:val="0"/>
                  <w:vAlign w:val="center"/>
                </w:tcPr>
                <w:p w14:paraId="178AFA8C">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0.021</w:t>
                  </w:r>
                </w:p>
              </w:tc>
              <w:tc>
                <w:tcPr>
                  <w:tcW w:w="1202" w:type="pct"/>
                  <w:gridSpan w:val="3"/>
                  <w:noWrap w:val="0"/>
                  <w:vAlign w:val="center"/>
                </w:tcPr>
                <w:p w14:paraId="466D3413">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0.036</w:t>
                  </w:r>
                </w:p>
              </w:tc>
              <w:tc>
                <w:tcPr>
                  <w:tcW w:w="1265" w:type="pct"/>
                  <w:gridSpan w:val="4"/>
                  <w:noWrap w:val="0"/>
                  <w:vAlign w:val="center"/>
                </w:tcPr>
                <w:p w14:paraId="2848C846">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0.036</w:t>
                  </w:r>
                </w:p>
              </w:tc>
            </w:tr>
            <w:tr w14:paraId="63E19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restart"/>
                  <w:noWrap w:val="0"/>
                  <w:vAlign w:val="center"/>
                </w:tcPr>
                <w:p w14:paraId="3E51E644">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C</w:t>
                  </w:r>
                </w:p>
              </w:tc>
              <w:tc>
                <w:tcPr>
                  <w:tcW w:w="621" w:type="pct"/>
                  <w:noWrap w:val="0"/>
                  <w:vAlign w:val="center"/>
                </w:tcPr>
                <w:p w14:paraId="70EB4502">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w:t>
                  </w:r>
                </w:p>
              </w:tc>
              <w:tc>
                <w:tcPr>
                  <w:tcW w:w="1391" w:type="pct"/>
                  <w:gridSpan w:val="3"/>
                  <w:noWrap w:val="0"/>
                  <w:vAlign w:val="center"/>
                </w:tcPr>
                <w:p w14:paraId="717F4DD7">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1.85</w:t>
                  </w:r>
                </w:p>
              </w:tc>
              <w:tc>
                <w:tcPr>
                  <w:tcW w:w="1202" w:type="pct"/>
                  <w:gridSpan w:val="3"/>
                  <w:noWrap w:val="0"/>
                  <w:vAlign w:val="center"/>
                </w:tcPr>
                <w:p w14:paraId="0E96D948">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1.79</w:t>
                  </w:r>
                </w:p>
              </w:tc>
              <w:tc>
                <w:tcPr>
                  <w:tcW w:w="1265" w:type="pct"/>
                  <w:gridSpan w:val="4"/>
                  <w:noWrap w:val="0"/>
                  <w:vAlign w:val="center"/>
                </w:tcPr>
                <w:p w14:paraId="65E3B222">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1.79</w:t>
                  </w:r>
                </w:p>
              </w:tc>
            </w:tr>
            <w:tr w14:paraId="64408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continue"/>
                  <w:shd w:val="clear" w:color="auto" w:fill="auto"/>
                  <w:noWrap w:val="0"/>
                  <w:vAlign w:val="center"/>
                </w:tcPr>
                <w:p w14:paraId="6A61C316">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p>
              </w:tc>
              <w:tc>
                <w:tcPr>
                  <w:tcW w:w="621" w:type="pct"/>
                  <w:shd w:val="clear" w:color="auto" w:fill="auto"/>
                  <w:noWrap w:val="0"/>
                  <w:vAlign w:val="center"/>
                </w:tcPr>
                <w:p w14:paraId="5A4D97A1">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w:t>
                  </w:r>
                </w:p>
              </w:tc>
              <w:tc>
                <w:tcPr>
                  <w:tcW w:w="1391" w:type="pct"/>
                  <w:gridSpan w:val="3"/>
                  <w:shd w:val="clear" w:color="auto" w:fill="E0E0E0"/>
                  <w:noWrap w:val="0"/>
                  <w:vAlign w:val="center"/>
                </w:tcPr>
                <w:p w14:paraId="3050684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1.85</w:t>
                  </w:r>
                </w:p>
              </w:tc>
              <w:tc>
                <w:tcPr>
                  <w:tcW w:w="1202" w:type="pct"/>
                  <w:gridSpan w:val="3"/>
                  <w:noWrap w:val="0"/>
                  <w:vAlign w:val="center"/>
                </w:tcPr>
                <w:p w14:paraId="7551D54A">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1.77</w:t>
                  </w:r>
                </w:p>
              </w:tc>
              <w:tc>
                <w:tcPr>
                  <w:tcW w:w="1265" w:type="pct"/>
                  <w:gridSpan w:val="4"/>
                  <w:noWrap w:val="0"/>
                  <w:vAlign w:val="center"/>
                </w:tcPr>
                <w:p w14:paraId="45586DD2">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1.77</w:t>
                  </w:r>
                </w:p>
              </w:tc>
            </w:tr>
            <w:tr w14:paraId="6E2A8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restart"/>
                  <w:noWrap w:val="0"/>
                  <w:vAlign w:val="center"/>
                </w:tcPr>
                <w:p w14:paraId="6BF67060">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D</w:t>
                  </w:r>
                </w:p>
              </w:tc>
              <w:tc>
                <w:tcPr>
                  <w:tcW w:w="621" w:type="pct"/>
                  <w:noWrap w:val="0"/>
                  <w:vAlign w:val="center"/>
                </w:tcPr>
                <w:p w14:paraId="650311F4">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w:t>
                  </w:r>
                </w:p>
              </w:tc>
              <w:tc>
                <w:tcPr>
                  <w:tcW w:w="1391" w:type="pct"/>
                  <w:gridSpan w:val="3"/>
                  <w:noWrap w:val="0"/>
                  <w:vAlign w:val="center"/>
                </w:tcPr>
                <w:p w14:paraId="799B6AE9">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0.78</w:t>
                  </w:r>
                </w:p>
              </w:tc>
              <w:tc>
                <w:tcPr>
                  <w:tcW w:w="1202" w:type="pct"/>
                  <w:gridSpan w:val="3"/>
                  <w:noWrap w:val="0"/>
                  <w:vAlign w:val="center"/>
                </w:tcPr>
                <w:p w14:paraId="5565B609">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0.78</w:t>
                  </w:r>
                </w:p>
              </w:tc>
              <w:tc>
                <w:tcPr>
                  <w:tcW w:w="1265" w:type="pct"/>
                  <w:gridSpan w:val="4"/>
                  <w:noWrap w:val="0"/>
                  <w:vAlign w:val="center"/>
                </w:tcPr>
                <w:p w14:paraId="61C54C0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0.57</w:t>
                  </w:r>
                </w:p>
              </w:tc>
            </w:tr>
            <w:tr w14:paraId="6E1AE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18" w:type="pct"/>
                  <w:vMerge w:val="continue"/>
                  <w:shd w:val="clear" w:color="auto" w:fill="auto"/>
                  <w:noWrap w:val="0"/>
                  <w:vAlign w:val="center"/>
                </w:tcPr>
                <w:p w14:paraId="23CE59D0">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p>
              </w:tc>
              <w:tc>
                <w:tcPr>
                  <w:tcW w:w="621" w:type="pct"/>
                  <w:shd w:val="clear" w:color="auto" w:fill="auto"/>
                  <w:noWrap w:val="0"/>
                  <w:vAlign w:val="center"/>
                </w:tcPr>
                <w:p w14:paraId="7C1BFDC6">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＞2</w:t>
                  </w:r>
                </w:p>
              </w:tc>
              <w:tc>
                <w:tcPr>
                  <w:tcW w:w="1391" w:type="pct"/>
                  <w:gridSpan w:val="3"/>
                  <w:shd w:val="clear" w:color="auto" w:fill="E0E0E0"/>
                  <w:noWrap w:val="0"/>
                  <w:vAlign w:val="center"/>
                </w:tcPr>
                <w:p w14:paraId="772D992F">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0.84</w:t>
                  </w:r>
                </w:p>
              </w:tc>
              <w:tc>
                <w:tcPr>
                  <w:tcW w:w="1202" w:type="pct"/>
                  <w:gridSpan w:val="3"/>
                  <w:noWrap w:val="0"/>
                  <w:vAlign w:val="center"/>
                </w:tcPr>
                <w:p w14:paraId="55F8033C">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0.84</w:t>
                  </w:r>
                </w:p>
              </w:tc>
              <w:tc>
                <w:tcPr>
                  <w:tcW w:w="1265" w:type="pct"/>
                  <w:gridSpan w:val="4"/>
                  <w:noWrap w:val="0"/>
                  <w:vAlign w:val="center"/>
                </w:tcPr>
                <w:p w14:paraId="2D811B5C">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0.76</w:t>
                  </w:r>
                </w:p>
              </w:tc>
            </w:tr>
          </w:tbl>
          <w:p w14:paraId="7D9FAC53">
            <w:pPr>
              <w:pStyle w:val="39"/>
              <w:keepNext w:val="0"/>
              <w:keepLines w:val="0"/>
              <w:pageBreakBefore w:val="0"/>
              <w:widowControl w:val="0"/>
              <w:kinsoku/>
              <w:wordWrap/>
              <w:overflowPunct/>
              <w:topLinePunct w:val="0"/>
              <w:autoSpaceDE/>
              <w:autoSpaceDN/>
              <w:bidi w:val="0"/>
              <w:adjustRightInd w:val="0"/>
              <w:snapToGrid w:val="0"/>
              <w:spacing w:line="440" w:lineRule="exact"/>
              <w:ind w:firstLine="420"/>
              <w:textAlignment w:val="auto"/>
              <w:rPr>
                <w:rFonts w:hint="default" w:ascii="Times New Roman" w:hAnsi="Times New Roman" w:eastAsia="宋体" w:cs="Times New Roman"/>
                <w:smallCaps w:val="0"/>
                <w:snapToGrid w:val="0"/>
                <w:color w:val="auto"/>
                <w:spacing w:val="0"/>
                <w:kern w:val="0"/>
                <w:sz w:val="24"/>
                <w:szCs w:val="32"/>
              </w:rPr>
            </w:pPr>
            <w:r>
              <w:rPr>
                <w:rFonts w:hint="default" w:ascii="Times New Roman" w:hAnsi="Times New Roman" w:eastAsia="宋体" w:cs="Times New Roman"/>
                <w:smallCaps w:val="0"/>
                <w:snapToGrid w:val="0"/>
                <w:color w:val="auto"/>
                <w:spacing w:val="0"/>
                <w:kern w:val="0"/>
                <w:sz w:val="24"/>
                <w:szCs w:val="32"/>
              </w:rPr>
              <w:t>经计算本项目的卫生防护距离见下表。</w:t>
            </w:r>
          </w:p>
          <w:p w14:paraId="7D27D97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sz w:val="21"/>
                <w:szCs w:val="18"/>
                <w:lang w:val="en-US" w:eastAsia="zh-CN" w:bidi="ar-SA"/>
              </w:rPr>
            </w:pPr>
            <w:r>
              <w:rPr>
                <w:rFonts w:hint="default" w:ascii="Times New Roman" w:hAnsi="Times New Roman" w:eastAsia="宋体" w:cs="Times New Roman"/>
                <w:b/>
                <w:bCs w:val="0"/>
                <w:smallCaps w:val="0"/>
                <w:color w:val="auto"/>
                <w:spacing w:val="0"/>
                <w:kern w:val="0"/>
                <w:sz w:val="21"/>
                <w:szCs w:val="18"/>
                <w:lang w:val="en-US" w:eastAsia="zh-CN" w:bidi="ar-SA"/>
              </w:rPr>
              <w:t>表4-4卫生防护距离计算结果</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4"/>
              <w:gridCol w:w="5574"/>
            </w:tblGrid>
            <w:tr w14:paraId="0196C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4" w:type="pct"/>
                  <w:vMerge w:val="restart"/>
                  <w:noWrap w:val="0"/>
                  <w:vAlign w:val="center"/>
                </w:tcPr>
                <w:p w14:paraId="34764A8B">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r>
                    <w:rPr>
                      <w:rFonts w:hint="default" w:ascii="Times New Roman" w:hAnsi="Times New Roman" w:eastAsia="宋体" w:cs="Times New Roman"/>
                      <w:b/>
                      <w:bCs/>
                      <w:smallCaps w:val="0"/>
                      <w:snapToGrid w:val="0"/>
                      <w:color w:val="auto"/>
                      <w:spacing w:val="0"/>
                      <w:kern w:val="0"/>
                      <w:szCs w:val="21"/>
                    </w:rPr>
                    <w:t>污染源</w:t>
                  </w:r>
                </w:p>
              </w:tc>
              <w:tc>
                <w:tcPr>
                  <w:tcW w:w="3275" w:type="pct"/>
                  <w:noWrap w:val="0"/>
                  <w:vAlign w:val="center"/>
                </w:tcPr>
                <w:p w14:paraId="58DF92C1">
                  <w:pPr>
                    <w:widowControl/>
                    <w:adjustRightInd w:val="0"/>
                    <w:snapToGrid w:val="0"/>
                    <w:spacing w:line="240" w:lineRule="auto"/>
                    <w:ind w:firstLine="0" w:firstLineChars="0"/>
                    <w:jc w:val="center"/>
                    <w:rPr>
                      <w:rFonts w:hint="eastAsia" w:ascii="Times New Roman" w:hAnsi="Times New Roman" w:eastAsia="宋体" w:cs="Times New Roman"/>
                      <w:b/>
                      <w:bCs/>
                      <w:smallCaps w:val="0"/>
                      <w:snapToGrid w:val="0"/>
                      <w:color w:val="auto"/>
                      <w:spacing w:val="0"/>
                      <w:kern w:val="0"/>
                      <w:szCs w:val="21"/>
                      <w:lang w:val="en-US" w:eastAsia="zh-CN"/>
                    </w:rPr>
                  </w:pPr>
                  <w:r>
                    <w:rPr>
                      <w:rFonts w:hint="default" w:ascii="Times New Roman" w:hAnsi="Times New Roman" w:eastAsia="宋体" w:cs="Times New Roman"/>
                      <w:b/>
                      <w:bCs/>
                      <w:smallCaps w:val="0"/>
                      <w:snapToGrid w:val="0"/>
                      <w:color w:val="auto"/>
                      <w:spacing w:val="0"/>
                      <w:kern w:val="0"/>
                      <w:szCs w:val="21"/>
                    </w:rPr>
                    <w:t>生产车间</w:t>
                  </w:r>
                  <w:r>
                    <w:rPr>
                      <w:rFonts w:hint="eastAsia" w:cs="Times New Roman"/>
                      <w:b/>
                      <w:bCs/>
                      <w:smallCaps w:val="0"/>
                      <w:snapToGrid w:val="0"/>
                      <w:color w:val="auto"/>
                      <w:spacing w:val="0"/>
                      <w:kern w:val="0"/>
                      <w:szCs w:val="21"/>
                      <w:lang w:val="en-US" w:eastAsia="zh-CN"/>
                    </w:rPr>
                    <w:t>二</w:t>
                  </w:r>
                </w:p>
              </w:tc>
            </w:tr>
            <w:tr w14:paraId="6AA77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4" w:type="pct"/>
                  <w:vMerge w:val="continue"/>
                  <w:noWrap w:val="0"/>
                  <w:vAlign w:val="center"/>
                </w:tcPr>
                <w:p w14:paraId="5038EAD2">
                  <w:pPr>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rPr>
                  </w:pPr>
                </w:p>
              </w:tc>
              <w:tc>
                <w:tcPr>
                  <w:tcW w:w="3275" w:type="pct"/>
                  <w:noWrap w:val="0"/>
                  <w:vAlign w:val="center"/>
                </w:tcPr>
                <w:p w14:paraId="7E51BA57">
                  <w:pPr>
                    <w:widowControl/>
                    <w:adjustRightInd w:val="0"/>
                    <w:snapToGrid w:val="0"/>
                    <w:spacing w:line="240" w:lineRule="auto"/>
                    <w:ind w:firstLine="0" w:firstLineChars="0"/>
                    <w:jc w:val="center"/>
                    <w:rPr>
                      <w:rFonts w:hint="default" w:ascii="Times New Roman" w:hAnsi="Times New Roman" w:eastAsia="宋体" w:cs="Times New Roman"/>
                      <w:b/>
                      <w:bCs/>
                      <w:smallCaps w:val="0"/>
                      <w:snapToGrid w:val="0"/>
                      <w:color w:val="auto"/>
                      <w:spacing w:val="0"/>
                      <w:kern w:val="0"/>
                      <w:szCs w:val="21"/>
                      <w:lang w:val="en-US" w:eastAsia="zh-CN"/>
                    </w:rPr>
                  </w:pPr>
                  <w:r>
                    <w:rPr>
                      <w:rFonts w:hint="default" w:ascii="Times New Roman" w:hAnsi="Times New Roman" w:eastAsia="宋体" w:cs="Times New Roman"/>
                      <w:b/>
                      <w:bCs/>
                      <w:smallCaps w:val="0"/>
                      <w:snapToGrid w:val="0"/>
                      <w:color w:val="auto"/>
                      <w:spacing w:val="0"/>
                      <w:kern w:val="0"/>
                      <w:szCs w:val="21"/>
                      <w:lang w:val="en-US" w:eastAsia="zh-CN"/>
                    </w:rPr>
                    <w:t>颗粒物</w:t>
                  </w:r>
                </w:p>
              </w:tc>
            </w:tr>
            <w:tr w14:paraId="182DB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4" w:type="pct"/>
                  <w:noWrap w:val="0"/>
                  <w:vAlign w:val="center"/>
                </w:tcPr>
                <w:p w14:paraId="38D0FC8C">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计算值（m）</w:t>
                  </w:r>
                </w:p>
              </w:tc>
              <w:tc>
                <w:tcPr>
                  <w:tcW w:w="3275" w:type="pct"/>
                  <w:noWrap w:val="0"/>
                  <w:vAlign w:val="center"/>
                </w:tcPr>
                <w:p w14:paraId="58DE1F96">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lang w:val="en-US" w:eastAsia="zh-CN"/>
                    </w:rPr>
                  </w:pPr>
                  <w:r>
                    <w:rPr>
                      <w:rFonts w:hint="default" w:ascii="Times New Roman" w:hAnsi="Times New Roman" w:eastAsia="宋体" w:cs="Times New Roman"/>
                      <w:bCs/>
                      <w:smallCaps w:val="0"/>
                      <w:snapToGrid w:val="0"/>
                      <w:color w:val="auto"/>
                      <w:spacing w:val="0"/>
                      <w:kern w:val="0"/>
                      <w:szCs w:val="21"/>
                      <w:lang w:val="en-US" w:eastAsia="zh-CN"/>
                    </w:rPr>
                    <w:t>&lt;50</w:t>
                  </w:r>
                </w:p>
              </w:tc>
            </w:tr>
            <w:tr w14:paraId="79812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24" w:type="pct"/>
                  <w:noWrap w:val="0"/>
                  <w:vAlign w:val="center"/>
                </w:tcPr>
                <w:p w14:paraId="24BD060D">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rPr>
                  </w:pPr>
                  <w:r>
                    <w:rPr>
                      <w:rFonts w:hint="default" w:ascii="Times New Roman" w:hAnsi="Times New Roman" w:eastAsia="宋体" w:cs="Times New Roman"/>
                      <w:bCs/>
                      <w:smallCaps w:val="0"/>
                      <w:snapToGrid w:val="0"/>
                      <w:color w:val="auto"/>
                      <w:spacing w:val="0"/>
                      <w:kern w:val="0"/>
                      <w:szCs w:val="21"/>
                    </w:rPr>
                    <w:t>卫生防护距离(m)</w:t>
                  </w:r>
                </w:p>
              </w:tc>
              <w:tc>
                <w:tcPr>
                  <w:tcW w:w="3275" w:type="pct"/>
                  <w:noWrap w:val="0"/>
                  <w:vAlign w:val="center"/>
                </w:tcPr>
                <w:p w14:paraId="519BB882">
                  <w:pPr>
                    <w:adjustRightInd w:val="0"/>
                    <w:snapToGrid w:val="0"/>
                    <w:spacing w:line="240" w:lineRule="auto"/>
                    <w:ind w:firstLine="0" w:firstLineChars="0"/>
                    <w:jc w:val="center"/>
                    <w:rPr>
                      <w:rFonts w:hint="default" w:ascii="Times New Roman" w:hAnsi="Times New Roman" w:eastAsia="宋体" w:cs="Times New Roman"/>
                      <w:bCs/>
                      <w:smallCaps w:val="0"/>
                      <w:snapToGrid w:val="0"/>
                      <w:color w:val="auto"/>
                      <w:spacing w:val="0"/>
                      <w:kern w:val="0"/>
                      <w:szCs w:val="21"/>
                      <w:lang w:val="en-US" w:eastAsia="zh-CN"/>
                    </w:rPr>
                  </w:pPr>
                  <w:r>
                    <w:rPr>
                      <w:rFonts w:hint="default" w:ascii="Times New Roman" w:hAnsi="Times New Roman" w:eastAsia="宋体" w:cs="Times New Roman"/>
                      <w:bCs/>
                      <w:smallCaps w:val="0"/>
                      <w:snapToGrid w:val="0"/>
                      <w:color w:val="auto"/>
                      <w:spacing w:val="0"/>
                      <w:kern w:val="0"/>
                      <w:szCs w:val="21"/>
                      <w:lang w:val="en-US" w:eastAsia="zh-CN"/>
                    </w:rPr>
                    <w:t>50</w:t>
                  </w:r>
                </w:p>
              </w:tc>
            </w:tr>
          </w:tbl>
          <w:p w14:paraId="751597E8">
            <w:pPr>
              <w:adjustRightInd w:val="0"/>
              <w:snapToGrid w:val="0"/>
              <w:spacing w:line="240" w:lineRule="auto"/>
              <w:ind w:firstLine="422"/>
              <w:rPr>
                <w:rFonts w:hint="default" w:ascii="Times New Roman" w:hAnsi="Times New Roman" w:eastAsia="宋体" w:cs="Times New Roman"/>
                <w:b/>
                <w:smallCaps w:val="0"/>
                <w:snapToGrid w:val="0"/>
                <w:color w:val="auto"/>
                <w:spacing w:val="0"/>
                <w:kern w:val="0"/>
                <w:szCs w:val="21"/>
              </w:rPr>
            </w:pPr>
            <w:r>
              <w:rPr>
                <w:rFonts w:hint="default" w:ascii="Times New Roman" w:hAnsi="Times New Roman" w:eastAsia="宋体" w:cs="Times New Roman"/>
                <w:b/>
                <w:smallCaps w:val="0"/>
                <w:snapToGrid w:val="0"/>
                <w:color w:val="auto"/>
                <w:spacing w:val="0"/>
                <w:kern w:val="0"/>
                <w:szCs w:val="21"/>
              </w:rPr>
              <w:t>注</w:t>
            </w:r>
            <w:r>
              <w:rPr>
                <w:rFonts w:hint="default" w:ascii="Times New Roman" w:hAnsi="Times New Roman" w:eastAsia="宋体" w:cs="Times New Roman"/>
                <w:b/>
                <w:smallCaps w:val="0"/>
                <w:snapToGrid w:val="0"/>
                <w:color w:val="auto"/>
                <w:spacing w:val="0"/>
                <w:kern w:val="0"/>
                <w:szCs w:val="21"/>
                <w:lang w:eastAsia="zh-CN"/>
              </w:rPr>
              <w:t>：</w:t>
            </w:r>
            <w:r>
              <w:rPr>
                <w:rFonts w:hint="default" w:ascii="Times New Roman" w:hAnsi="Times New Roman" w:eastAsia="宋体" w:cs="Times New Roman"/>
                <w:b/>
                <w:smallCaps w:val="0"/>
                <w:snapToGrid w:val="0"/>
                <w:color w:val="auto"/>
                <w:spacing w:val="0"/>
                <w:kern w:val="0"/>
                <w:szCs w:val="21"/>
              </w:rPr>
              <w:t>根据《大气有害物质无组织排放卫生防护距离推导技术导则》中卫生防护距离的确定</w:t>
            </w:r>
            <w:r>
              <w:rPr>
                <w:rFonts w:hint="default" w:ascii="Times New Roman" w:hAnsi="Times New Roman" w:eastAsia="宋体" w:cs="Times New Roman"/>
                <w:b/>
                <w:smallCaps w:val="0"/>
                <w:snapToGrid w:val="0"/>
                <w:color w:val="auto"/>
                <w:spacing w:val="0"/>
                <w:kern w:val="0"/>
                <w:szCs w:val="21"/>
                <w:lang w:eastAsia="zh-CN"/>
              </w:rPr>
              <w:t>：</w:t>
            </w:r>
            <w:r>
              <w:rPr>
                <w:rFonts w:hint="default" w:ascii="Times New Roman" w:hAnsi="Times New Roman" w:eastAsia="宋体" w:cs="Times New Roman"/>
                <w:b/>
                <w:smallCaps w:val="0"/>
                <w:snapToGrid w:val="0"/>
                <w:color w:val="auto"/>
                <w:spacing w:val="0"/>
                <w:kern w:val="0"/>
                <w:szCs w:val="21"/>
              </w:rPr>
              <w:t>卫生防护距离初值小于50m时,级差为50m。卫生防护距离初值大于或等于50m,但小于100m时,级差为50m。卫生防护距离初值大于或等于100m,但小于1000m时,级差为100m。卫生防护距离初值大于或等于1000m时,级差为200m。</w:t>
            </w:r>
          </w:p>
          <w:p w14:paraId="2AE109C2">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smallCaps w:val="0"/>
                <w:color w:val="auto"/>
                <w:spacing w:val="0"/>
                <w:sz w:val="24"/>
                <w:szCs w:val="24"/>
                <w:lang w:val="en-US" w:eastAsia="zh-CN"/>
              </w:rPr>
            </w:pPr>
            <w:r>
              <w:rPr>
                <w:rFonts w:hint="default" w:ascii="Times New Roman" w:hAnsi="Times New Roman" w:eastAsia="宋体" w:cs="Times New Roman"/>
                <w:smallCaps w:val="0"/>
                <w:color w:val="auto"/>
                <w:spacing w:val="0"/>
                <w:kern w:val="2"/>
                <w:sz w:val="24"/>
                <w:szCs w:val="24"/>
                <w:lang w:val="en-US" w:eastAsia="zh-CN" w:bidi="ar-SA"/>
              </w:rPr>
              <w:t>本项目需以生产车间</w:t>
            </w:r>
            <w:r>
              <w:rPr>
                <w:rFonts w:hint="eastAsia" w:cs="Times New Roman"/>
                <w:smallCaps w:val="0"/>
                <w:color w:val="auto"/>
                <w:spacing w:val="0"/>
                <w:kern w:val="2"/>
                <w:sz w:val="24"/>
                <w:szCs w:val="24"/>
                <w:lang w:val="en-US" w:eastAsia="zh-CN" w:bidi="ar-SA"/>
              </w:rPr>
              <w:t>二</w:t>
            </w:r>
            <w:r>
              <w:rPr>
                <w:rFonts w:hint="default" w:ascii="Times New Roman" w:hAnsi="Times New Roman" w:eastAsia="宋体" w:cs="Times New Roman"/>
                <w:smallCaps w:val="0"/>
                <w:color w:val="auto"/>
                <w:spacing w:val="0"/>
                <w:kern w:val="2"/>
                <w:sz w:val="24"/>
                <w:szCs w:val="24"/>
                <w:lang w:val="en-US" w:eastAsia="zh-CN" w:bidi="ar-SA"/>
              </w:rPr>
              <w:t>外扩50m设置卫生防护距离，该距离内现无居民等敏感保护目标，在该防护距离内今后也不得新建居民住宅、学校、医院等环境敏感目标。</w:t>
            </w:r>
          </w:p>
          <w:p w14:paraId="4615387A">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2" w:firstLineChars="200"/>
              <w:textAlignment w:val="auto"/>
              <w:rPr>
                <w:rFonts w:hint="default" w:ascii="Times New Roman" w:hAnsi="Times New Roman" w:eastAsia="宋体" w:cs="Times New Roman"/>
                <w:b/>
                <w:bCs/>
                <w:smallCaps w:val="0"/>
                <w:color w:val="auto"/>
                <w:spacing w:val="0"/>
                <w:kern w:val="0"/>
                <w:position w:val="0"/>
                <w:sz w:val="24"/>
                <w:szCs w:val="24"/>
                <w:lang w:val="en-US" w:eastAsia="zh-CN" w:bidi="ar-SA"/>
              </w:rPr>
            </w:pPr>
            <w:r>
              <w:rPr>
                <w:rFonts w:hint="default" w:ascii="Times New Roman" w:hAnsi="Times New Roman" w:eastAsia="宋体" w:cs="Times New Roman"/>
                <w:b/>
                <w:bCs/>
                <w:smallCaps w:val="0"/>
                <w:color w:val="auto"/>
                <w:spacing w:val="0"/>
                <w:kern w:val="0"/>
                <w:position w:val="0"/>
                <w:sz w:val="24"/>
                <w:szCs w:val="24"/>
                <w:lang w:val="en-US" w:eastAsia="zh-CN" w:bidi="ar-SA"/>
              </w:rPr>
              <w:t>1.5大气环境监测计划</w:t>
            </w:r>
          </w:p>
          <w:p w14:paraId="780DFC12">
            <w:pPr>
              <w:pStyle w:val="25"/>
              <w:keepNext w:val="0"/>
              <w:keepLines w:val="0"/>
              <w:pageBreakBefore w:val="0"/>
              <w:kinsoku/>
              <w:wordWrap/>
              <w:overflowPunct/>
              <w:topLinePunct w:val="0"/>
              <w:bidi w:val="0"/>
              <w:adjustRightInd w:val="0"/>
              <w:snapToGrid w:val="0"/>
              <w:spacing w:before="0" w:beforeLines="0" w:after="0" w:afterLines="0" w:line="440" w:lineRule="exact"/>
              <w:ind w:firstLine="420"/>
              <w:textAlignment w:val="auto"/>
              <w:rPr>
                <w:rFonts w:hint="default" w:ascii="Times New Roman" w:hAnsi="Times New Roman" w:eastAsia="宋体" w:cs="Times New Roman"/>
                <w:smallCaps w:val="0"/>
                <w:snapToGrid w:val="0"/>
                <w:color w:val="auto"/>
                <w:spacing w:val="0"/>
                <w:kern w:val="0"/>
                <w:position w:val="0"/>
                <w:sz w:val="24"/>
                <w:szCs w:val="24"/>
              </w:rPr>
            </w:pPr>
            <w:r>
              <w:rPr>
                <w:rFonts w:hint="default" w:ascii="Times New Roman" w:hAnsi="Times New Roman" w:eastAsia="宋体" w:cs="Times New Roman"/>
                <w:smallCaps w:val="0"/>
                <w:snapToGrid w:val="0"/>
                <w:color w:val="auto"/>
                <w:spacing w:val="0"/>
                <w:kern w:val="0"/>
                <w:position w:val="0"/>
                <w:sz w:val="24"/>
                <w:szCs w:val="24"/>
              </w:rPr>
              <w:t>本项目环境监测计划参照《排污单位自行监测技术指南总则》（HJ819-2017）</w:t>
            </w:r>
            <w:r>
              <w:rPr>
                <w:rFonts w:hint="default" w:ascii="Times New Roman" w:hAnsi="Times New Roman" w:eastAsia="宋体" w:cs="Times New Roman"/>
                <w:smallCaps w:val="0"/>
                <w:snapToGrid w:val="0"/>
                <w:color w:val="auto"/>
                <w:spacing w:val="0"/>
                <w:kern w:val="0"/>
                <w:position w:val="0"/>
                <w:sz w:val="24"/>
                <w:szCs w:val="24"/>
                <w:lang w:val="en-US" w:eastAsia="zh-CN"/>
              </w:rPr>
              <w:t>和《排污许可证申请与核发技术规范印刷工业（HJ1066-2019）》</w:t>
            </w:r>
            <w:r>
              <w:rPr>
                <w:rFonts w:hint="default" w:ascii="Times New Roman" w:hAnsi="Times New Roman" w:eastAsia="宋体" w:cs="Times New Roman"/>
                <w:smallCaps w:val="0"/>
                <w:snapToGrid w:val="0"/>
                <w:color w:val="auto"/>
                <w:spacing w:val="0"/>
                <w:kern w:val="0"/>
                <w:position w:val="0"/>
                <w:sz w:val="24"/>
                <w:szCs w:val="24"/>
              </w:rPr>
              <w:t>，大气污染物自行监测计划见下表。</w:t>
            </w:r>
          </w:p>
          <w:p w14:paraId="29B7E3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position w:val="0"/>
                <w:sz w:val="21"/>
                <w:szCs w:val="18"/>
                <w:lang w:val="en-US" w:eastAsia="zh-CN" w:bidi="ar-SA"/>
              </w:rPr>
            </w:pPr>
            <w:r>
              <w:rPr>
                <w:rFonts w:hint="default" w:ascii="Times New Roman" w:hAnsi="Times New Roman" w:eastAsia="宋体" w:cs="Times New Roman"/>
                <w:b/>
                <w:bCs w:val="0"/>
                <w:smallCaps w:val="0"/>
                <w:color w:val="auto"/>
                <w:spacing w:val="0"/>
                <w:kern w:val="0"/>
                <w:position w:val="0"/>
                <w:sz w:val="21"/>
                <w:szCs w:val="18"/>
                <w:lang w:val="en-US" w:eastAsia="zh-CN" w:bidi="ar-SA"/>
              </w:rPr>
              <w:t>表4-5本项目大气环境监测计划</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93"/>
              <w:gridCol w:w="2153"/>
              <w:gridCol w:w="1335"/>
              <w:gridCol w:w="2785"/>
            </w:tblGrid>
            <w:tr w14:paraId="00016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6" w:type="pct"/>
                  <w:noWrap w:val="0"/>
                  <w:vAlign w:val="center"/>
                </w:tcPr>
                <w:p w14:paraId="356F5CBE">
                  <w:pPr>
                    <w:pStyle w:val="10"/>
                    <w:spacing w:before="24" w:after="24"/>
                    <w:ind w:left="-53" w:leftChars="-25" w:right="-53" w:rightChars="-25"/>
                    <w:jc w:val="center"/>
                    <w:rPr>
                      <w:rFonts w:hint="default" w:ascii="Times New Roman" w:hAnsi="Times New Roman" w:eastAsia="宋体" w:cs="Times New Roman"/>
                      <w:b/>
                      <w:smallCaps w:val="0"/>
                      <w:snapToGrid w:val="0"/>
                      <w:color w:val="auto"/>
                      <w:spacing w:val="0"/>
                      <w:kern w:val="0"/>
                      <w:position w:val="0"/>
                      <w:sz w:val="21"/>
                    </w:rPr>
                  </w:pPr>
                  <w:r>
                    <w:rPr>
                      <w:rFonts w:hint="default" w:ascii="Times New Roman" w:hAnsi="Times New Roman" w:eastAsia="宋体" w:cs="Times New Roman"/>
                      <w:b/>
                      <w:smallCaps w:val="0"/>
                      <w:snapToGrid w:val="0"/>
                      <w:color w:val="auto"/>
                      <w:spacing w:val="0"/>
                      <w:kern w:val="0"/>
                      <w:position w:val="0"/>
                      <w:sz w:val="21"/>
                    </w:rPr>
                    <w:t>类别</w:t>
                  </w:r>
                </w:p>
              </w:tc>
              <w:tc>
                <w:tcPr>
                  <w:tcW w:w="877" w:type="pct"/>
                  <w:noWrap w:val="0"/>
                  <w:vAlign w:val="center"/>
                </w:tcPr>
                <w:p w14:paraId="3DB200A1">
                  <w:pPr>
                    <w:pStyle w:val="10"/>
                    <w:spacing w:before="24" w:after="24"/>
                    <w:ind w:left="-53" w:leftChars="-25" w:right="-53" w:rightChars="-25"/>
                    <w:jc w:val="center"/>
                    <w:rPr>
                      <w:rFonts w:hint="default" w:ascii="Times New Roman" w:hAnsi="Times New Roman" w:eastAsia="宋体" w:cs="Times New Roman"/>
                      <w:b/>
                      <w:smallCaps w:val="0"/>
                      <w:snapToGrid w:val="0"/>
                      <w:color w:val="auto"/>
                      <w:spacing w:val="0"/>
                      <w:kern w:val="0"/>
                      <w:position w:val="0"/>
                      <w:sz w:val="21"/>
                    </w:rPr>
                  </w:pPr>
                  <w:r>
                    <w:rPr>
                      <w:rFonts w:hint="default" w:ascii="Times New Roman" w:hAnsi="Times New Roman" w:eastAsia="宋体" w:cs="Times New Roman"/>
                      <w:b/>
                      <w:smallCaps w:val="0"/>
                      <w:snapToGrid w:val="0"/>
                      <w:color w:val="auto"/>
                      <w:spacing w:val="0"/>
                      <w:kern w:val="0"/>
                      <w:position w:val="0"/>
                      <w:sz w:val="21"/>
                    </w:rPr>
                    <w:t>监测点位</w:t>
                  </w:r>
                </w:p>
              </w:tc>
              <w:tc>
                <w:tcPr>
                  <w:tcW w:w="1265" w:type="pct"/>
                  <w:noWrap w:val="0"/>
                  <w:vAlign w:val="center"/>
                </w:tcPr>
                <w:p w14:paraId="6BCBFA29">
                  <w:pPr>
                    <w:pStyle w:val="10"/>
                    <w:spacing w:before="24" w:after="24"/>
                    <w:ind w:left="-53" w:leftChars="-25" w:right="-53" w:rightChars="-25"/>
                    <w:jc w:val="center"/>
                    <w:rPr>
                      <w:rFonts w:hint="default" w:ascii="Times New Roman" w:hAnsi="Times New Roman" w:eastAsia="宋体" w:cs="Times New Roman"/>
                      <w:b/>
                      <w:smallCaps w:val="0"/>
                      <w:snapToGrid w:val="0"/>
                      <w:color w:val="auto"/>
                      <w:spacing w:val="0"/>
                      <w:kern w:val="0"/>
                      <w:position w:val="0"/>
                      <w:sz w:val="21"/>
                    </w:rPr>
                  </w:pPr>
                  <w:r>
                    <w:rPr>
                      <w:rFonts w:hint="default" w:ascii="Times New Roman" w:hAnsi="Times New Roman" w:eastAsia="宋体" w:cs="Times New Roman"/>
                      <w:b/>
                      <w:smallCaps w:val="0"/>
                      <w:snapToGrid w:val="0"/>
                      <w:color w:val="auto"/>
                      <w:spacing w:val="0"/>
                      <w:kern w:val="0"/>
                      <w:position w:val="0"/>
                      <w:sz w:val="21"/>
                    </w:rPr>
                    <w:t>监测因子</w:t>
                  </w:r>
                </w:p>
              </w:tc>
              <w:tc>
                <w:tcPr>
                  <w:tcW w:w="784" w:type="pct"/>
                  <w:noWrap w:val="0"/>
                  <w:vAlign w:val="center"/>
                </w:tcPr>
                <w:p w14:paraId="4D843DCD">
                  <w:pPr>
                    <w:pStyle w:val="10"/>
                    <w:spacing w:before="24" w:after="24"/>
                    <w:ind w:left="-53" w:leftChars="-25" w:right="-53" w:rightChars="-25"/>
                    <w:jc w:val="center"/>
                    <w:rPr>
                      <w:rFonts w:hint="default" w:ascii="Times New Roman" w:hAnsi="Times New Roman" w:eastAsia="宋体" w:cs="Times New Roman"/>
                      <w:b/>
                      <w:smallCaps w:val="0"/>
                      <w:snapToGrid w:val="0"/>
                      <w:color w:val="auto"/>
                      <w:spacing w:val="0"/>
                      <w:kern w:val="0"/>
                      <w:position w:val="0"/>
                      <w:sz w:val="21"/>
                    </w:rPr>
                  </w:pPr>
                  <w:r>
                    <w:rPr>
                      <w:rFonts w:hint="default" w:ascii="Times New Roman" w:hAnsi="Times New Roman" w:eastAsia="宋体" w:cs="Times New Roman"/>
                      <w:b/>
                      <w:smallCaps w:val="0"/>
                      <w:snapToGrid w:val="0"/>
                      <w:color w:val="auto"/>
                      <w:spacing w:val="0"/>
                      <w:kern w:val="0"/>
                      <w:position w:val="0"/>
                      <w:sz w:val="21"/>
                    </w:rPr>
                    <w:t>监测频次</w:t>
                  </w:r>
                </w:p>
              </w:tc>
              <w:tc>
                <w:tcPr>
                  <w:tcW w:w="1636" w:type="pct"/>
                  <w:noWrap w:val="0"/>
                  <w:vAlign w:val="center"/>
                </w:tcPr>
                <w:p w14:paraId="6B2BB65B">
                  <w:pPr>
                    <w:pStyle w:val="10"/>
                    <w:spacing w:before="24" w:after="24"/>
                    <w:ind w:left="-53" w:leftChars="-25" w:right="-53" w:rightChars="-25"/>
                    <w:jc w:val="center"/>
                    <w:rPr>
                      <w:rFonts w:hint="default" w:ascii="Times New Roman" w:hAnsi="Times New Roman" w:eastAsia="宋体" w:cs="Times New Roman"/>
                      <w:b/>
                      <w:smallCaps w:val="0"/>
                      <w:snapToGrid w:val="0"/>
                      <w:color w:val="auto"/>
                      <w:spacing w:val="0"/>
                      <w:kern w:val="0"/>
                      <w:position w:val="0"/>
                      <w:sz w:val="21"/>
                    </w:rPr>
                  </w:pPr>
                  <w:r>
                    <w:rPr>
                      <w:rFonts w:hint="default" w:ascii="Times New Roman" w:hAnsi="Times New Roman" w:eastAsia="宋体" w:cs="Times New Roman"/>
                      <w:b/>
                      <w:smallCaps w:val="0"/>
                      <w:snapToGrid w:val="0"/>
                      <w:color w:val="auto"/>
                      <w:spacing w:val="0"/>
                      <w:kern w:val="0"/>
                      <w:position w:val="0"/>
                      <w:sz w:val="21"/>
                    </w:rPr>
                    <w:t>排放标准</w:t>
                  </w:r>
                </w:p>
              </w:tc>
            </w:tr>
            <w:tr w14:paraId="444FE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noWrap w:val="0"/>
                  <w:vAlign w:val="center"/>
                </w:tcPr>
                <w:p w14:paraId="78236DEC">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rPr>
                  </w:pPr>
                  <w:r>
                    <w:rPr>
                      <w:rFonts w:hint="default" w:ascii="Times New Roman" w:hAnsi="Times New Roman" w:eastAsia="宋体" w:cs="Times New Roman"/>
                      <w:smallCaps w:val="0"/>
                      <w:snapToGrid w:val="0"/>
                      <w:color w:val="auto"/>
                      <w:spacing w:val="0"/>
                      <w:kern w:val="0"/>
                      <w:position w:val="0"/>
                      <w:sz w:val="21"/>
                    </w:rPr>
                    <w:t>废气</w:t>
                  </w:r>
                </w:p>
              </w:tc>
              <w:tc>
                <w:tcPr>
                  <w:tcW w:w="877" w:type="pct"/>
                  <w:shd w:val="clear" w:color="auto" w:fill="auto"/>
                  <w:noWrap w:val="0"/>
                  <w:vAlign w:val="center"/>
                </w:tcPr>
                <w:p w14:paraId="070F3361">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lang w:val="en-US" w:eastAsia="zh-CN"/>
                    </w:rPr>
                  </w:pPr>
                  <w:r>
                    <w:rPr>
                      <w:rFonts w:hint="default" w:ascii="Times New Roman" w:hAnsi="Times New Roman" w:eastAsia="宋体" w:cs="Times New Roman"/>
                      <w:smallCaps w:val="0"/>
                      <w:snapToGrid w:val="0"/>
                      <w:color w:val="auto"/>
                      <w:spacing w:val="0"/>
                      <w:kern w:val="0"/>
                      <w:position w:val="0"/>
                      <w:sz w:val="21"/>
                      <w:lang w:val="en-US" w:eastAsia="zh-CN"/>
                    </w:rPr>
                    <w:t>无组织（厂界）</w:t>
                  </w:r>
                </w:p>
              </w:tc>
              <w:tc>
                <w:tcPr>
                  <w:tcW w:w="1265" w:type="pct"/>
                  <w:shd w:val="clear" w:color="auto" w:fill="auto"/>
                  <w:noWrap w:val="0"/>
                  <w:vAlign w:val="center"/>
                </w:tcPr>
                <w:p w14:paraId="413AA673">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lang w:eastAsia="zh-CN"/>
                    </w:rPr>
                  </w:pPr>
                  <w:r>
                    <w:rPr>
                      <w:rFonts w:hint="default" w:ascii="Times New Roman" w:hAnsi="Times New Roman" w:eastAsia="宋体" w:cs="Times New Roman"/>
                      <w:smallCaps w:val="0"/>
                      <w:snapToGrid w:val="0"/>
                      <w:color w:val="auto"/>
                      <w:spacing w:val="0"/>
                      <w:kern w:val="0"/>
                      <w:position w:val="0"/>
                      <w:sz w:val="21"/>
                      <w:lang w:val="en-US" w:eastAsia="zh-CN"/>
                    </w:rPr>
                    <w:t>非甲烷总烃、颗粒物</w:t>
                  </w:r>
                </w:p>
              </w:tc>
              <w:tc>
                <w:tcPr>
                  <w:tcW w:w="784" w:type="pct"/>
                  <w:shd w:val="clear" w:color="auto" w:fill="auto"/>
                  <w:noWrap w:val="0"/>
                  <w:vAlign w:val="center"/>
                </w:tcPr>
                <w:p w14:paraId="2085AB88">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szCs w:val="20"/>
                      <w:lang w:val="en-US" w:eastAsia="zh-CN" w:bidi="ar-SA"/>
                    </w:rPr>
                  </w:pPr>
                  <w:r>
                    <w:rPr>
                      <w:rFonts w:hint="default" w:ascii="Times New Roman" w:hAnsi="Times New Roman" w:eastAsia="宋体" w:cs="Times New Roman"/>
                      <w:smallCaps w:val="0"/>
                      <w:snapToGrid w:val="0"/>
                      <w:color w:val="auto"/>
                      <w:spacing w:val="0"/>
                      <w:kern w:val="0"/>
                      <w:position w:val="0"/>
                      <w:sz w:val="21"/>
                      <w:lang w:val="en-US" w:eastAsia="zh-CN"/>
                    </w:rPr>
                    <w:t>一年</w:t>
                  </w:r>
                  <w:r>
                    <w:rPr>
                      <w:rFonts w:hint="default" w:ascii="Times New Roman" w:hAnsi="Times New Roman" w:eastAsia="宋体" w:cs="Times New Roman"/>
                      <w:smallCaps w:val="0"/>
                      <w:snapToGrid w:val="0"/>
                      <w:color w:val="auto"/>
                      <w:spacing w:val="0"/>
                      <w:kern w:val="0"/>
                      <w:position w:val="0"/>
                      <w:sz w:val="21"/>
                    </w:rPr>
                    <w:t>一次</w:t>
                  </w:r>
                </w:p>
              </w:tc>
              <w:tc>
                <w:tcPr>
                  <w:tcW w:w="1636" w:type="pct"/>
                  <w:noWrap w:val="0"/>
                  <w:vAlign w:val="center"/>
                </w:tcPr>
                <w:p w14:paraId="483F2351">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rPr>
                  </w:pPr>
                  <w:r>
                    <w:rPr>
                      <w:rFonts w:hint="default" w:ascii="Times New Roman" w:hAnsi="Times New Roman" w:eastAsia="宋体" w:cs="Times New Roman"/>
                      <w:smallCaps w:val="0"/>
                      <w:snapToGrid w:val="0"/>
                      <w:color w:val="auto"/>
                      <w:spacing w:val="0"/>
                      <w:kern w:val="0"/>
                      <w:position w:val="0"/>
                      <w:sz w:val="21"/>
                    </w:rPr>
                    <w:t>《大气污染物综合排放标准》（DB32/4041-2021）</w:t>
                  </w:r>
                </w:p>
              </w:tc>
            </w:tr>
            <w:tr w14:paraId="74BB1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noWrap w:val="0"/>
                  <w:vAlign w:val="center"/>
                </w:tcPr>
                <w:p w14:paraId="0C24F15E">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rPr>
                  </w:pPr>
                </w:p>
              </w:tc>
              <w:tc>
                <w:tcPr>
                  <w:tcW w:w="877" w:type="pct"/>
                  <w:shd w:val="clear" w:color="auto" w:fill="auto"/>
                  <w:noWrap w:val="0"/>
                  <w:vAlign w:val="center"/>
                </w:tcPr>
                <w:p w14:paraId="5210ABF8">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lang w:val="en-US" w:eastAsia="zh-CN"/>
                    </w:rPr>
                  </w:pPr>
                  <w:r>
                    <w:rPr>
                      <w:rFonts w:hint="default" w:ascii="Times New Roman" w:hAnsi="Times New Roman" w:eastAsia="宋体" w:cs="Times New Roman"/>
                      <w:smallCaps w:val="0"/>
                      <w:snapToGrid w:val="0"/>
                      <w:color w:val="auto"/>
                      <w:spacing w:val="0"/>
                      <w:kern w:val="0"/>
                      <w:position w:val="0"/>
                      <w:sz w:val="21"/>
                      <w:lang w:val="en-US" w:eastAsia="zh-CN"/>
                    </w:rPr>
                    <w:t>生产车间一</w:t>
                  </w:r>
                  <w:r>
                    <w:rPr>
                      <w:rFonts w:hint="default" w:ascii="Times New Roman" w:hAnsi="Times New Roman" w:eastAsia="宋体" w:cs="Times New Roman"/>
                      <w:smallCaps w:val="0"/>
                      <w:snapToGrid w:val="0"/>
                      <w:color w:val="auto"/>
                      <w:spacing w:val="0"/>
                      <w:kern w:val="0"/>
                      <w:position w:val="0"/>
                      <w:sz w:val="21"/>
                      <w:lang w:eastAsia="zh-CN"/>
                    </w:rPr>
                    <w:t>外1m处</w:t>
                  </w:r>
                </w:p>
              </w:tc>
              <w:tc>
                <w:tcPr>
                  <w:tcW w:w="1265" w:type="pct"/>
                  <w:shd w:val="clear" w:color="auto" w:fill="auto"/>
                  <w:noWrap w:val="0"/>
                  <w:vAlign w:val="center"/>
                </w:tcPr>
                <w:p w14:paraId="46363192">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lang w:val="en-US" w:eastAsia="zh-CN"/>
                    </w:rPr>
                  </w:pPr>
                  <w:r>
                    <w:rPr>
                      <w:rFonts w:hint="default" w:ascii="Times New Roman" w:hAnsi="Times New Roman" w:eastAsia="宋体" w:cs="Times New Roman"/>
                      <w:smallCaps w:val="0"/>
                      <w:snapToGrid w:val="0"/>
                      <w:color w:val="auto"/>
                      <w:spacing w:val="0"/>
                      <w:kern w:val="0"/>
                      <w:position w:val="0"/>
                      <w:sz w:val="21"/>
                      <w:lang w:eastAsia="zh-CN"/>
                    </w:rPr>
                    <w:t>非甲烷总烃</w:t>
                  </w:r>
                </w:p>
              </w:tc>
              <w:tc>
                <w:tcPr>
                  <w:tcW w:w="784" w:type="pct"/>
                  <w:noWrap w:val="0"/>
                  <w:vAlign w:val="center"/>
                </w:tcPr>
                <w:p w14:paraId="4B8D5F98">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szCs w:val="20"/>
                      <w:lang w:val="en-US" w:eastAsia="zh-CN" w:bidi="ar-SA"/>
                    </w:rPr>
                  </w:pPr>
                  <w:r>
                    <w:rPr>
                      <w:rFonts w:hint="default" w:ascii="Times New Roman" w:hAnsi="Times New Roman" w:eastAsia="宋体" w:cs="Times New Roman"/>
                      <w:smallCaps w:val="0"/>
                      <w:snapToGrid w:val="0"/>
                      <w:color w:val="auto"/>
                      <w:spacing w:val="0"/>
                      <w:kern w:val="0"/>
                      <w:position w:val="0"/>
                      <w:sz w:val="21"/>
                      <w:lang w:val="en-US" w:eastAsia="zh-CN"/>
                    </w:rPr>
                    <w:t>一年</w:t>
                  </w:r>
                  <w:r>
                    <w:rPr>
                      <w:rFonts w:hint="default" w:ascii="Times New Roman" w:hAnsi="Times New Roman" w:eastAsia="宋体" w:cs="Times New Roman"/>
                      <w:smallCaps w:val="0"/>
                      <w:snapToGrid w:val="0"/>
                      <w:color w:val="auto"/>
                      <w:spacing w:val="0"/>
                      <w:kern w:val="0"/>
                      <w:position w:val="0"/>
                      <w:sz w:val="21"/>
                    </w:rPr>
                    <w:t>一次</w:t>
                  </w:r>
                </w:p>
              </w:tc>
              <w:tc>
                <w:tcPr>
                  <w:tcW w:w="1636" w:type="pct"/>
                  <w:noWrap w:val="0"/>
                  <w:vAlign w:val="center"/>
                </w:tcPr>
                <w:p w14:paraId="332D9D4A">
                  <w:pPr>
                    <w:pStyle w:val="10"/>
                    <w:spacing w:before="24" w:after="24"/>
                    <w:ind w:left="-53" w:leftChars="-25" w:right="-53" w:rightChars="-25"/>
                    <w:jc w:val="center"/>
                    <w:rPr>
                      <w:rFonts w:hint="default" w:ascii="Times New Roman" w:hAnsi="Times New Roman" w:eastAsia="宋体" w:cs="Times New Roman"/>
                      <w:smallCaps w:val="0"/>
                      <w:snapToGrid w:val="0"/>
                      <w:color w:val="auto"/>
                      <w:spacing w:val="0"/>
                      <w:kern w:val="0"/>
                      <w:position w:val="0"/>
                      <w:sz w:val="21"/>
                    </w:rPr>
                  </w:pPr>
                  <w:r>
                    <w:rPr>
                      <w:rFonts w:hint="default" w:ascii="Times New Roman" w:hAnsi="Times New Roman" w:eastAsia="宋体" w:cs="Times New Roman"/>
                      <w:smallCaps w:val="0"/>
                      <w:snapToGrid w:val="0"/>
                      <w:color w:val="auto"/>
                      <w:spacing w:val="0"/>
                      <w:kern w:val="0"/>
                      <w:position w:val="0"/>
                      <w:sz w:val="21"/>
                    </w:rPr>
                    <w:t>《印刷工业大气污染物排放标准》（DB32/4438-2022）</w:t>
                  </w:r>
                </w:p>
              </w:tc>
            </w:tr>
          </w:tbl>
          <w:p w14:paraId="16DE1C24">
            <w:pPr>
              <w:pStyle w:val="25"/>
              <w:keepNext w:val="0"/>
              <w:keepLines w:val="0"/>
              <w:pageBreakBefore w:val="0"/>
              <w:kinsoku/>
              <w:wordWrap/>
              <w:overflowPunct/>
              <w:topLinePunct w:val="0"/>
              <w:bidi w:val="0"/>
              <w:adjustRightInd w:val="0"/>
              <w:snapToGrid w:val="0"/>
              <w:spacing w:before="0" w:beforeLines="0" w:after="0" w:afterLines="0" w:line="440" w:lineRule="exact"/>
              <w:ind w:firstLine="482" w:firstLineChars="200"/>
              <w:textAlignment w:val="auto"/>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2、废水</w:t>
            </w:r>
          </w:p>
          <w:p w14:paraId="1E0B2450">
            <w:pPr>
              <w:pStyle w:val="25"/>
              <w:keepNext w:val="0"/>
              <w:keepLines w:val="0"/>
              <w:pageBreakBefore w:val="0"/>
              <w:kinsoku/>
              <w:wordWrap/>
              <w:overflowPunct/>
              <w:topLinePunct w:val="0"/>
              <w:bidi w:val="0"/>
              <w:adjustRightInd w:val="0"/>
              <w:snapToGrid w:val="0"/>
              <w:spacing w:before="0" w:beforeLines="0" w:after="0" w:afterLines="0" w:line="440" w:lineRule="exact"/>
              <w:ind w:firstLine="482" w:firstLineChars="200"/>
              <w:textAlignment w:val="auto"/>
              <w:rPr>
                <w:rFonts w:hint="default" w:ascii="Times New Roman" w:hAnsi="Times New Roman" w:eastAsia="宋体" w:cs="Times New Roman"/>
                <w:b/>
                <w:smallCaps w:val="0"/>
                <w:color w:val="auto"/>
                <w:spacing w:val="0"/>
                <w:kern w:val="0"/>
                <w:position w:val="0"/>
              </w:rPr>
            </w:pPr>
            <w:r>
              <w:rPr>
                <w:rFonts w:hint="default" w:ascii="Times New Roman" w:hAnsi="Times New Roman" w:eastAsia="宋体" w:cs="Times New Roman"/>
                <w:b/>
                <w:smallCaps w:val="0"/>
                <w:color w:val="auto"/>
                <w:spacing w:val="0"/>
                <w:kern w:val="0"/>
                <w:position w:val="0"/>
              </w:rPr>
              <w:t>2.1污染物产生情况</w:t>
            </w:r>
          </w:p>
          <w:p w14:paraId="4C70C3A1">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企业车间地面采用环氧地坪，车间整洁干净，仅进行简单的扫地清洁，不进行拖洗。企业原辅料进入后及时堆放至室内仓库，厂区内定期打扫地面，初期雨水不涉及污染问题。本项目用水主要为生活用水</w:t>
            </w:r>
            <w:r>
              <w:rPr>
                <w:rFonts w:hint="eastAsia" w:cs="Times New Roman"/>
                <w:smallCaps w:val="0"/>
                <w:color w:val="auto"/>
                <w:spacing w:val="0"/>
                <w:kern w:val="0"/>
                <w:position w:val="0"/>
                <w:sz w:val="24"/>
                <w:lang w:val="en-US" w:eastAsia="zh-CN"/>
              </w:rPr>
              <w:t>、</w:t>
            </w:r>
            <w:r>
              <w:rPr>
                <w:rFonts w:hint="default" w:ascii="Times New Roman" w:hAnsi="Times New Roman" w:eastAsia="宋体" w:cs="Times New Roman"/>
                <w:smallCaps w:val="0"/>
                <w:color w:val="auto"/>
                <w:spacing w:val="0"/>
                <w:kern w:val="0"/>
                <w:position w:val="0"/>
                <w:sz w:val="24"/>
                <w:lang w:val="en-US" w:eastAsia="zh-CN"/>
              </w:rPr>
              <w:t>清洗用水</w:t>
            </w:r>
            <w:r>
              <w:rPr>
                <w:rFonts w:hint="eastAsia" w:cs="Times New Roman"/>
                <w:smallCaps w:val="0"/>
                <w:color w:val="auto"/>
                <w:spacing w:val="0"/>
                <w:kern w:val="0"/>
                <w:position w:val="0"/>
                <w:sz w:val="24"/>
                <w:lang w:val="en-US" w:eastAsia="zh-CN"/>
              </w:rPr>
              <w:t>和循环冷却水</w:t>
            </w:r>
            <w:r>
              <w:rPr>
                <w:rFonts w:hint="default" w:ascii="Times New Roman" w:hAnsi="Times New Roman" w:eastAsia="宋体" w:cs="Times New Roman"/>
                <w:smallCaps w:val="0"/>
                <w:color w:val="auto"/>
                <w:spacing w:val="0"/>
                <w:kern w:val="0"/>
                <w:position w:val="0"/>
                <w:sz w:val="24"/>
                <w:lang w:val="en-US" w:eastAsia="zh-CN"/>
              </w:rPr>
              <w:t>。</w:t>
            </w:r>
          </w:p>
          <w:p w14:paraId="6B1F0F24">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bCs/>
                <w:smallCaps w:val="0"/>
                <w:color w:val="auto"/>
                <w:spacing w:val="0"/>
                <w:kern w:val="0"/>
                <w:position w:val="0"/>
                <w:sz w:val="24"/>
                <w:szCs w:val="21"/>
                <w:lang w:val="en-US" w:eastAsia="zh-CN" w:bidi="ar-SA"/>
              </w:rPr>
              <w:t>（1）</w:t>
            </w:r>
            <w:r>
              <w:rPr>
                <w:rFonts w:hint="default" w:ascii="Times New Roman" w:hAnsi="Times New Roman" w:eastAsia="宋体" w:cs="Times New Roman"/>
                <w:smallCaps w:val="0"/>
                <w:color w:val="auto"/>
                <w:spacing w:val="0"/>
                <w:kern w:val="0"/>
                <w:position w:val="0"/>
              </w:rPr>
              <w:t>生活</w:t>
            </w:r>
            <w:r>
              <w:rPr>
                <w:rFonts w:hint="default" w:ascii="Times New Roman" w:hAnsi="Times New Roman" w:eastAsia="宋体" w:cs="Times New Roman"/>
                <w:smallCaps w:val="0"/>
                <w:color w:val="auto"/>
                <w:spacing w:val="0"/>
                <w:kern w:val="0"/>
                <w:position w:val="0"/>
                <w:lang w:val="en-US" w:eastAsia="zh-CN"/>
              </w:rPr>
              <w:t>用水</w:t>
            </w:r>
          </w:p>
          <w:p w14:paraId="3BCB1EB5">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eastAsia="zh-CN"/>
              </w:rPr>
            </w:pPr>
            <w:r>
              <w:rPr>
                <w:rFonts w:hint="default" w:ascii="Times New Roman" w:hAnsi="Times New Roman" w:eastAsia="宋体" w:cs="Times New Roman"/>
                <w:smallCaps w:val="0"/>
                <w:color w:val="auto"/>
                <w:spacing w:val="0"/>
                <w:kern w:val="0"/>
                <w:position w:val="0"/>
                <w:sz w:val="24"/>
              </w:rPr>
              <w:t>本项目新增员工</w:t>
            </w:r>
            <w:r>
              <w:rPr>
                <w:rFonts w:hint="default" w:ascii="Times New Roman" w:hAnsi="Times New Roman" w:eastAsia="宋体" w:cs="Times New Roman"/>
                <w:smallCaps w:val="0"/>
                <w:color w:val="auto"/>
                <w:spacing w:val="0"/>
                <w:kern w:val="0"/>
                <w:position w:val="0"/>
                <w:sz w:val="24"/>
                <w:lang w:val="en-US" w:eastAsia="zh-CN"/>
              </w:rPr>
              <w:t>10</w:t>
            </w:r>
            <w:r>
              <w:rPr>
                <w:rFonts w:hint="default" w:ascii="Times New Roman" w:hAnsi="Times New Roman" w:eastAsia="宋体" w:cs="Times New Roman"/>
                <w:smallCaps w:val="0"/>
                <w:color w:val="auto"/>
                <w:spacing w:val="0"/>
                <w:kern w:val="0"/>
                <w:position w:val="0"/>
                <w:sz w:val="24"/>
              </w:rPr>
              <w:t>人，年工作300天，根据《常州市工业和城市生活用水定额》，每人每天用水量约</w:t>
            </w:r>
            <w:r>
              <w:rPr>
                <w:rFonts w:hint="default" w:ascii="Times New Roman" w:hAnsi="Times New Roman" w:eastAsia="宋体" w:cs="Times New Roman"/>
                <w:smallCaps w:val="0"/>
                <w:color w:val="auto"/>
                <w:spacing w:val="0"/>
                <w:kern w:val="0"/>
                <w:position w:val="0"/>
                <w:sz w:val="24"/>
                <w:lang w:val="en-US" w:eastAsia="zh-CN"/>
              </w:rPr>
              <w:t>50</w:t>
            </w:r>
            <w:r>
              <w:rPr>
                <w:rFonts w:hint="default" w:ascii="Times New Roman" w:hAnsi="Times New Roman" w:eastAsia="宋体" w:cs="Times New Roman"/>
                <w:smallCaps w:val="0"/>
                <w:color w:val="auto"/>
                <w:spacing w:val="0"/>
                <w:kern w:val="0"/>
                <w:position w:val="0"/>
                <w:sz w:val="24"/>
              </w:rPr>
              <w:t>L，故全年用水量为</w:t>
            </w:r>
            <w:r>
              <w:rPr>
                <w:rFonts w:hint="default" w:ascii="Times New Roman" w:hAnsi="Times New Roman" w:eastAsia="宋体" w:cs="Times New Roman"/>
                <w:smallCaps w:val="0"/>
                <w:color w:val="auto"/>
                <w:spacing w:val="0"/>
                <w:kern w:val="0"/>
                <w:position w:val="0"/>
                <w:sz w:val="24"/>
                <w:lang w:val="en-US" w:eastAsia="zh-CN"/>
              </w:rPr>
              <w:t>15</w:t>
            </w:r>
            <w:r>
              <w:rPr>
                <w:rFonts w:hint="default" w:ascii="Times New Roman" w:hAnsi="Times New Roman" w:eastAsia="宋体" w:cs="Times New Roman"/>
                <w:smallCaps w:val="0"/>
                <w:color w:val="auto"/>
                <w:spacing w:val="0"/>
                <w:kern w:val="0"/>
                <w:position w:val="0"/>
                <w:sz w:val="24"/>
              </w:rPr>
              <w:t>0m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，按产污系数0.8计，则生活污水产生量为</w:t>
            </w:r>
            <w:r>
              <w:rPr>
                <w:rFonts w:hint="default" w:ascii="Times New Roman" w:hAnsi="Times New Roman" w:eastAsia="宋体" w:cs="Times New Roman"/>
                <w:smallCaps w:val="0"/>
                <w:color w:val="auto"/>
                <w:spacing w:val="0"/>
                <w:kern w:val="0"/>
                <w:position w:val="0"/>
                <w:sz w:val="24"/>
                <w:lang w:val="en-US" w:eastAsia="zh-CN"/>
              </w:rPr>
              <w:t>120</w:t>
            </w:r>
            <w:r>
              <w:rPr>
                <w:rFonts w:hint="default" w:ascii="Times New Roman" w:hAnsi="Times New Roman" w:eastAsia="宋体" w:cs="Times New Roman"/>
                <w:smallCaps w:val="0"/>
                <w:color w:val="auto"/>
                <w:spacing w:val="0"/>
                <w:kern w:val="0"/>
                <w:position w:val="0"/>
                <w:sz w:val="24"/>
              </w:rPr>
              <w:t>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/a</w:t>
            </w:r>
            <w:r>
              <w:rPr>
                <w:rFonts w:hint="default" w:ascii="Times New Roman" w:hAnsi="Times New Roman" w:eastAsia="宋体" w:cs="Times New Roman"/>
                <w:smallCaps w:val="0"/>
                <w:color w:val="auto"/>
                <w:spacing w:val="0"/>
                <w:kern w:val="0"/>
                <w:position w:val="0"/>
                <w:sz w:val="24"/>
                <w:lang w:eastAsia="zh-CN"/>
              </w:rPr>
              <w:t>。</w:t>
            </w:r>
          </w:p>
          <w:p w14:paraId="7E2E8142">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本项目新增员工</w:t>
            </w:r>
            <w:r>
              <w:rPr>
                <w:rFonts w:hint="default" w:ascii="Times New Roman" w:hAnsi="Times New Roman" w:eastAsia="宋体" w:cs="Times New Roman"/>
                <w:smallCaps w:val="0"/>
                <w:color w:val="auto"/>
                <w:spacing w:val="0"/>
                <w:kern w:val="0"/>
                <w:position w:val="0"/>
                <w:sz w:val="24"/>
                <w:lang w:val="en-US" w:eastAsia="zh-CN"/>
              </w:rPr>
              <w:t>10</w:t>
            </w:r>
            <w:r>
              <w:rPr>
                <w:rFonts w:hint="default" w:ascii="Times New Roman" w:hAnsi="Times New Roman" w:eastAsia="宋体" w:cs="Times New Roman"/>
                <w:smallCaps w:val="0"/>
                <w:color w:val="auto"/>
                <w:spacing w:val="0"/>
                <w:kern w:val="0"/>
                <w:position w:val="0"/>
                <w:sz w:val="24"/>
              </w:rPr>
              <w:t>人，年工作300天，根据《常州市工业和城市生活用水定额》，每人每天用水量约</w:t>
            </w:r>
            <w:r>
              <w:rPr>
                <w:rFonts w:hint="default" w:ascii="Times New Roman" w:hAnsi="Times New Roman" w:eastAsia="宋体" w:cs="Times New Roman"/>
                <w:smallCaps w:val="0"/>
                <w:color w:val="auto"/>
                <w:spacing w:val="0"/>
                <w:kern w:val="0"/>
                <w:position w:val="0"/>
                <w:sz w:val="24"/>
                <w:lang w:val="en-US" w:eastAsia="zh-CN"/>
              </w:rPr>
              <w:t>50</w:t>
            </w:r>
            <w:r>
              <w:rPr>
                <w:rFonts w:hint="default" w:ascii="Times New Roman" w:hAnsi="Times New Roman" w:eastAsia="宋体" w:cs="Times New Roman"/>
                <w:smallCaps w:val="0"/>
                <w:color w:val="auto"/>
                <w:spacing w:val="0"/>
                <w:kern w:val="0"/>
                <w:position w:val="0"/>
                <w:sz w:val="24"/>
              </w:rPr>
              <w:t>L，故全年用水量为</w:t>
            </w:r>
            <w:r>
              <w:rPr>
                <w:rFonts w:hint="default" w:ascii="Times New Roman" w:hAnsi="Times New Roman" w:eastAsia="宋体" w:cs="Times New Roman"/>
                <w:smallCaps w:val="0"/>
                <w:color w:val="auto"/>
                <w:spacing w:val="0"/>
                <w:kern w:val="0"/>
                <w:position w:val="0"/>
                <w:sz w:val="24"/>
                <w:lang w:val="en-US" w:eastAsia="zh-CN"/>
              </w:rPr>
              <w:t>150</w:t>
            </w:r>
            <w:r>
              <w:rPr>
                <w:rFonts w:hint="default" w:ascii="Times New Roman" w:hAnsi="Times New Roman" w:eastAsia="宋体" w:cs="Times New Roman"/>
                <w:smallCaps w:val="0"/>
                <w:color w:val="auto"/>
                <w:spacing w:val="0"/>
                <w:kern w:val="0"/>
                <w:position w:val="0"/>
                <w:sz w:val="24"/>
              </w:rPr>
              <w:t>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，按产污系数0.8</w:t>
            </w:r>
            <w:r>
              <w:rPr>
                <w:rFonts w:hint="default" w:ascii="Times New Roman" w:hAnsi="Times New Roman" w:eastAsia="宋体" w:cs="Times New Roman"/>
                <w:smallCaps w:val="0"/>
                <w:color w:val="auto"/>
                <w:spacing w:val="0"/>
                <w:kern w:val="0"/>
                <w:position w:val="0"/>
                <w:sz w:val="24"/>
                <w:lang w:val="en-US" w:eastAsia="zh-CN"/>
              </w:rPr>
              <w:t>0</w:t>
            </w:r>
            <w:r>
              <w:rPr>
                <w:rFonts w:hint="default" w:ascii="Times New Roman" w:hAnsi="Times New Roman" w:eastAsia="宋体" w:cs="Times New Roman"/>
                <w:smallCaps w:val="0"/>
                <w:color w:val="auto"/>
                <w:spacing w:val="0"/>
                <w:kern w:val="0"/>
                <w:position w:val="0"/>
                <w:sz w:val="24"/>
              </w:rPr>
              <w:t>计，则生活污水产生量为</w:t>
            </w:r>
            <w:r>
              <w:rPr>
                <w:rFonts w:hint="default" w:ascii="Times New Roman" w:hAnsi="Times New Roman" w:eastAsia="宋体" w:cs="Times New Roman"/>
                <w:smallCaps w:val="0"/>
                <w:color w:val="auto"/>
                <w:spacing w:val="0"/>
                <w:kern w:val="0"/>
                <w:position w:val="0"/>
                <w:sz w:val="24"/>
                <w:lang w:val="en-US" w:eastAsia="zh-CN"/>
              </w:rPr>
              <w:t>120</w:t>
            </w:r>
            <w:r>
              <w:rPr>
                <w:rFonts w:hint="default" w:ascii="Times New Roman" w:hAnsi="Times New Roman" w:eastAsia="宋体" w:cs="Times New Roman"/>
                <w:smallCaps w:val="0"/>
                <w:color w:val="auto"/>
                <w:spacing w:val="0"/>
                <w:kern w:val="0"/>
                <w:position w:val="0"/>
                <w:sz w:val="24"/>
              </w:rPr>
              <w:t>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/a，主要污染物及浓度分别约为COD400mg/L、SS</w:t>
            </w:r>
            <w:r>
              <w:rPr>
                <w:rFonts w:hint="default" w:ascii="Times New Roman" w:hAnsi="Times New Roman" w:eastAsia="宋体" w:cs="Times New Roman"/>
                <w:smallCaps w:val="0"/>
                <w:color w:val="auto"/>
                <w:spacing w:val="0"/>
                <w:kern w:val="0"/>
                <w:position w:val="0"/>
                <w:sz w:val="24"/>
                <w:lang w:val="en-US" w:eastAsia="zh-CN"/>
              </w:rPr>
              <w:t>250</w:t>
            </w:r>
            <w:r>
              <w:rPr>
                <w:rFonts w:hint="default" w:ascii="Times New Roman" w:hAnsi="Times New Roman" w:eastAsia="宋体" w:cs="Times New Roman"/>
                <w:smallCaps w:val="0"/>
                <w:color w:val="auto"/>
                <w:spacing w:val="0"/>
                <w:kern w:val="0"/>
                <w:position w:val="0"/>
                <w:sz w:val="24"/>
              </w:rPr>
              <w:t>mg/L、NH</w:t>
            </w:r>
            <w:r>
              <w:rPr>
                <w:rFonts w:hint="default" w:ascii="Times New Roman" w:hAnsi="Times New Roman" w:eastAsia="宋体" w:cs="Times New Roman"/>
                <w:smallCaps w:val="0"/>
                <w:color w:val="auto"/>
                <w:spacing w:val="0"/>
                <w:kern w:val="0"/>
                <w:position w:val="0"/>
                <w:sz w:val="24"/>
                <w:vertAlign w:val="subscript"/>
              </w:rPr>
              <w:t>3</w:t>
            </w:r>
            <w:r>
              <w:rPr>
                <w:rFonts w:hint="default" w:ascii="Times New Roman" w:hAnsi="Times New Roman" w:eastAsia="宋体" w:cs="Times New Roman"/>
                <w:smallCaps w:val="0"/>
                <w:color w:val="auto"/>
                <w:spacing w:val="0"/>
                <w:kern w:val="0"/>
                <w:position w:val="0"/>
                <w:sz w:val="24"/>
              </w:rPr>
              <w:t>-N</w:t>
            </w:r>
            <w:r>
              <w:rPr>
                <w:rFonts w:hint="default" w:ascii="Times New Roman" w:hAnsi="Times New Roman" w:eastAsia="宋体" w:cs="Times New Roman"/>
                <w:smallCaps w:val="0"/>
                <w:color w:val="auto"/>
                <w:spacing w:val="0"/>
                <w:kern w:val="0"/>
                <w:position w:val="0"/>
                <w:sz w:val="24"/>
                <w:lang w:val="en-US" w:eastAsia="zh-CN"/>
              </w:rPr>
              <w:t>25</w:t>
            </w:r>
            <w:r>
              <w:rPr>
                <w:rFonts w:hint="default" w:ascii="Times New Roman" w:hAnsi="Times New Roman" w:eastAsia="宋体" w:cs="Times New Roman"/>
                <w:smallCaps w:val="0"/>
                <w:color w:val="auto"/>
                <w:spacing w:val="0"/>
                <w:kern w:val="0"/>
                <w:position w:val="0"/>
                <w:sz w:val="24"/>
              </w:rPr>
              <w:t>mg/L、TP</w:t>
            </w:r>
            <w:r>
              <w:rPr>
                <w:rFonts w:hint="default" w:ascii="Times New Roman" w:hAnsi="Times New Roman" w:eastAsia="宋体" w:cs="Times New Roman"/>
                <w:smallCaps w:val="0"/>
                <w:color w:val="auto"/>
                <w:spacing w:val="0"/>
                <w:kern w:val="0"/>
                <w:position w:val="0"/>
                <w:sz w:val="24"/>
                <w:lang w:val="en-US" w:eastAsia="zh-CN"/>
              </w:rPr>
              <w:t>3</w:t>
            </w:r>
            <w:r>
              <w:rPr>
                <w:rFonts w:hint="default" w:ascii="Times New Roman" w:hAnsi="Times New Roman" w:eastAsia="宋体" w:cs="Times New Roman"/>
                <w:smallCaps w:val="0"/>
                <w:color w:val="auto"/>
                <w:spacing w:val="0"/>
                <w:kern w:val="0"/>
                <w:position w:val="0"/>
                <w:sz w:val="24"/>
              </w:rPr>
              <w:t>mg/L、TN</w:t>
            </w:r>
            <w:r>
              <w:rPr>
                <w:rFonts w:hint="default" w:ascii="Times New Roman" w:hAnsi="Times New Roman" w:eastAsia="宋体" w:cs="Times New Roman"/>
                <w:smallCaps w:val="0"/>
                <w:color w:val="auto"/>
                <w:spacing w:val="0"/>
                <w:kern w:val="0"/>
                <w:position w:val="0"/>
                <w:sz w:val="24"/>
                <w:lang w:val="en-US" w:eastAsia="zh-CN"/>
              </w:rPr>
              <w:t>3</w:t>
            </w:r>
            <w:r>
              <w:rPr>
                <w:rFonts w:hint="default" w:ascii="Times New Roman" w:hAnsi="Times New Roman" w:eastAsia="宋体" w:cs="Times New Roman"/>
                <w:smallCaps w:val="0"/>
                <w:color w:val="auto"/>
                <w:spacing w:val="0"/>
                <w:kern w:val="0"/>
                <w:position w:val="0"/>
                <w:sz w:val="24"/>
              </w:rPr>
              <w:t>5mg/L，产生量约为COD</w:t>
            </w:r>
            <w:r>
              <w:rPr>
                <w:rFonts w:hint="default" w:ascii="Times New Roman" w:hAnsi="Times New Roman" w:eastAsia="宋体" w:cs="Times New Roman"/>
                <w:smallCaps w:val="0"/>
                <w:color w:val="auto"/>
                <w:spacing w:val="0"/>
                <w:kern w:val="0"/>
                <w:position w:val="0"/>
                <w:sz w:val="24"/>
                <w:lang w:val="en-US" w:eastAsia="zh-CN"/>
              </w:rPr>
              <w:t>0.048</w:t>
            </w:r>
            <w:r>
              <w:rPr>
                <w:rFonts w:hint="default" w:ascii="Times New Roman" w:hAnsi="Times New Roman" w:eastAsia="宋体" w:cs="Times New Roman"/>
                <w:smallCaps w:val="0"/>
                <w:color w:val="auto"/>
                <w:spacing w:val="0"/>
                <w:kern w:val="0"/>
                <w:position w:val="0"/>
                <w:sz w:val="24"/>
              </w:rPr>
              <w:t>t/a、SS</w:t>
            </w:r>
            <w:r>
              <w:rPr>
                <w:rFonts w:hint="default" w:ascii="Times New Roman" w:hAnsi="Times New Roman" w:eastAsia="宋体" w:cs="Times New Roman"/>
                <w:smallCaps w:val="0"/>
                <w:color w:val="auto"/>
                <w:spacing w:val="0"/>
                <w:kern w:val="0"/>
                <w:position w:val="0"/>
                <w:sz w:val="24"/>
                <w:lang w:val="en-US" w:eastAsia="zh-CN"/>
              </w:rPr>
              <w:t>0.03</w:t>
            </w:r>
            <w:r>
              <w:rPr>
                <w:rFonts w:hint="default" w:ascii="Times New Roman" w:hAnsi="Times New Roman" w:eastAsia="宋体" w:cs="Times New Roman"/>
                <w:smallCaps w:val="0"/>
                <w:color w:val="auto"/>
                <w:spacing w:val="0"/>
                <w:kern w:val="0"/>
                <w:position w:val="0"/>
                <w:sz w:val="24"/>
              </w:rPr>
              <w:t>t/a、NH</w:t>
            </w:r>
            <w:r>
              <w:rPr>
                <w:rFonts w:hint="default" w:ascii="Times New Roman" w:hAnsi="Times New Roman" w:eastAsia="宋体" w:cs="Times New Roman"/>
                <w:smallCaps w:val="0"/>
                <w:color w:val="auto"/>
                <w:spacing w:val="0"/>
                <w:kern w:val="0"/>
                <w:position w:val="0"/>
                <w:sz w:val="24"/>
                <w:vertAlign w:val="subscript"/>
              </w:rPr>
              <w:t>3</w:t>
            </w:r>
            <w:r>
              <w:rPr>
                <w:rFonts w:hint="default" w:ascii="Times New Roman" w:hAnsi="Times New Roman" w:eastAsia="宋体" w:cs="Times New Roman"/>
                <w:smallCaps w:val="0"/>
                <w:color w:val="auto"/>
                <w:spacing w:val="0"/>
                <w:kern w:val="0"/>
                <w:position w:val="0"/>
                <w:sz w:val="24"/>
              </w:rPr>
              <w:t>-N</w:t>
            </w:r>
            <w:r>
              <w:rPr>
                <w:rFonts w:hint="default" w:ascii="Times New Roman" w:hAnsi="Times New Roman" w:eastAsia="宋体" w:cs="Times New Roman"/>
                <w:smallCaps w:val="0"/>
                <w:color w:val="auto"/>
                <w:spacing w:val="0"/>
                <w:kern w:val="0"/>
                <w:position w:val="0"/>
                <w:sz w:val="24"/>
                <w:lang w:val="en-US" w:eastAsia="zh-CN"/>
              </w:rPr>
              <w:t>0.003t</w:t>
            </w:r>
            <w:r>
              <w:rPr>
                <w:rFonts w:hint="default" w:ascii="Times New Roman" w:hAnsi="Times New Roman" w:eastAsia="宋体" w:cs="Times New Roman"/>
                <w:smallCaps w:val="0"/>
                <w:color w:val="auto"/>
                <w:spacing w:val="0"/>
                <w:kern w:val="0"/>
                <w:position w:val="0"/>
                <w:sz w:val="24"/>
              </w:rPr>
              <w:t>/a、TP</w:t>
            </w:r>
            <w:r>
              <w:rPr>
                <w:rFonts w:hint="default" w:ascii="Times New Roman" w:hAnsi="Times New Roman" w:eastAsia="宋体" w:cs="Times New Roman"/>
                <w:smallCaps w:val="0"/>
                <w:color w:val="auto"/>
                <w:spacing w:val="0"/>
                <w:kern w:val="0"/>
                <w:position w:val="0"/>
                <w:sz w:val="24"/>
                <w:lang w:val="en-US" w:eastAsia="zh-CN"/>
              </w:rPr>
              <w:t>0.0004</w:t>
            </w:r>
            <w:r>
              <w:rPr>
                <w:rFonts w:hint="default" w:ascii="Times New Roman" w:hAnsi="Times New Roman" w:eastAsia="宋体" w:cs="Times New Roman"/>
                <w:smallCaps w:val="0"/>
                <w:color w:val="auto"/>
                <w:spacing w:val="0"/>
                <w:kern w:val="0"/>
                <w:position w:val="0"/>
                <w:sz w:val="24"/>
              </w:rPr>
              <w:t>t/a、TN</w:t>
            </w:r>
            <w:r>
              <w:rPr>
                <w:rFonts w:hint="default" w:ascii="Times New Roman" w:hAnsi="Times New Roman" w:eastAsia="宋体" w:cs="Times New Roman"/>
                <w:smallCaps w:val="0"/>
                <w:color w:val="auto"/>
                <w:spacing w:val="0"/>
                <w:kern w:val="0"/>
                <w:position w:val="0"/>
                <w:sz w:val="24"/>
                <w:lang w:val="en-US" w:eastAsia="zh-CN"/>
              </w:rPr>
              <w:t>0.0042</w:t>
            </w:r>
            <w:r>
              <w:rPr>
                <w:rFonts w:hint="default" w:ascii="Times New Roman" w:hAnsi="Times New Roman" w:eastAsia="宋体" w:cs="Times New Roman"/>
                <w:smallCaps w:val="0"/>
                <w:color w:val="auto"/>
                <w:spacing w:val="0"/>
                <w:kern w:val="0"/>
                <w:position w:val="0"/>
                <w:sz w:val="24"/>
              </w:rPr>
              <w:t>/a，</w:t>
            </w:r>
            <w:r>
              <w:rPr>
                <w:rFonts w:hint="default" w:ascii="Times New Roman" w:hAnsi="Times New Roman" w:eastAsia="宋体" w:cs="Times New Roman"/>
                <w:smallCaps w:val="0"/>
                <w:color w:val="auto"/>
                <w:spacing w:val="0"/>
                <w:kern w:val="0"/>
                <w:position w:val="0"/>
                <w:sz w:val="24"/>
                <w:lang w:val="en-US" w:eastAsia="zh-CN"/>
              </w:rPr>
              <w:t>经市政污水管网，接管至金坛第二污水处理厂集中处理，尾水排入尧塘河</w:t>
            </w:r>
            <w:r>
              <w:rPr>
                <w:rFonts w:hint="default" w:ascii="Times New Roman" w:hAnsi="Times New Roman" w:eastAsia="宋体" w:cs="Times New Roman"/>
                <w:smallCaps w:val="0"/>
                <w:color w:val="auto"/>
                <w:spacing w:val="0"/>
                <w:kern w:val="0"/>
                <w:position w:val="0"/>
                <w:sz w:val="24"/>
              </w:rPr>
              <w:t>。</w:t>
            </w:r>
          </w:p>
          <w:p w14:paraId="297EDA1B">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（2）清洗用水</w:t>
            </w:r>
          </w:p>
          <w:p w14:paraId="7C30263A">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本项目组装后委外喷塑，部分委外喷塑件表面积灰，使用清洗设备进行清洗擦拭，清洗机1000mm*500mm*500mm，用水量按80%容积计，半个月更新一次，则自来水水量为4.8t/a，预计产生清洗废液4.8t/a，收集后作为危险废物委托有资质单位处理。</w:t>
            </w:r>
          </w:p>
          <w:p w14:paraId="1F78D6DE">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left="0" w:leftChars="0" w:firstLine="480" w:firstLineChars="200"/>
              <w:textAlignment w:val="auto"/>
              <w:rPr>
                <w:rFonts w:hint="eastAsia" w:eastAsia="宋体" w:cs="Times New Roman"/>
                <w:smallCaps w:val="0"/>
                <w:color w:val="auto"/>
                <w:spacing w:val="0"/>
                <w:kern w:val="0"/>
                <w:position w:val="0"/>
                <w:sz w:val="24"/>
                <w:lang w:val="en-US" w:eastAsia="zh-CN"/>
              </w:rPr>
            </w:pPr>
            <w:r>
              <w:rPr>
                <w:rFonts w:hint="eastAsia" w:ascii="Times New Roman" w:hAnsi="Times New Roman" w:eastAsia="宋体" w:cs="Times New Roman"/>
                <w:bCs/>
                <w:smallCaps w:val="0"/>
                <w:color w:val="auto"/>
                <w:spacing w:val="0"/>
                <w:kern w:val="0"/>
                <w:position w:val="0"/>
                <w:sz w:val="24"/>
                <w:szCs w:val="21"/>
                <w:lang w:val="en-US" w:eastAsia="zh-CN" w:bidi="ar-SA"/>
              </w:rPr>
              <w:t>（</w:t>
            </w:r>
            <w:r>
              <w:rPr>
                <w:rFonts w:hint="eastAsia" w:eastAsia="宋体" w:cs="Times New Roman"/>
                <w:bCs/>
                <w:smallCaps w:val="0"/>
                <w:color w:val="auto"/>
                <w:spacing w:val="0"/>
                <w:kern w:val="0"/>
                <w:position w:val="0"/>
                <w:sz w:val="24"/>
                <w:szCs w:val="21"/>
                <w:lang w:val="en-US" w:eastAsia="zh-CN" w:bidi="ar-SA"/>
              </w:rPr>
              <w:t>3</w:t>
            </w:r>
            <w:r>
              <w:rPr>
                <w:rFonts w:hint="eastAsia" w:ascii="Times New Roman" w:hAnsi="Times New Roman" w:eastAsia="宋体" w:cs="Times New Roman"/>
                <w:bCs/>
                <w:smallCaps w:val="0"/>
                <w:color w:val="auto"/>
                <w:spacing w:val="0"/>
                <w:kern w:val="0"/>
                <w:position w:val="0"/>
                <w:sz w:val="24"/>
                <w:szCs w:val="21"/>
                <w:lang w:val="en-US" w:eastAsia="zh-CN" w:bidi="ar-SA"/>
              </w:rPr>
              <w:t>）</w:t>
            </w:r>
            <w:r>
              <w:rPr>
                <w:rFonts w:hint="eastAsia" w:eastAsia="宋体" w:cs="Times New Roman"/>
                <w:smallCaps w:val="0"/>
                <w:color w:val="auto"/>
                <w:spacing w:val="0"/>
                <w:kern w:val="0"/>
                <w:position w:val="0"/>
                <w:sz w:val="24"/>
                <w:lang w:val="en-US" w:eastAsia="zh-CN"/>
              </w:rPr>
              <w:t>循环冷却水</w:t>
            </w:r>
          </w:p>
          <w:p w14:paraId="77059361">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eastAsia" w:eastAsia="宋体" w:cs="Times New Roman"/>
                <w:smallCaps w:val="0"/>
                <w:color w:val="auto"/>
                <w:spacing w:val="0"/>
                <w:kern w:val="0"/>
                <w:position w:val="0"/>
                <w:sz w:val="24"/>
                <w:lang w:val="en-US" w:eastAsia="zh-CN"/>
              </w:rPr>
            </w:pPr>
            <w:r>
              <w:rPr>
                <w:rFonts w:hint="eastAsia" w:eastAsia="宋体" w:cs="Times New Roman"/>
                <w:smallCaps w:val="0"/>
                <w:color w:val="auto"/>
                <w:spacing w:val="0"/>
                <w:kern w:val="0"/>
                <w:position w:val="0"/>
                <w:sz w:val="24"/>
                <w:lang w:val="en-US" w:eastAsia="zh-CN"/>
              </w:rPr>
              <w:t>本项目点焊机使用过程中，为避免在大电流长时间的情况下设备发生发热现象而干扰焊接电流，使用冷却水缓解这类情况，冷却水经水路系统通过点焊机，流出温度较高的水经过机器内部的散热器，散热路经冷却风机排热，使水温降低然后返回水箱，重新进入循环系统，从而达到冷却设备的目的。冷却水不直接接触点焊设备，不接触原辅料，循环使用，定期添加损耗，不外排。</w:t>
            </w:r>
          </w:p>
          <w:p w14:paraId="24D2A9A9">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eastAsia" w:eastAsia="宋体" w:cs="Times New Roman"/>
                <w:smallCaps w:val="0"/>
                <w:color w:val="auto"/>
                <w:spacing w:val="0"/>
                <w:kern w:val="0"/>
                <w:position w:val="0"/>
                <w:sz w:val="24"/>
                <w:lang w:val="en-US" w:eastAsia="zh-CN"/>
              </w:rPr>
              <w:t>本项目共有1台冷却水箱，冷却塔循环水流量为0.5m</w:t>
            </w:r>
            <w:r>
              <w:rPr>
                <w:rFonts w:hint="eastAsia" w:eastAsia="宋体" w:cs="Times New Roman"/>
                <w:smallCaps w:val="0"/>
                <w:color w:val="auto"/>
                <w:spacing w:val="0"/>
                <w:kern w:val="0"/>
                <w:position w:val="0"/>
                <w:sz w:val="24"/>
                <w:vertAlign w:val="superscript"/>
                <w:lang w:val="en-US" w:eastAsia="zh-CN"/>
              </w:rPr>
              <w:t>3</w:t>
            </w:r>
            <w:r>
              <w:rPr>
                <w:rFonts w:hint="eastAsia" w:eastAsia="宋体" w:cs="Times New Roman"/>
                <w:smallCaps w:val="0"/>
                <w:color w:val="auto"/>
                <w:spacing w:val="0"/>
                <w:kern w:val="0"/>
                <w:position w:val="0"/>
                <w:sz w:val="24"/>
                <w:lang w:val="en-US" w:eastAsia="zh-CN"/>
              </w:rPr>
              <w:t>/h，冷却时长为8h，则循环冷却用水量为1200m</w:t>
            </w:r>
            <w:r>
              <w:rPr>
                <w:rFonts w:hint="eastAsia" w:eastAsia="宋体" w:cs="Times New Roman"/>
                <w:smallCaps w:val="0"/>
                <w:color w:val="auto"/>
                <w:spacing w:val="0"/>
                <w:kern w:val="0"/>
                <w:position w:val="0"/>
                <w:sz w:val="24"/>
                <w:vertAlign w:val="superscript"/>
                <w:lang w:val="en-US" w:eastAsia="zh-CN"/>
              </w:rPr>
              <w:t>3</w:t>
            </w:r>
            <w:r>
              <w:rPr>
                <w:rFonts w:hint="eastAsia" w:eastAsia="宋体" w:cs="Times New Roman"/>
                <w:smallCaps w:val="0"/>
                <w:color w:val="auto"/>
                <w:spacing w:val="0"/>
                <w:kern w:val="0"/>
                <w:position w:val="0"/>
                <w:sz w:val="24"/>
                <w:lang w:val="en-US" w:eastAsia="zh-CN"/>
              </w:rPr>
              <w:t>/a，其挥发损耗量按0.5%计，则年补充用水量约6m</w:t>
            </w:r>
            <w:r>
              <w:rPr>
                <w:rFonts w:hint="eastAsia" w:eastAsia="宋体" w:cs="Times New Roman"/>
                <w:smallCaps w:val="0"/>
                <w:color w:val="auto"/>
                <w:spacing w:val="0"/>
                <w:kern w:val="0"/>
                <w:position w:val="0"/>
                <w:sz w:val="24"/>
                <w:vertAlign w:val="superscript"/>
                <w:lang w:val="en-US" w:eastAsia="zh-CN"/>
              </w:rPr>
              <w:t>3</w:t>
            </w:r>
            <w:r>
              <w:rPr>
                <w:rFonts w:hint="eastAsia" w:eastAsia="宋体" w:cs="Times New Roman"/>
                <w:smallCaps w:val="0"/>
                <w:color w:val="auto"/>
                <w:spacing w:val="0"/>
                <w:kern w:val="0"/>
                <w:position w:val="0"/>
                <w:sz w:val="24"/>
                <w:lang w:val="en-US" w:eastAsia="zh-CN"/>
              </w:rPr>
              <w:t>/a。</w:t>
            </w:r>
          </w:p>
          <w:p w14:paraId="30AD9DC1">
            <w:pPr>
              <w:pStyle w:val="7"/>
              <w:keepNext w:val="0"/>
              <w:keepLines w:val="0"/>
              <w:pageBreakBefore w:val="0"/>
              <w:kinsoku/>
              <w:wordWrap/>
              <w:overflowPunct/>
              <w:topLinePunct w:val="0"/>
              <w:bidi w:val="0"/>
              <w:adjustRightInd w:val="0"/>
              <w:snapToGrid w:val="0"/>
              <w:spacing w:before="0" w:after="0" w:line="440" w:lineRule="exact"/>
              <w:ind w:right="0"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建设项目水污染物产生及排放情况见表4-</w:t>
            </w:r>
            <w:r>
              <w:rPr>
                <w:rFonts w:hint="default" w:ascii="Times New Roman" w:hAnsi="Times New Roman" w:eastAsia="宋体" w:cs="Times New Roman"/>
                <w:smallCaps w:val="0"/>
                <w:color w:val="auto"/>
                <w:spacing w:val="0"/>
                <w:kern w:val="0"/>
                <w:position w:val="0"/>
                <w:sz w:val="24"/>
                <w:lang w:val="en-US" w:eastAsia="zh-CN"/>
              </w:rPr>
              <w:t>6</w:t>
            </w:r>
            <w:r>
              <w:rPr>
                <w:rFonts w:hint="default" w:ascii="Times New Roman" w:hAnsi="Times New Roman" w:eastAsia="宋体" w:cs="Times New Roman"/>
                <w:smallCaps w:val="0"/>
                <w:color w:val="auto"/>
                <w:spacing w:val="0"/>
                <w:kern w:val="0"/>
                <w:position w:val="0"/>
                <w:sz w:val="24"/>
              </w:rPr>
              <w:t>。</w:t>
            </w:r>
          </w:p>
          <w:p w14:paraId="161DD8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position w:val="0"/>
                <w:sz w:val="21"/>
                <w:szCs w:val="18"/>
                <w:lang w:val="en-US" w:eastAsia="zh-CN" w:bidi="ar-SA"/>
              </w:rPr>
            </w:pPr>
            <w:r>
              <w:rPr>
                <w:rFonts w:hint="default" w:ascii="Times New Roman" w:hAnsi="Times New Roman" w:eastAsia="宋体" w:cs="Times New Roman"/>
                <w:b/>
                <w:bCs w:val="0"/>
                <w:smallCaps w:val="0"/>
                <w:color w:val="auto"/>
                <w:spacing w:val="0"/>
                <w:kern w:val="0"/>
                <w:position w:val="0"/>
                <w:sz w:val="21"/>
                <w:szCs w:val="18"/>
                <w:lang w:val="en-US" w:eastAsia="zh-CN" w:bidi="ar-SA"/>
              </w:rPr>
              <w:t>表4-6本项目生活污水污染物产生情况表</w:t>
            </w:r>
          </w:p>
          <w:tbl>
            <w:tblPr>
              <w:tblStyle w:val="17"/>
              <w:tblW w:w="4937"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1197"/>
              <w:gridCol w:w="999"/>
              <w:gridCol w:w="1350"/>
              <w:gridCol w:w="1761"/>
              <w:gridCol w:w="1673"/>
              <w:gridCol w:w="1424"/>
            </w:tblGrid>
            <w:tr w14:paraId="5BBE8E8D">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712" w:type="pct"/>
                  <w:noWrap w:val="0"/>
                  <w:vAlign w:val="center"/>
                </w:tcPr>
                <w:p w14:paraId="1D86B50A">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废水名称</w:t>
                  </w:r>
                </w:p>
              </w:tc>
              <w:tc>
                <w:tcPr>
                  <w:tcW w:w="594" w:type="pct"/>
                  <w:noWrap w:val="0"/>
                  <w:vAlign w:val="center"/>
                </w:tcPr>
                <w:p w14:paraId="6AFF5873">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废水量</w:t>
                  </w:r>
                </w:p>
                <w:p w14:paraId="01665461">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(m</w:t>
                  </w:r>
                  <w:r>
                    <w:rPr>
                      <w:rFonts w:hint="default" w:ascii="Times New Roman" w:hAnsi="Times New Roman" w:eastAsia="宋体" w:cs="Times New Roman"/>
                      <w:b/>
                      <w:smallCaps w:val="0"/>
                      <w:color w:val="auto"/>
                      <w:spacing w:val="0"/>
                      <w:kern w:val="0"/>
                      <w:position w:val="0"/>
                      <w:szCs w:val="21"/>
                      <w:vertAlign w:val="superscript"/>
                    </w:rPr>
                    <w:t>3</w:t>
                  </w:r>
                  <w:r>
                    <w:rPr>
                      <w:rFonts w:hint="default" w:ascii="Times New Roman" w:hAnsi="Times New Roman" w:eastAsia="宋体" w:cs="Times New Roman"/>
                      <w:b/>
                      <w:smallCaps w:val="0"/>
                      <w:color w:val="auto"/>
                      <w:spacing w:val="0"/>
                      <w:kern w:val="0"/>
                      <w:position w:val="0"/>
                      <w:szCs w:val="21"/>
                    </w:rPr>
                    <w:t>/a)</w:t>
                  </w:r>
                </w:p>
              </w:tc>
              <w:tc>
                <w:tcPr>
                  <w:tcW w:w="803" w:type="pct"/>
                  <w:noWrap w:val="0"/>
                  <w:vAlign w:val="center"/>
                </w:tcPr>
                <w:p w14:paraId="1A9BF3A1">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6BECB72F">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名称</w:t>
                  </w:r>
                </w:p>
              </w:tc>
              <w:tc>
                <w:tcPr>
                  <w:tcW w:w="1047" w:type="pct"/>
                  <w:noWrap w:val="0"/>
                  <w:vAlign w:val="center"/>
                </w:tcPr>
                <w:p w14:paraId="17A82343">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2E53DF99">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产生浓度(mg/L)</w:t>
                  </w:r>
                </w:p>
              </w:tc>
              <w:tc>
                <w:tcPr>
                  <w:tcW w:w="995" w:type="pct"/>
                  <w:noWrap w:val="0"/>
                  <w:vAlign w:val="center"/>
                </w:tcPr>
                <w:p w14:paraId="2E563D93">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3EC56366">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产生量(t/a)</w:t>
                  </w:r>
                </w:p>
              </w:tc>
              <w:tc>
                <w:tcPr>
                  <w:tcW w:w="846" w:type="pct"/>
                  <w:noWrap w:val="0"/>
                  <w:vAlign w:val="center"/>
                </w:tcPr>
                <w:p w14:paraId="7B6CFBB1">
                  <w:pPr>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治理措施</w:t>
                  </w:r>
                </w:p>
              </w:tc>
            </w:tr>
            <w:tr w14:paraId="379814B9">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restart"/>
                  <w:noWrap w:val="0"/>
                  <w:vAlign w:val="center"/>
                </w:tcPr>
                <w:p w14:paraId="5678C09A">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生活污水</w:t>
                  </w:r>
                </w:p>
              </w:tc>
              <w:tc>
                <w:tcPr>
                  <w:tcW w:w="594" w:type="pct"/>
                  <w:vMerge w:val="restart"/>
                  <w:noWrap w:val="0"/>
                  <w:vAlign w:val="center"/>
                </w:tcPr>
                <w:p w14:paraId="3F8509F9">
                  <w:pPr>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eastAsia="zh-CN"/>
                    </w:rPr>
                    <w:t>12</w:t>
                  </w:r>
                  <w:r>
                    <w:rPr>
                      <w:rFonts w:hint="default" w:ascii="Times New Roman" w:hAnsi="Times New Roman" w:eastAsia="宋体" w:cs="Times New Roman"/>
                      <w:smallCaps w:val="0"/>
                      <w:color w:val="auto"/>
                      <w:spacing w:val="0"/>
                      <w:kern w:val="0"/>
                      <w:position w:val="0"/>
                      <w:szCs w:val="21"/>
                      <w:lang w:val="en-US" w:eastAsia="zh-CN"/>
                    </w:rPr>
                    <w:t>0</w:t>
                  </w:r>
                </w:p>
              </w:tc>
              <w:tc>
                <w:tcPr>
                  <w:tcW w:w="803" w:type="pct"/>
                  <w:noWrap w:val="0"/>
                  <w:vAlign w:val="center"/>
                </w:tcPr>
                <w:p w14:paraId="39A71C85">
                  <w:pPr>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pH</w:t>
                  </w:r>
                </w:p>
              </w:tc>
              <w:tc>
                <w:tcPr>
                  <w:tcW w:w="1047" w:type="pct"/>
                  <w:noWrap w:val="0"/>
                  <w:vAlign w:val="center"/>
                </w:tcPr>
                <w:p w14:paraId="5FFCDA47">
                  <w:pPr>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6-9</w:t>
                  </w:r>
                </w:p>
              </w:tc>
              <w:tc>
                <w:tcPr>
                  <w:tcW w:w="995" w:type="pct"/>
                  <w:noWrap w:val="0"/>
                  <w:vAlign w:val="center"/>
                </w:tcPr>
                <w:p w14:paraId="30CC0029">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spacing w:val="0"/>
                      <w:kern w:val="0"/>
                      <w:position w:val="0"/>
                      <w:sz w:val="21"/>
                      <w:szCs w:val="21"/>
                      <w:u w:val="none"/>
                      <w:lang w:val="en-US" w:eastAsia="zh-CN" w:bidi="ar"/>
                    </w:rPr>
                    <w:t>/</w:t>
                  </w:r>
                </w:p>
              </w:tc>
              <w:tc>
                <w:tcPr>
                  <w:tcW w:w="846" w:type="pct"/>
                  <w:vMerge w:val="restart"/>
                  <w:noWrap w:val="0"/>
                  <w:vAlign w:val="center"/>
                </w:tcPr>
                <w:p w14:paraId="5B3699AF">
                  <w:pPr>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val="en-US" w:eastAsia="zh-CN"/>
                    </w:rPr>
                    <w:t>接管</w:t>
                  </w:r>
                </w:p>
              </w:tc>
            </w:tr>
            <w:tr w14:paraId="2E412B2C">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noWrap w:val="0"/>
                  <w:vAlign w:val="center"/>
                </w:tcPr>
                <w:p w14:paraId="43332497">
                  <w:pPr>
                    <w:jc w:val="center"/>
                    <w:rPr>
                      <w:rFonts w:hint="default" w:ascii="Times New Roman" w:hAnsi="Times New Roman" w:eastAsia="宋体" w:cs="Times New Roman"/>
                      <w:smallCaps w:val="0"/>
                      <w:color w:val="auto"/>
                      <w:spacing w:val="0"/>
                      <w:kern w:val="0"/>
                      <w:position w:val="0"/>
                      <w:szCs w:val="21"/>
                    </w:rPr>
                  </w:pPr>
                </w:p>
              </w:tc>
              <w:tc>
                <w:tcPr>
                  <w:tcW w:w="594" w:type="pct"/>
                  <w:vMerge w:val="continue"/>
                  <w:noWrap w:val="0"/>
                  <w:vAlign w:val="center"/>
                </w:tcPr>
                <w:p w14:paraId="74856632">
                  <w:pPr>
                    <w:jc w:val="center"/>
                    <w:rPr>
                      <w:rFonts w:hint="default" w:ascii="Times New Roman" w:hAnsi="Times New Roman" w:eastAsia="宋体" w:cs="Times New Roman"/>
                      <w:smallCaps w:val="0"/>
                      <w:color w:val="auto"/>
                      <w:spacing w:val="0"/>
                      <w:kern w:val="0"/>
                      <w:position w:val="0"/>
                      <w:szCs w:val="21"/>
                      <w:lang w:eastAsia="zh-CN"/>
                    </w:rPr>
                  </w:pPr>
                </w:p>
              </w:tc>
              <w:tc>
                <w:tcPr>
                  <w:tcW w:w="803" w:type="pct"/>
                  <w:noWrap w:val="0"/>
                  <w:vAlign w:val="center"/>
                </w:tcPr>
                <w:p w14:paraId="6D36D8BD">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COD</w:t>
                  </w:r>
                </w:p>
              </w:tc>
              <w:tc>
                <w:tcPr>
                  <w:tcW w:w="1047" w:type="pct"/>
                  <w:noWrap w:val="0"/>
                  <w:vAlign w:val="center"/>
                </w:tcPr>
                <w:p w14:paraId="692E6C89">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400</w:t>
                  </w:r>
                </w:p>
              </w:tc>
              <w:tc>
                <w:tcPr>
                  <w:tcW w:w="995" w:type="pct"/>
                  <w:noWrap w:val="0"/>
                  <w:vAlign w:val="center"/>
                </w:tcPr>
                <w:p w14:paraId="5AFAE9F8">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0.048</w:t>
                  </w:r>
                </w:p>
              </w:tc>
              <w:tc>
                <w:tcPr>
                  <w:tcW w:w="846" w:type="pct"/>
                  <w:vMerge w:val="continue"/>
                  <w:noWrap w:val="0"/>
                  <w:vAlign w:val="center"/>
                </w:tcPr>
                <w:p w14:paraId="79F71C41">
                  <w:pPr>
                    <w:jc w:val="center"/>
                    <w:rPr>
                      <w:rFonts w:hint="default" w:ascii="Times New Roman" w:hAnsi="Times New Roman" w:eastAsia="宋体" w:cs="Times New Roman"/>
                      <w:smallCaps w:val="0"/>
                      <w:color w:val="auto"/>
                      <w:spacing w:val="0"/>
                      <w:kern w:val="0"/>
                      <w:position w:val="0"/>
                      <w:szCs w:val="21"/>
                      <w:lang w:eastAsia="zh-CN"/>
                    </w:rPr>
                  </w:pPr>
                </w:p>
              </w:tc>
            </w:tr>
            <w:tr w14:paraId="71C6C8A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noWrap w:val="0"/>
                  <w:vAlign w:val="center"/>
                </w:tcPr>
                <w:p w14:paraId="166F390D">
                  <w:pPr>
                    <w:jc w:val="center"/>
                    <w:rPr>
                      <w:rFonts w:hint="default" w:ascii="Times New Roman" w:hAnsi="Times New Roman" w:eastAsia="宋体" w:cs="Times New Roman"/>
                      <w:smallCaps w:val="0"/>
                      <w:color w:val="auto"/>
                      <w:spacing w:val="0"/>
                      <w:kern w:val="0"/>
                      <w:position w:val="0"/>
                      <w:szCs w:val="21"/>
                    </w:rPr>
                  </w:pPr>
                </w:p>
              </w:tc>
              <w:tc>
                <w:tcPr>
                  <w:tcW w:w="594" w:type="pct"/>
                  <w:vMerge w:val="continue"/>
                  <w:noWrap w:val="0"/>
                  <w:vAlign w:val="center"/>
                </w:tcPr>
                <w:p w14:paraId="3B517CAE">
                  <w:pPr>
                    <w:jc w:val="center"/>
                    <w:rPr>
                      <w:rFonts w:hint="default" w:ascii="Times New Roman" w:hAnsi="Times New Roman" w:eastAsia="宋体" w:cs="Times New Roman"/>
                      <w:smallCaps w:val="0"/>
                      <w:color w:val="auto"/>
                      <w:spacing w:val="0"/>
                      <w:kern w:val="0"/>
                      <w:position w:val="0"/>
                      <w:szCs w:val="21"/>
                    </w:rPr>
                  </w:pPr>
                </w:p>
              </w:tc>
              <w:tc>
                <w:tcPr>
                  <w:tcW w:w="803" w:type="pct"/>
                  <w:noWrap w:val="0"/>
                  <w:vAlign w:val="center"/>
                </w:tcPr>
                <w:p w14:paraId="0AB1E83D">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SS</w:t>
                  </w:r>
                </w:p>
              </w:tc>
              <w:tc>
                <w:tcPr>
                  <w:tcW w:w="1047" w:type="pct"/>
                  <w:noWrap w:val="0"/>
                  <w:vAlign w:val="center"/>
                </w:tcPr>
                <w:p w14:paraId="61135692">
                  <w:pPr>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250</w:t>
                  </w:r>
                </w:p>
              </w:tc>
              <w:tc>
                <w:tcPr>
                  <w:tcW w:w="995" w:type="pct"/>
                  <w:noWrap w:val="0"/>
                  <w:vAlign w:val="center"/>
                </w:tcPr>
                <w:p w14:paraId="3A6551B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0.03</w:t>
                  </w:r>
                </w:p>
              </w:tc>
              <w:tc>
                <w:tcPr>
                  <w:tcW w:w="846" w:type="pct"/>
                  <w:vMerge w:val="continue"/>
                  <w:noWrap w:val="0"/>
                  <w:vAlign w:val="center"/>
                </w:tcPr>
                <w:p w14:paraId="105B4265">
                  <w:pPr>
                    <w:jc w:val="center"/>
                    <w:rPr>
                      <w:rFonts w:hint="default" w:ascii="Times New Roman" w:hAnsi="Times New Roman" w:eastAsia="宋体" w:cs="Times New Roman"/>
                      <w:smallCaps w:val="0"/>
                      <w:color w:val="auto"/>
                      <w:spacing w:val="0"/>
                      <w:kern w:val="0"/>
                      <w:position w:val="0"/>
                      <w:szCs w:val="21"/>
                    </w:rPr>
                  </w:pPr>
                </w:p>
              </w:tc>
            </w:tr>
            <w:tr w14:paraId="60553871">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noWrap w:val="0"/>
                  <w:vAlign w:val="center"/>
                </w:tcPr>
                <w:p w14:paraId="4DC69AF6">
                  <w:pPr>
                    <w:jc w:val="center"/>
                    <w:rPr>
                      <w:rFonts w:hint="default" w:ascii="Times New Roman" w:hAnsi="Times New Roman" w:eastAsia="宋体" w:cs="Times New Roman"/>
                      <w:smallCaps w:val="0"/>
                      <w:color w:val="auto"/>
                      <w:spacing w:val="0"/>
                      <w:kern w:val="0"/>
                      <w:position w:val="0"/>
                      <w:szCs w:val="21"/>
                    </w:rPr>
                  </w:pPr>
                </w:p>
              </w:tc>
              <w:tc>
                <w:tcPr>
                  <w:tcW w:w="594" w:type="pct"/>
                  <w:vMerge w:val="continue"/>
                  <w:noWrap w:val="0"/>
                  <w:vAlign w:val="center"/>
                </w:tcPr>
                <w:p w14:paraId="3F93D1A9">
                  <w:pPr>
                    <w:jc w:val="center"/>
                    <w:rPr>
                      <w:rFonts w:hint="default" w:ascii="Times New Roman" w:hAnsi="Times New Roman" w:eastAsia="宋体" w:cs="Times New Roman"/>
                      <w:smallCaps w:val="0"/>
                      <w:color w:val="auto"/>
                      <w:spacing w:val="0"/>
                      <w:kern w:val="0"/>
                      <w:position w:val="0"/>
                      <w:szCs w:val="21"/>
                    </w:rPr>
                  </w:pPr>
                </w:p>
              </w:tc>
              <w:tc>
                <w:tcPr>
                  <w:tcW w:w="803" w:type="pct"/>
                  <w:noWrap w:val="0"/>
                  <w:vAlign w:val="center"/>
                </w:tcPr>
                <w:p w14:paraId="4E333B30">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NH</w:t>
                  </w:r>
                  <w:r>
                    <w:rPr>
                      <w:rFonts w:hint="default" w:ascii="Times New Roman" w:hAnsi="Times New Roman" w:eastAsia="宋体" w:cs="Times New Roman"/>
                      <w:smallCaps w:val="0"/>
                      <w:color w:val="auto"/>
                      <w:spacing w:val="0"/>
                      <w:kern w:val="0"/>
                      <w:position w:val="0"/>
                      <w:szCs w:val="21"/>
                      <w:vertAlign w:val="subscript"/>
                    </w:rPr>
                    <w:t>3</w:t>
                  </w:r>
                  <w:r>
                    <w:rPr>
                      <w:rFonts w:hint="default" w:ascii="Times New Roman" w:hAnsi="Times New Roman" w:eastAsia="宋体" w:cs="Times New Roman"/>
                      <w:smallCaps w:val="0"/>
                      <w:color w:val="auto"/>
                      <w:spacing w:val="0"/>
                      <w:kern w:val="0"/>
                      <w:position w:val="0"/>
                      <w:szCs w:val="21"/>
                    </w:rPr>
                    <w:t>-N</w:t>
                  </w:r>
                </w:p>
              </w:tc>
              <w:tc>
                <w:tcPr>
                  <w:tcW w:w="1047" w:type="pct"/>
                  <w:noWrap w:val="0"/>
                  <w:vAlign w:val="center"/>
                </w:tcPr>
                <w:p w14:paraId="4866A892">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lang w:val="en-US" w:eastAsia="zh-CN"/>
                    </w:rPr>
                    <w:t>2</w:t>
                  </w:r>
                  <w:r>
                    <w:rPr>
                      <w:rFonts w:hint="default" w:ascii="Times New Roman" w:hAnsi="Times New Roman" w:eastAsia="宋体" w:cs="Times New Roman"/>
                      <w:smallCaps w:val="0"/>
                      <w:color w:val="auto"/>
                      <w:spacing w:val="0"/>
                      <w:kern w:val="0"/>
                      <w:position w:val="0"/>
                      <w:szCs w:val="21"/>
                    </w:rPr>
                    <w:t>5</w:t>
                  </w:r>
                </w:p>
              </w:tc>
              <w:tc>
                <w:tcPr>
                  <w:tcW w:w="995" w:type="pct"/>
                  <w:noWrap w:val="0"/>
                  <w:vAlign w:val="center"/>
                </w:tcPr>
                <w:p w14:paraId="11D82316">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0.003</w:t>
                  </w:r>
                </w:p>
              </w:tc>
              <w:tc>
                <w:tcPr>
                  <w:tcW w:w="846" w:type="pct"/>
                  <w:vMerge w:val="continue"/>
                  <w:noWrap w:val="0"/>
                  <w:vAlign w:val="center"/>
                </w:tcPr>
                <w:p w14:paraId="59352843">
                  <w:pPr>
                    <w:jc w:val="center"/>
                    <w:rPr>
                      <w:rFonts w:hint="default" w:ascii="Times New Roman" w:hAnsi="Times New Roman" w:eastAsia="宋体" w:cs="Times New Roman"/>
                      <w:smallCaps w:val="0"/>
                      <w:color w:val="auto"/>
                      <w:spacing w:val="0"/>
                      <w:kern w:val="0"/>
                      <w:position w:val="0"/>
                      <w:szCs w:val="21"/>
                    </w:rPr>
                  </w:pPr>
                </w:p>
              </w:tc>
            </w:tr>
            <w:tr w14:paraId="7A0E4DA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noWrap w:val="0"/>
                  <w:vAlign w:val="center"/>
                </w:tcPr>
                <w:p w14:paraId="70D80627">
                  <w:pPr>
                    <w:jc w:val="center"/>
                    <w:rPr>
                      <w:rFonts w:hint="default" w:ascii="Times New Roman" w:hAnsi="Times New Roman" w:eastAsia="宋体" w:cs="Times New Roman"/>
                      <w:smallCaps w:val="0"/>
                      <w:color w:val="auto"/>
                      <w:spacing w:val="0"/>
                      <w:kern w:val="0"/>
                      <w:position w:val="0"/>
                      <w:szCs w:val="21"/>
                    </w:rPr>
                  </w:pPr>
                </w:p>
              </w:tc>
              <w:tc>
                <w:tcPr>
                  <w:tcW w:w="594" w:type="pct"/>
                  <w:vMerge w:val="continue"/>
                  <w:noWrap w:val="0"/>
                  <w:vAlign w:val="center"/>
                </w:tcPr>
                <w:p w14:paraId="57E84D88">
                  <w:pPr>
                    <w:jc w:val="center"/>
                    <w:rPr>
                      <w:rFonts w:hint="default" w:ascii="Times New Roman" w:hAnsi="Times New Roman" w:eastAsia="宋体" w:cs="Times New Roman"/>
                      <w:smallCaps w:val="0"/>
                      <w:color w:val="auto"/>
                      <w:spacing w:val="0"/>
                      <w:kern w:val="0"/>
                      <w:position w:val="0"/>
                      <w:szCs w:val="21"/>
                    </w:rPr>
                  </w:pPr>
                </w:p>
              </w:tc>
              <w:tc>
                <w:tcPr>
                  <w:tcW w:w="803" w:type="pct"/>
                  <w:noWrap w:val="0"/>
                  <w:vAlign w:val="center"/>
                </w:tcPr>
                <w:p w14:paraId="2EFE62D8">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TP</w:t>
                  </w:r>
                </w:p>
              </w:tc>
              <w:tc>
                <w:tcPr>
                  <w:tcW w:w="1047" w:type="pct"/>
                  <w:noWrap w:val="0"/>
                  <w:vAlign w:val="center"/>
                </w:tcPr>
                <w:p w14:paraId="3242B786">
                  <w:pPr>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val="en-US" w:eastAsia="zh-CN"/>
                    </w:rPr>
                    <w:t>3</w:t>
                  </w:r>
                </w:p>
              </w:tc>
              <w:tc>
                <w:tcPr>
                  <w:tcW w:w="995" w:type="pct"/>
                  <w:noWrap w:val="0"/>
                  <w:vAlign w:val="center"/>
                </w:tcPr>
                <w:p w14:paraId="2B2DCC93">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0.0004</w:t>
                  </w:r>
                </w:p>
              </w:tc>
              <w:tc>
                <w:tcPr>
                  <w:tcW w:w="846" w:type="pct"/>
                  <w:vMerge w:val="continue"/>
                  <w:noWrap w:val="0"/>
                  <w:vAlign w:val="center"/>
                </w:tcPr>
                <w:p w14:paraId="14D584BA">
                  <w:pPr>
                    <w:jc w:val="center"/>
                    <w:rPr>
                      <w:rFonts w:hint="default" w:ascii="Times New Roman" w:hAnsi="Times New Roman" w:eastAsia="宋体" w:cs="Times New Roman"/>
                      <w:smallCaps w:val="0"/>
                      <w:color w:val="auto"/>
                      <w:spacing w:val="0"/>
                      <w:kern w:val="0"/>
                      <w:position w:val="0"/>
                      <w:szCs w:val="21"/>
                    </w:rPr>
                  </w:pPr>
                </w:p>
              </w:tc>
            </w:tr>
            <w:tr w14:paraId="4226CBF5">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712" w:type="pct"/>
                  <w:vMerge w:val="continue"/>
                  <w:noWrap w:val="0"/>
                  <w:vAlign w:val="center"/>
                </w:tcPr>
                <w:p w14:paraId="413400A3">
                  <w:pPr>
                    <w:jc w:val="center"/>
                    <w:rPr>
                      <w:rFonts w:hint="default" w:ascii="Times New Roman" w:hAnsi="Times New Roman" w:eastAsia="宋体" w:cs="Times New Roman"/>
                      <w:smallCaps w:val="0"/>
                      <w:color w:val="auto"/>
                      <w:spacing w:val="0"/>
                      <w:kern w:val="0"/>
                      <w:position w:val="0"/>
                      <w:szCs w:val="21"/>
                    </w:rPr>
                  </w:pPr>
                </w:p>
              </w:tc>
              <w:tc>
                <w:tcPr>
                  <w:tcW w:w="594" w:type="pct"/>
                  <w:vMerge w:val="continue"/>
                  <w:noWrap w:val="0"/>
                  <w:vAlign w:val="center"/>
                </w:tcPr>
                <w:p w14:paraId="62873EB8">
                  <w:pPr>
                    <w:jc w:val="center"/>
                    <w:rPr>
                      <w:rFonts w:hint="default" w:ascii="Times New Roman" w:hAnsi="Times New Roman" w:eastAsia="宋体" w:cs="Times New Roman"/>
                      <w:smallCaps w:val="0"/>
                      <w:color w:val="auto"/>
                      <w:spacing w:val="0"/>
                      <w:kern w:val="0"/>
                      <w:position w:val="0"/>
                      <w:szCs w:val="21"/>
                    </w:rPr>
                  </w:pPr>
                </w:p>
              </w:tc>
              <w:tc>
                <w:tcPr>
                  <w:tcW w:w="803" w:type="pct"/>
                  <w:noWrap w:val="0"/>
                  <w:vAlign w:val="center"/>
                </w:tcPr>
                <w:p w14:paraId="2E3251A8">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TN</w:t>
                  </w:r>
                </w:p>
              </w:tc>
              <w:tc>
                <w:tcPr>
                  <w:tcW w:w="1047" w:type="pct"/>
                  <w:noWrap w:val="0"/>
                  <w:vAlign w:val="center"/>
                </w:tcPr>
                <w:p w14:paraId="2C78F97F">
                  <w:pPr>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35</w:t>
                  </w:r>
                </w:p>
              </w:tc>
              <w:tc>
                <w:tcPr>
                  <w:tcW w:w="995" w:type="pct"/>
                  <w:noWrap w:val="0"/>
                  <w:vAlign w:val="center"/>
                </w:tcPr>
                <w:p w14:paraId="53A5691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0.0042</w:t>
                  </w:r>
                </w:p>
              </w:tc>
              <w:tc>
                <w:tcPr>
                  <w:tcW w:w="846" w:type="pct"/>
                  <w:vMerge w:val="continue"/>
                  <w:noWrap w:val="0"/>
                  <w:vAlign w:val="center"/>
                </w:tcPr>
                <w:p w14:paraId="4E80D0D3">
                  <w:pPr>
                    <w:jc w:val="center"/>
                    <w:rPr>
                      <w:rFonts w:hint="default" w:ascii="Times New Roman" w:hAnsi="Times New Roman" w:eastAsia="宋体" w:cs="Times New Roman"/>
                      <w:smallCaps w:val="0"/>
                      <w:color w:val="auto"/>
                      <w:spacing w:val="0"/>
                      <w:kern w:val="0"/>
                      <w:position w:val="0"/>
                      <w:szCs w:val="21"/>
                    </w:rPr>
                  </w:pPr>
                </w:p>
              </w:tc>
            </w:tr>
          </w:tbl>
          <w:p w14:paraId="02843026">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482" w:firstLineChars="200"/>
              <w:textAlignment w:val="auto"/>
              <w:rPr>
                <w:rFonts w:hint="default" w:ascii="Times New Roman" w:hAnsi="Times New Roman" w:eastAsia="宋体" w:cs="Times New Roman"/>
                <w:color w:val="auto"/>
                <w:spacing w:val="0"/>
                <w:kern w:val="0"/>
                <w:position w:val="0"/>
              </w:rPr>
            </w:pPr>
            <w:r>
              <w:rPr>
                <w:rFonts w:hint="default" w:ascii="Times New Roman" w:hAnsi="Times New Roman" w:eastAsia="宋体" w:cs="Times New Roman"/>
                <w:b/>
                <w:smallCaps w:val="0"/>
                <w:color w:val="auto"/>
                <w:spacing w:val="0"/>
                <w:kern w:val="0"/>
                <w:position w:val="0"/>
              </w:rPr>
              <w:t>2.2污染物排放情况</w:t>
            </w:r>
          </w:p>
        </w:tc>
      </w:tr>
    </w:tbl>
    <w:p w14:paraId="04C68878">
      <w:pPr>
        <w:rPr>
          <w:rFonts w:hint="default" w:ascii="Times New Roman" w:hAnsi="Times New Roman" w:eastAsia="宋体" w:cs="Times New Roman"/>
          <w:smallCaps w:val="0"/>
          <w:color w:val="auto"/>
          <w:spacing w:val="0"/>
          <w:kern w:val="0"/>
          <w:position w:val="0"/>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691"/>
      </w:tblGrid>
      <w:tr w14:paraId="163FC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39" w:hRule="atLeast"/>
          <w:jc w:val="center"/>
        </w:trPr>
        <w:tc>
          <w:tcPr>
            <w:tcW w:w="352" w:type="dxa"/>
            <w:noWrap w:val="0"/>
            <w:vAlign w:val="center"/>
          </w:tcPr>
          <w:p w14:paraId="22E08857">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运营</w:t>
            </w:r>
          </w:p>
          <w:p w14:paraId="3037B84C">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期环</w:t>
            </w:r>
          </w:p>
          <w:p w14:paraId="136B7F5A">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境影</w:t>
            </w:r>
          </w:p>
          <w:p w14:paraId="2BFA4B3F">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响和</w:t>
            </w:r>
          </w:p>
          <w:p w14:paraId="665F1E21">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保护</w:t>
            </w:r>
          </w:p>
          <w:p w14:paraId="3EE92D7B">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措施</w:t>
            </w:r>
          </w:p>
        </w:tc>
        <w:tc>
          <w:tcPr>
            <w:tcW w:w="12796" w:type="dxa"/>
            <w:noWrap w:val="0"/>
            <w:tcMar>
              <w:left w:w="28" w:type="dxa"/>
              <w:right w:w="28" w:type="dxa"/>
            </w:tcMar>
            <w:vAlign w:val="top"/>
          </w:tcPr>
          <w:p w14:paraId="662143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position w:val="0"/>
                <w:sz w:val="21"/>
                <w:szCs w:val="18"/>
                <w:lang w:val="en-US" w:eastAsia="zh-CN" w:bidi="ar-SA"/>
              </w:rPr>
            </w:pPr>
            <w:r>
              <w:rPr>
                <w:rFonts w:hint="default" w:ascii="Times New Roman" w:hAnsi="Times New Roman" w:eastAsia="宋体" w:cs="Times New Roman"/>
                <w:b/>
                <w:bCs w:val="0"/>
                <w:smallCaps w:val="0"/>
                <w:color w:val="auto"/>
                <w:spacing w:val="0"/>
                <w:kern w:val="0"/>
                <w:position w:val="0"/>
                <w:sz w:val="21"/>
                <w:szCs w:val="18"/>
                <w:lang w:val="en-US" w:eastAsia="zh-CN" w:bidi="ar-SA"/>
              </w:rPr>
              <w:t>表4-7本项目废水类别、污染物及污染治理设施信息表</w:t>
            </w:r>
          </w:p>
          <w:tbl>
            <w:tblPr>
              <w:tblStyle w:val="17"/>
              <w:tblW w:w="494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0" w:type="dxa"/>
                <w:bottom w:w="0" w:type="dxa"/>
                <w:right w:w="0" w:type="dxa"/>
              </w:tblCellMar>
            </w:tblPr>
            <w:tblGrid>
              <w:gridCol w:w="629"/>
              <w:gridCol w:w="857"/>
              <w:gridCol w:w="1247"/>
              <w:gridCol w:w="820"/>
              <w:gridCol w:w="2197"/>
              <w:gridCol w:w="1135"/>
              <w:gridCol w:w="995"/>
              <w:gridCol w:w="992"/>
              <w:gridCol w:w="850"/>
              <w:gridCol w:w="1135"/>
              <w:gridCol w:w="1639"/>
            </w:tblGrid>
            <w:tr w14:paraId="54BFC7C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2" w:type="pct"/>
                  <w:vMerge w:val="restart"/>
                  <w:noWrap w:val="0"/>
                  <w:vAlign w:val="center"/>
                </w:tcPr>
                <w:p w14:paraId="1D81CACE">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序号</w:t>
                  </w:r>
                </w:p>
              </w:tc>
              <w:tc>
                <w:tcPr>
                  <w:tcW w:w="343" w:type="pct"/>
                  <w:vMerge w:val="restart"/>
                  <w:noWrap w:val="0"/>
                  <w:vAlign w:val="center"/>
                </w:tcPr>
                <w:p w14:paraId="5EFE2213">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废水</w:t>
                  </w:r>
                </w:p>
                <w:p w14:paraId="159501B7">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类别</w:t>
                  </w:r>
                </w:p>
              </w:tc>
              <w:tc>
                <w:tcPr>
                  <w:tcW w:w="499" w:type="pct"/>
                  <w:vMerge w:val="restart"/>
                  <w:noWrap w:val="0"/>
                  <w:vAlign w:val="center"/>
                </w:tcPr>
                <w:p w14:paraId="7364B553">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污染物种类</w:t>
                  </w:r>
                </w:p>
              </w:tc>
              <w:tc>
                <w:tcPr>
                  <w:tcW w:w="328" w:type="pct"/>
                  <w:vMerge w:val="restart"/>
                  <w:noWrap w:val="0"/>
                  <w:vAlign w:val="center"/>
                </w:tcPr>
                <w:p w14:paraId="3E5E5108">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排放</w:t>
                  </w:r>
                </w:p>
                <w:p w14:paraId="0C1C6621">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去向</w:t>
                  </w:r>
                </w:p>
              </w:tc>
              <w:tc>
                <w:tcPr>
                  <w:tcW w:w="879" w:type="pct"/>
                  <w:vMerge w:val="restart"/>
                  <w:noWrap w:val="0"/>
                  <w:vAlign w:val="center"/>
                </w:tcPr>
                <w:p w14:paraId="3E8F7D3B">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排放</w:t>
                  </w:r>
                </w:p>
                <w:p w14:paraId="55C935B7">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规律</w:t>
                  </w:r>
                </w:p>
              </w:tc>
              <w:tc>
                <w:tcPr>
                  <w:tcW w:w="1249" w:type="pct"/>
                  <w:gridSpan w:val="3"/>
                  <w:noWrap w:val="0"/>
                  <w:vAlign w:val="center"/>
                </w:tcPr>
                <w:p w14:paraId="712F15BA">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污染治理设施</w:t>
                  </w:r>
                </w:p>
              </w:tc>
              <w:tc>
                <w:tcPr>
                  <w:tcW w:w="340" w:type="pct"/>
                  <w:vMerge w:val="restart"/>
                  <w:noWrap w:val="0"/>
                  <w:vAlign w:val="center"/>
                </w:tcPr>
                <w:p w14:paraId="38BB98D5">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排放口编号</w:t>
                  </w:r>
                </w:p>
              </w:tc>
              <w:tc>
                <w:tcPr>
                  <w:tcW w:w="454" w:type="pct"/>
                  <w:vMerge w:val="restart"/>
                  <w:noWrap w:val="0"/>
                  <w:vAlign w:val="center"/>
                </w:tcPr>
                <w:p w14:paraId="654F6A8A">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排放口设置是否符合要求</w:t>
                  </w:r>
                </w:p>
              </w:tc>
              <w:tc>
                <w:tcPr>
                  <w:tcW w:w="656" w:type="pct"/>
                  <w:vMerge w:val="restart"/>
                  <w:noWrap w:val="0"/>
                  <w:vAlign w:val="center"/>
                </w:tcPr>
                <w:p w14:paraId="484F04D5">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排放口类型</w:t>
                  </w:r>
                </w:p>
              </w:tc>
            </w:tr>
            <w:tr w14:paraId="6BA6EC6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noWrap w:val="0"/>
                  <w:vAlign w:val="center"/>
                </w:tcPr>
                <w:p w14:paraId="346EABDD">
                  <w:pPr>
                    <w:widowControl/>
                    <w:jc w:val="left"/>
                    <w:rPr>
                      <w:rFonts w:hint="default" w:ascii="Times New Roman" w:hAnsi="Times New Roman" w:eastAsia="宋体" w:cs="Times New Roman"/>
                      <w:b/>
                      <w:bCs/>
                      <w:smallCaps w:val="0"/>
                      <w:color w:val="auto"/>
                      <w:spacing w:val="0"/>
                      <w:kern w:val="0"/>
                      <w:position w:val="0"/>
                      <w:szCs w:val="21"/>
                      <w:lang w:bidi="ar"/>
                    </w:rPr>
                  </w:pPr>
                </w:p>
              </w:tc>
              <w:tc>
                <w:tcPr>
                  <w:tcW w:w="0" w:type="auto"/>
                  <w:vMerge w:val="continue"/>
                  <w:noWrap w:val="0"/>
                  <w:vAlign w:val="center"/>
                </w:tcPr>
                <w:p w14:paraId="711F702C">
                  <w:pPr>
                    <w:widowControl/>
                    <w:jc w:val="left"/>
                    <w:rPr>
                      <w:rFonts w:hint="default" w:ascii="Times New Roman" w:hAnsi="Times New Roman" w:eastAsia="宋体" w:cs="Times New Roman"/>
                      <w:b/>
                      <w:bCs/>
                      <w:smallCaps w:val="0"/>
                      <w:color w:val="auto"/>
                      <w:spacing w:val="0"/>
                      <w:kern w:val="0"/>
                      <w:position w:val="0"/>
                      <w:szCs w:val="21"/>
                      <w:lang w:bidi="ar"/>
                    </w:rPr>
                  </w:pPr>
                </w:p>
              </w:tc>
              <w:tc>
                <w:tcPr>
                  <w:tcW w:w="0" w:type="auto"/>
                  <w:vMerge w:val="continue"/>
                  <w:noWrap w:val="0"/>
                  <w:vAlign w:val="center"/>
                </w:tcPr>
                <w:p w14:paraId="3062F09B">
                  <w:pPr>
                    <w:widowControl/>
                    <w:jc w:val="left"/>
                    <w:rPr>
                      <w:rFonts w:hint="default" w:ascii="Times New Roman" w:hAnsi="Times New Roman" w:eastAsia="宋体" w:cs="Times New Roman"/>
                      <w:b/>
                      <w:bCs/>
                      <w:smallCaps w:val="0"/>
                      <w:color w:val="auto"/>
                      <w:spacing w:val="0"/>
                      <w:kern w:val="0"/>
                      <w:position w:val="0"/>
                      <w:szCs w:val="21"/>
                      <w:lang w:bidi="ar"/>
                    </w:rPr>
                  </w:pPr>
                </w:p>
              </w:tc>
              <w:tc>
                <w:tcPr>
                  <w:tcW w:w="0" w:type="auto"/>
                  <w:vMerge w:val="continue"/>
                  <w:noWrap w:val="0"/>
                  <w:vAlign w:val="center"/>
                </w:tcPr>
                <w:p w14:paraId="53B7B888">
                  <w:pPr>
                    <w:widowControl/>
                    <w:jc w:val="left"/>
                    <w:rPr>
                      <w:rFonts w:hint="default" w:ascii="Times New Roman" w:hAnsi="Times New Roman" w:eastAsia="宋体" w:cs="Times New Roman"/>
                      <w:b/>
                      <w:bCs/>
                      <w:smallCaps w:val="0"/>
                      <w:color w:val="auto"/>
                      <w:spacing w:val="0"/>
                      <w:kern w:val="0"/>
                      <w:position w:val="0"/>
                      <w:szCs w:val="21"/>
                      <w:lang w:bidi="ar"/>
                    </w:rPr>
                  </w:pPr>
                </w:p>
              </w:tc>
              <w:tc>
                <w:tcPr>
                  <w:tcW w:w="879" w:type="pct"/>
                  <w:vMerge w:val="continue"/>
                  <w:noWrap w:val="0"/>
                  <w:vAlign w:val="center"/>
                </w:tcPr>
                <w:p w14:paraId="65B242DB">
                  <w:pPr>
                    <w:widowControl/>
                    <w:jc w:val="left"/>
                    <w:rPr>
                      <w:rFonts w:hint="default" w:ascii="Times New Roman" w:hAnsi="Times New Roman" w:eastAsia="宋体" w:cs="Times New Roman"/>
                      <w:b/>
                      <w:bCs/>
                      <w:smallCaps w:val="0"/>
                      <w:color w:val="auto"/>
                      <w:spacing w:val="0"/>
                      <w:kern w:val="0"/>
                      <w:position w:val="0"/>
                      <w:szCs w:val="21"/>
                      <w:lang w:bidi="ar"/>
                    </w:rPr>
                  </w:pPr>
                </w:p>
              </w:tc>
              <w:tc>
                <w:tcPr>
                  <w:tcW w:w="454" w:type="pct"/>
                  <w:noWrap w:val="0"/>
                  <w:vAlign w:val="center"/>
                </w:tcPr>
                <w:p w14:paraId="216099A8">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污染治理设施编号</w:t>
                  </w:r>
                </w:p>
              </w:tc>
              <w:tc>
                <w:tcPr>
                  <w:tcW w:w="398" w:type="pct"/>
                  <w:noWrap w:val="0"/>
                  <w:vAlign w:val="center"/>
                </w:tcPr>
                <w:p w14:paraId="6A0A370C">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污染治理设施名称</w:t>
                  </w:r>
                </w:p>
              </w:tc>
              <w:tc>
                <w:tcPr>
                  <w:tcW w:w="397" w:type="pct"/>
                  <w:noWrap w:val="0"/>
                  <w:vAlign w:val="center"/>
                </w:tcPr>
                <w:p w14:paraId="2BD86A9F">
                  <w:pPr>
                    <w:pStyle w:val="7"/>
                    <w:spacing w:after="0" w:line="240" w:lineRule="auto"/>
                    <w:jc w:val="center"/>
                    <w:rPr>
                      <w:rFonts w:hint="default" w:ascii="Times New Roman" w:hAnsi="Times New Roman" w:eastAsia="宋体" w:cs="Times New Roman"/>
                      <w:b/>
                      <w:bCs/>
                      <w:smallCaps w:val="0"/>
                      <w:color w:val="auto"/>
                      <w:spacing w:val="0"/>
                      <w:kern w:val="0"/>
                      <w:position w:val="0"/>
                      <w:sz w:val="21"/>
                      <w:szCs w:val="21"/>
                      <w:lang w:bidi="ar"/>
                    </w:rPr>
                  </w:pPr>
                  <w:r>
                    <w:rPr>
                      <w:rFonts w:hint="default" w:ascii="Times New Roman" w:hAnsi="Times New Roman" w:eastAsia="宋体" w:cs="Times New Roman"/>
                      <w:b/>
                      <w:bCs/>
                      <w:smallCaps w:val="0"/>
                      <w:color w:val="auto"/>
                      <w:spacing w:val="0"/>
                      <w:kern w:val="0"/>
                      <w:position w:val="0"/>
                      <w:sz w:val="21"/>
                      <w:szCs w:val="21"/>
                      <w:lang w:bidi="ar"/>
                    </w:rPr>
                    <w:t>污染治理设施工艺</w:t>
                  </w:r>
                </w:p>
              </w:tc>
              <w:tc>
                <w:tcPr>
                  <w:tcW w:w="340" w:type="pct"/>
                  <w:vMerge w:val="continue"/>
                  <w:noWrap w:val="0"/>
                  <w:vAlign w:val="center"/>
                </w:tcPr>
                <w:p w14:paraId="12735E3D">
                  <w:pPr>
                    <w:widowControl/>
                    <w:jc w:val="left"/>
                    <w:rPr>
                      <w:rFonts w:hint="default" w:ascii="Times New Roman" w:hAnsi="Times New Roman" w:eastAsia="宋体" w:cs="Times New Roman"/>
                      <w:b/>
                      <w:bCs/>
                      <w:smallCaps w:val="0"/>
                      <w:color w:val="auto"/>
                      <w:spacing w:val="0"/>
                      <w:kern w:val="0"/>
                      <w:position w:val="0"/>
                      <w:szCs w:val="21"/>
                      <w:lang w:bidi="ar"/>
                    </w:rPr>
                  </w:pPr>
                </w:p>
              </w:tc>
              <w:tc>
                <w:tcPr>
                  <w:tcW w:w="454" w:type="pct"/>
                  <w:vMerge w:val="continue"/>
                  <w:noWrap w:val="0"/>
                  <w:vAlign w:val="center"/>
                </w:tcPr>
                <w:p w14:paraId="131967D1">
                  <w:pPr>
                    <w:widowControl/>
                    <w:jc w:val="left"/>
                    <w:rPr>
                      <w:rFonts w:hint="default" w:ascii="Times New Roman" w:hAnsi="Times New Roman" w:eastAsia="宋体" w:cs="Times New Roman"/>
                      <w:b/>
                      <w:bCs/>
                      <w:smallCaps w:val="0"/>
                      <w:color w:val="auto"/>
                      <w:spacing w:val="0"/>
                      <w:kern w:val="0"/>
                      <w:position w:val="0"/>
                      <w:szCs w:val="21"/>
                      <w:lang w:bidi="ar"/>
                    </w:rPr>
                  </w:pPr>
                </w:p>
              </w:tc>
              <w:tc>
                <w:tcPr>
                  <w:tcW w:w="656" w:type="pct"/>
                  <w:vMerge w:val="continue"/>
                  <w:noWrap w:val="0"/>
                  <w:vAlign w:val="center"/>
                </w:tcPr>
                <w:p w14:paraId="7E6CE5C7">
                  <w:pPr>
                    <w:widowControl/>
                    <w:jc w:val="left"/>
                    <w:rPr>
                      <w:rFonts w:hint="default" w:ascii="Times New Roman" w:hAnsi="Times New Roman" w:eastAsia="宋体" w:cs="Times New Roman"/>
                      <w:b/>
                      <w:bCs/>
                      <w:smallCaps w:val="0"/>
                      <w:color w:val="auto"/>
                      <w:spacing w:val="0"/>
                      <w:kern w:val="0"/>
                      <w:position w:val="0"/>
                      <w:szCs w:val="21"/>
                      <w:lang w:bidi="ar"/>
                    </w:rPr>
                  </w:pPr>
                </w:p>
              </w:tc>
            </w:tr>
            <w:tr w14:paraId="1AA23A0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252" w:type="pct"/>
                  <w:noWrap w:val="0"/>
                  <w:vAlign w:val="center"/>
                </w:tcPr>
                <w:p w14:paraId="5C04EE3C">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1</w:t>
                  </w:r>
                </w:p>
              </w:tc>
              <w:tc>
                <w:tcPr>
                  <w:tcW w:w="343" w:type="pct"/>
                  <w:noWrap w:val="0"/>
                  <w:vAlign w:val="center"/>
                </w:tcPr>
                <w:p w14:paraId="767EF01C">
                  <w:pPr>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生活污水</w:t>
                  </w:r>
                </w:p>
              </w:tc>
              <w:tc>
                <w:tcPr>
                  <w:tcW w:w="499" w:type="pct"/>
                  <w:noWrap w:val="0"/>
                  <w:vAlign w:val="center"/>
                </w:tcPr>
                <w:p w14:paraId="1F1929EF">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
                    </w:rPr>
                  </w:pPr>
                  <w:r>
                    <w:rPr>
                      <w:rFonts w:hint="default" w:ascii="Times New Roman" w:hAnsi="Times New Roman" w:eastAsia="宋体" w:cs="Times New Roman"/>
                      <w:smallCaps w:val="0"/>
                      <w:color w:val="auto"/>
                      <w:spacing w:val="0"/>
                      <w:kern w:val="0"/>
                      <w:position w:val="0"/>
                      <w:sz w:val="21"/>
                      <w:szCs w:val="21"/>
                      <w:lang w:val="en-US" w:eastAsia="zh-CN" w:bidi="ar"/>
                    </w:rPr>
                    <w:t>pH</w:t>
                  </w:r>
                </w:p>
                <w:p w14:paraId="4652930C">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COD</w:t>
                  </w:r>
                </w:p>
                <w:p w14:paraId="0FDC0E9A">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SS</w:t>
                  </w:r>
                </w:p>
                <w:p w14:paraId="60409D33">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NH</w:t>
                  </w:r>
                  <w:r>
                    <w:rPr>
                      <w:rFonts w:hint="default" w:ascii="Times New Roman" w:hAnsi="Times New Roman" w:eastAsia="宋体" w:cs="Times New Roman"/>
                      <w:smallCaps w:val="0"/>
                      <w:color w:val="auto"/>
                      <w:spacing w:val="0"/>
                      <w:kern w:val="0"/>
                      <w:position w:val="0"/>
                      <w:sz w:val="21"/>
                      <w:szCs w:val="21"/>
                      <w:vertAlign w:val="subscript"/>
                      <w:lang w:bidi="ar"/>
                    </w:rPr>
                    <w:t>3</w:t>
                  </w:r>
                  <w:r>
                    <w:rPr>
                      <w:rFonts w:hint="default" w:ascii="Times New Roman" w:hAnsi="Times New Roman" w:eastAsia="宋体" w:cs="Times New Roman"/>
                      <w:smallCaps w:val="0"/>
                      <w:color w:val="auto"/>
                      <w:spacing w:val="0"/>
                      <w:kern w:val="0"/>
                      <w:position w:val="0"/>
                      <w:sz w:val="21"/>
                      <w:szCs w:val="21"/>
                      <w:lang w:bidi="ar"/>
                    </w:rPr>
                    <w:t>-N</w:t>
                  </w:r>
                </w:p>
                <w:p w14:paraId="069C22F4">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TP</w:t>
                  </w:r>
                </w:p>
                <w:p w14:paraId="709FB67F">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TN</w:t>
                  </w:r>
                </w:p>
              </w:tc>
              <w:tc>
                <w:tcPr>
                  <w:tcW w:w="328" w:type="pct"/>
                  <w:noWrap w:val="0"/>
                  <w:vAlign w:val="center"/>
                </w:tcPr>
                <w:p w14:paraId="1E94DD1B">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val="en-US" w:eastAsia="zh-CN" w:bidi="ar"/>
                    </w:rPr>
                    <w:t>接管</w:t>
                  </w:r>
                  <w:r>
                    <w:rPr>
                      <w:rFonts w:hint="default" w:ascii="Times New Roman" w:hAnsi="Times New Roman" w:eastAsia="宋体" w:cs="Times New Roman"/>
                      <w:smallCaps w:val="0"/>
                      <w:color w:val="auto"/>
                      <w:spacing w:val="0"/>
                      <w:kern w:val="0"/>
                      <w:position w:val="0"/>
                      <w:sz w:val="21"/>
                      <w:szCs w:val="21"/>
                      <w:lang w:bidi="ar"/>
                    </w:rPr>
                    <w:t>至</w:t>
                  </w:r>
                  <w:r>
                    <w:rPr>
                      <w:rFonts w:hint="default" w:ascii="Times New Roman" w:hAnsi="Times New Roman" w:eastAsia="宋体" w:cs="Times New Roman"/>
                      <w:smallCaps w:val="0"/>
                      <w:color w:val="auto"/>
                      <w:spacing w:val="0"/>
                      <w:kern w:val="0"/>
                      <w:position w:val="0"/>
                      <w:sz w:val="21"/>
                      <w:szCs w:val="21"/>
                      <w:lang w:eastAsia="zh-CN" w:bidi="ar"/>
                    </w:rPr>
                    <w:t>金坛第二污水处理厂</w:t>
                  </w:r>
                  <w:r>
                    <w:rPr>
                      <w:rFonts w:hint="default" w:ascii="Times New Roman" w:hAnsi="Times New Roman" w:eastAsia="宋体" w:cs="Times New Roman"/>
                      <w:smallCaps w:val="0"/>
                      <w:color w:val="auto"/>
                      <w:spacing w:val="0"/>
                      <w:kern w:val="0"/>
                      <w:position w:val="0"/>
                      <w:sz w:val="21"/>
                      <w:szCs w:val="21"/>
                      <w:lang w:bidi="ar"/>
                    </w:rPr>
                    <w:t>处理</w:t>
                  </w:r>
                </w:p>
              </w:tc>
              <w:tc>
                <w:tcPr>
                  <w:tcW w:w="879" w:type="pct"/>
                  <w:noWrap w:val="0"/>
                  <w:vAlign w:val="center"/>
                </w:tcPr>
                <w:p w14:paraId="2F814F73">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间断排放，排放期间流量不稳定且无规律，但不属于冲击型排放</w:t>
                  </w:r>
                </w:p>
              </w:tc>
              <w:tc>
                <w:tcPr>
                  <w:tcW w:w="454" w:type="pct"/>
                  <w:noWrap w:val="0"/>
                  <w:vAlign w:val="center"/>
                </w:tcPr>
                <w:p w14:paraId="349B5CC5">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w:t>
                  </w:r>
                </w:p>
              </w:tc>
              <w:tc>
                <w:tcPr>
                  <w:tcW w:w="398" w:type="pct"/>
                  <w:noWrap w:val="0"/>
                  <w:vAlign w:val="center"/>
                </w:tcPr>
                <w:p w14:paraId="1F329BB2">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w:t>
                  </w:r>
                </w:p>
              </w:tc>
              <w:tc>
                <w:tcPr>
                  <w:tcW w:w="397" w:type="pct"/>
                  <w:noWrap w:val="0"/>
                  <w:vAlign w:val="center"/>
                </w:tcPr>
                <w:p w14:paraId="550A4B19">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w:t>
                  </w:r>
                </w:p>
              </w:tc>
              <w:tc>
                <w:tcPr>
                  <w:tcW w:w="340" w:type="pct"/>
                  <w:noWrap w:val="0"/>
                  <w:vAlign w:val="center"/>
                </w:tcPr>
                <w:p w14:paraId="3AAB15D2">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t>DW001</w:t>
                  </w:r>
                </w:p>
              </w:tc>
              <w:tc>
                <w:tcPr>
                  <w:tcW w:w="454" w:type="pct"/>
                  <w:noWrap w:val="0"/>
                  <w:vAlign w:val="center"/>
                </w:tcPr>
                <w:p w14:paraId="7D093E77">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sym w:font="Wingdings 2" w:char="F052"/>
                  </w:r>
                  <w:r>
                    <w:rPr>
                      <w:rFonts w:hint="default" w:ascii="Times New Roman" w:hAnsi="Times New Roman" w:eastAsia="宋体" w:cs="Times New Roman"/>
                      <w:smallCaps w:val="0"/>
                      <w:color w:val="auto"/>
                      <w:spacing w:val="0"/>
                      <w:kern w:val="0"/>
                      <w:position w:val="0"/>
                      <w:sz w:val="21"/>
                      <w:szCs w:val="21"/>
                      <w:lang w:bidi="ar"/>
                    </w:rPr>
                    <w:t>是</w:t>
                  </w:r>
                </w:p>
                <w:p w14:paraId="471841CA">
                  <w:pPr>
                    <w:pStyle w:val="7"/>
                    <w:spacing w:after="0" w:line="240" w:lineRule="auto"/>
                    <w:jc w:val="center"/>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sym w:font="Wingdings 2" w:char="F0A3"/>
                  </w:r>
                  <w:r>
                    <w:rPr>
                      <w:rFonts w:hint="default" w:ascii="Times New Roman" w:hAnsi="Times New Roman" w:eastAsia="宋体" w:cs="Times New Roman"/>
                      <w:smallCaps w:val="0"/>
                      <w:color w:val="auto"/>
                      <w:spacing w:val="0"/>
                      <w:kern w:val="0"/>
                      <w:position w:val="0"/>
                      <w:sz w:val="21"/>
                      <w:szCs w:val="21"/>
                      <w:lang w:bidi="ar"/>
                    </w:rPr>
                    <w:t>否</w:t>
                  </w:r>
                </w:p>
              </w:tc>
              <w:tc>
                <w:tcPr>
                  <w:tcW w:w="656" w:type="pct"/>
                  <w:noWrap w:val="0"/>
                  <w:vAlign w:val="center"/>
                </w:tcPr>
                <w:p w14:paraId="394F4597">
                  <w:pPr>
                    <w:pStyle w:val="7"/>
                    <w:spacing w:after="0" w:line="240" w:lineRule="auto"/>
                    <w:jc w:val="left"/>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sym w:font="Wingdings 2" w:char="F052"/>
                  </w:r>
                  <w:r>
                    <w:rPr>
                      <w:rFonts w:hint="default" w:ascii="Times New Roman" w:hAnsi="Times New Roman" w:eastAsia="宋体" w:cs="Times New Roman"/>
                      <w:smallCaps w:val="0"/>
                      <w:color w:val="auto"/>
                      <w:spacing w:val="0"/>
                      <w:kern w:val="0"/>
                      <w:position w:val="0"/>
                      <w:sz w:val="21"/>
                      <w:szCs w:val="21"/>
                      <w:lang w:bidi="ar"/>
                    </w:rPr>
                    <w:t>企业总排口</w:t>
                  </w:r>
                </w:p>
                <w:p w14:paraId="246E04FC">
                  <w:pPr>
                    <w:pStyle w:val="7"/>
                    <w:spacing w:after="0" w:line="240" w:lineRule="auto"/>
                    <w:jc w:val="left"/>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sym w:font="Wingdings 2" w:char="F0A3"/>
                  </w:r>
                  <w:r>
                    <w:rPr>
                      <w:rFonts w:hint="default" w:ascii="Times New Roman" w:hAnsi="Times New Roman" w:eastAsia="宋体" w:cs="Times New Roman"/>
                      <w:smallCaps w:val="0"/>
                      <w:color w:val="auto"/>
                      <w:spacing w:val="0"/>
                      <w:kern w:val="0"/>
                      <w:position w:val="0"/>
                      <w:sz w:val="21"/>
                      <w:szCs w:val="21"/>
                      <w:lang w:bidi="ar"/>
                    </w:rPr>
                    <w:t>雨水排放</w:t>
                  </w:r>
                </w:p>
                <w:p w14:paraId="113004C3">
                  <w:pPr>
                    <w:pStyle w:val="7"/>
                    <w:spacing w:after="0" w:line="240" w:lineRule="auto"/>
                    <w:jc w:val="left"/>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sym w:font="Wingdings 2" w:char="F0A3"/>
                  </w:r>
                  <w:r>
                    <w:rPr>
                      <w:rFonts w:hint="default" w:ascii="Times New Roman" w:hAnsi="Times New Roman" w:eastAsia="宋体" w:cs="Times New Roman"/>
                      <w:smallCaps w:val="0"/>
                      <w:color w:val="auto"/>
                      <w:spacing w:val="0"/>
                      <w:kern w:val="0"/>
                      <w:position w:val="0"/>
                      <w:sz w:val="21"/>
                      <w:szCs w:val="21"/>
                      <w:lang w:bidi="ar"/>
                    </w:rPr>
                    <w:t>清净下水排放</w:t>
                  </w:r>
                </w:p>
                <w:p w14:paraId="6A7F4D20">
                  <w:pPr>
                    <w:pStyle w:val="7"/>
                    <w:spacing w:after="0" w:line="240" w:lineRule="auto"/>
                    <w:jc w:val="left"/>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sym w:font="Wingdings 2" w:char="F0A3"/>
                  </w:r>
                  <w:r>
                    <w:rPr>
                      <w:rFonts w:hint="default" w:ascii="Times New Roman" w:hAnsi="Times New Roman" w:eastAsia="宋体" w:cs="Times New Roman"/>
                      <w:smallCaps w:val="0"/>
                      <w:color w:val="auto"/>
                      <w:spacing w:val="0"/>
                      <w:kern w:val="0"/>
                      <w:position w:val="0"/>
                      <w:sz w:val="21"/>
                      <w:szCs w:val="21"/>
                      <w:lang w:bidi="ar"/>
                    </w:rPr>
                    <w:t>温排水排放</w:t>
                  </w:r>
                </w:p>
                <w:p w14:paraId="5C349B70">
                  <w:pPr>
                    <w:pStyle w:val="7"/>
                    <w:spacing w:after="0" w:line="240" w:lineRule="auto"/>
                    <w:jc w:val="left"/>
                    <w:rPr>
                      <w:rFonts w:hint="default" w:ascii="Times New Roman" w:hAnsi="Times New Roman" w:eastAsia="宋体" w:cs="Times New Roman"/>
                      <w:smallCaps w:val="0"/>
                      <w:color w:val="auto"/>
                      <w:spacing w:val="0"/>
                      <w:kern w:val="0"/>
                      <w:position w:val="0"/>
                      <w:sz w:val="21"/>
                      <w:szCs w:val="21"/>
                      <w:lang w:bidi="ar"/>
                    </w:rPr>
                  </w:pPr>
                  <w:r>
                    <w:rPr>
                      <w:rFonts w:hint="default" w:ascii="Times New Roman" w:hAnsi="Times New Roman" w:eastAsia="宋体" w:cs="Times New Roman"/>
                      <w:smallCaps w:val="0"/>
                      <w:color w:val="auto"/>
                      <w:spacing w:val="0"/>
                      <w:kern w:val="0"/>
                      <w:position w:val="0"/>
                      <w:sz w:val="21"/>
                      <w:szCs w:val="21"/>
                      <w:lang w:bidi="ar"/>
                    </w:rPr>
                    <w:sym w:font="Wingdings 2" w:char="F0A3"/>
                  </w:r>
                  <w:r>
                    <w:rPr>
                      <w:rFonts w:hint="default" w:ascii="Times New Roman" w:hAnsi="Times New Roman" w:eastAsia="宋体" w:cs="Times New Roman"/>
                      <w:smallCaps w:val="0"/>
                      <w:color w:val="auto"/>
                      <w:spacing w:val="0"/>
                      <w:kern w:val="0"/>
                      <w:position w:val="0"/>
                      <w:sz w:val="21"/>
                      <w:szCs w:val="21"/>
                      <w:lang w:bidi="ar"/>
                    </w:rPr>
                    <w:t>车间或车间处理设施排放口</w:t>
                  </w:r>
                </w:p>
              </w:tc>
            </w:tr>
          </w:tbl>
          <w:p w14:paraId="19FA266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rPr>
            </w:pPr>
            <w:r>
              <w:rPr>
                <w:rFonts w:hint="default" w:ascii="Times New Roman" w:hAnsi="Times New Roman" w:eastAsia="宋体" w:cs="Times New Roman"/>
                <w:b/>
                <w:bCs/>
                <w:smallCaps w:val="0"/>
                <w:color w:val="auto"/>
                <w:spacing w:val="0"/>
                <w:kern w:val="0"/>
                <w:position w:val="0"/>
                <w:sz w:val="24"/>
              </w:rPr>
              <w:t>（2）本项目水污染物排放情况</w:t>
            </w:r>
          </w:p>
          <w:p w14:paraId="743E3A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smallCaps w:val="0"/>
                <w:color w:val="auto"/>
                <w:spacing w:val="0"/>
                <w:kern w:val="0"/>
                <w:position w:val="0"/>
                <w:sz w:val="24"/>
                <w:szCs w:val="28"/>
              </w:rPr>
            </w:pPr>
            <w:r>
              <w:rPr>
                <w:rFonts w:hint="default" w:ascii="Times New Roman" w:hAnsi="Times New Roman" w:eastAsia="宋体" w:cs="Times New Roman"/>
                <w:smallCaps w:val="0"/>
                <w:color w:val="auto"/>
                <w:spacing w:val="0"/>
                <w:kern w:val="0"/>
                <w:position w:val="0"/>
                <w:sz w:val="24"/>
                <w:szCs w:val="28"/>
              </w:rPr>
              <w:t>①废水排放口情况</w:t>
            </w:r>
          </w:p>
          <w:p w14:paraId="284799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bCs/>
                <w:smallCaps w:val="0"/>
                <w:color w:val="auto"/>
                <w:spacing w:val="0"/>
                <w:kern w:val="0"/>
                <w:position w:val="0"/>
                <w:sz w:val="24"/>
                <w:lang w:bidi="ar"/>
              </w:rPr>
            </w:pPr>
            <w:r>
              <w:rPr>
                <w:rFonts w:hint="default" w:ascii="Times New Roman" w:hAnsi="Times New Roman" w:eastAsia="宋体" w:cs="Times New Roman"/>
                <w:bCs/>
                <w:smallCaps w:val="0"/>
                <w:color w:val="auto"/>
                <w:spacing w:val="0"/>
                <w:kern w:val="0"/>
                <w:position w:val="0"/>
                <w:sz w:val="24"/>
                <w:lang w:bidi="ar"/>
              </w:rPr>
              <w:t>本项目废水</w:t>
            </w:r>
            <w:r>
              <w:rPr>
                <w:rFonts w:hint="default" w:ascii="Times New Roman" w:hAnsi="Times New Roman" w:eastAsia="宋体" w:cs="Times New Roman"/>
                <w:bCs/>
                <w:smallCaps w:val="0"/>
                <w:color w:val="auto"/>
                <w:spacing w:val="0"/>
                <w:kern w:val="0"/>
                <w:position w:val="0"/>
                <w:sz w:val="24"/>
                <w:lang w:val="en-US" w:eastAsia="zh-CN" w:bidi="ar"/>
              </w:rPr>
              <w:t>接管</w:t>
            </w:r>
            <w:r>
              <w:rPr>
                <w:rFonts w:hint="default" w:ascii="Times New Roman" w:hAnsi="Times New Roman" w:eastAsia="宋体" w:cs="Times New Roman"/>
                <w:bCs/>
                <w:smallCaps w:val="0"/>
                <w:color w:val="auto"/>
                <w:spacing w:val="0"/>
                <w:kern w:val="0"/>
                <w:position w:val="0"/>
                <w:sz w:val="24"/>
                <w:lang w:eastAsia="zh-CN" w:bidi="ar"/>
              </w:rPr>
              <w:t>金坛第二污水处理厂</w:t>
            </w:r>
            <w:r>
              <w:rPr>
                <w:rFonts w:hint="default" w:ascii="Times New Roman" w:hAnsi="Times New Roman" w:eastAsia="宋体" w:cs="Times New Roman"/>
                <w:smallCaps w:val="0"/>
                <w:color w:val="auto"/>
                <w:spacing w:val="0"/>
                <w:kern w:val="0"/>
                <w:position w:val="0"/>
                <w:sz w:val="24"/>
              </w:rPr>
              <w:t>处理</w:t>
            </w:r>
            <w:r>
              <w:rPr>
                <w:rFonts w:hint="default" w:ascii="Times New Roman" w:hAnsi="Times New Roman" w:eastAsia="宋体" w:cs="Times New Roman"/>
                <w:bCs/>
                <w:smallCaps w:val="0"/>
                <w:color w:val="auto"/>
                <w:spacing w:val="0"/>
                <w:kern w:val="0"/>
                <w:position w:val="0"/>
                <w:sz w:val="24"/>
                <w:lang w:bidi="ar"/>
              </w:rPr>
              <w:t>，本项目排放口属于间接排放口，排放口基本信息见下表。</w:t>
            </w:r>
          </w:p>
          <w:p w14:paraId="6B98BB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position w:val="0"/>
                <w:sz w:val="21"/>
                <w:szCs w:val="18"/>
                <w:lang w:val="en-US" w:eastAsia="zh-CN" w:bidi="ar-SA"/>
              </w:rPr>
            </w:pPr>
            <w:r>
              <w:rPr>
                <w:rFonts w:hint="default" w:ascii="Times New Roman" w:hAnsi="Times New Roman" w:eastAsia="宋体" w:cs="Times New Roman"/>
                <w:b/>
                <w:bCs w:val="0"/>
                <w:smallCaps w:val="0"/>
                <w:color w:val="auto"/>
                <w:spacing w:val="0"/>
                <w:kern w:val="0"/>
                <w:position w:val="0"/>
                <w:sz w:val="21"/>
                <w:szCs w:val="18"/>
                <w:lang w:val="en-US" w:eastAsia="zh-CN" w:bidi="ar-SA"/>
              </w:rPr>
              <w:t>表4-8废水间接排放口基本信息表</w:t>
            </w:r>
          </w:p>
          <w:tbl>
            <w:tblPr>
              <w:tblStyle w:val="17"/>
              <w:tblW w:w="494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0" w:type="dxa"/>
                <w:bottom w:w="0" w:type="dxa"/>
                <w:right w:w="0" w:type="dxa"/>
              </w:tblCellMar>
            </w:tblPr>
            <w:tblGrid>
              <w:gridCol w:w="462"/>
              <w:gridCol w:w="700"/>
              <w:gridCol w:w="1165"/>
              <w:gridCol w:w="1165"/>
              <w:gridCol w:w="1240"/>
              <w:gridCol w:w="990"/>
              <w:gridCol w:w="1602"/>
              <w:gridCol w:w="955"/>
              <w:gridCol w:w="860"/>
              <w:gridCol w:w="1020"/>
              <w:gridCol w:w="2332"/>
            </w:tblGrid>
            <w:tr w14:paraId="482D2F6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tblHeader/>
                <w:jc w:val="center"/>
              </w:trPr>
              <w:tc>
                <w:tcPr>
                  <w:tcW w:w="185" w:type="pct"/>
                  <w:vMerge w:val="restart"/>
                  <w:noWrap w:val="0"/>
                  <w:vAlign w:val="center"/>
                </w:tcPr>
                <w:p w14:paraId="0093F7B0">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序号</w:t>
                  </w:r>
                </w:p>
              </w:tc>
              <w:tc>
                <w:tcPr>
                  <w:tcW w:w="280" w:type="pct"/>
                  <w:vMerge w:val="restart"/>
                  <w:noWrap w:val="0"/>
                  <w:vAlign w:val="center"/>
                </w:tcPr>
                <w:p w14:paraId="232941CE">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排放口编号</w:t>
                  </w:r>
                </w:p>
              </w:tc>
              <w:tc>
                <w:tcPr>
                  <w:tcW w:w="932" w:type="pct"/>
                  <w:gridSpan w:val="2"/>
                  <w:noWrap w:val="0"/>
                  <w:vAlign w:val="center"/>
                </w:tcPr>
                <w:p w14:paraId="2044EC33">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排放口地理坐标</w:t>
                  </w:r>
                </w:p>
              </w:tc>
              <w:tc>
                <w:tcPr>
                  <w:tcW w:w="496" w:type="pct"/>
                  <w:vMerge w:val="restart"/>
                  <w:noWrap w:val="0"/>
                  <w:vAlign w:val="center"/>
                </w:tcPr>
                <w:p w14:paraId="2FC2C12E">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废水排放量/</w:t>
                  </w:r>
                </w:p>
                <w:p w14:paraId="37DD6142">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(万t/a)</w:t>
                  </w:r>
                </w:p>
              </w:tc>
              <w:tc>
                <w:tcPr>
                  <w:tcW w:w="396" w:type="pct"/>
                  <w:vMerge w:val="restart"/>
                  <w:noWrap w:val="0"/>
                  <w:vAlign w:val="center"/>
                </w:tcPr>
                <w:p w14:paraId="48E3DCFB">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排放</w:t>
                  </w:r>
                </w:p>
                <w:p w14:paraId="1D412EE5">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去向</w:t>
                  </w:r>
                </w:p>
              </w:tc>
              <w:tc>
                <w:tcPr>
                  <w:tcW w:w="641" w:type="pct"/>
                  <w:vMerge w:val="restart"/>
                  <w:noWrap w:val="0"/>
                  <w:vAlign w:val="center"/>
                </w:tcPr>
                <w:p w14:paraId="6F14F804">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排放</w:t>
                  </w:r>
                </w:p>
                <w:p w14:paraId="04854356">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规律</w:t>
                  </w:r>
                </w:p>
              </w:tc>
              <w:tc>
                <w:tcPr>
                  <w:tcW w:w="382" w:type="pct"/>
                  <w:vMerge w:val="restart"/>
                  <w:noWrap w:val="0"/>
                  <w:vAlign w:val="center"/>
                </w:tcPr>
                <w:p w14:paraId="3337A29A">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间歇排放时段</w:t>
                  </w:r>
                </w:p>
              </w:tc>
              <w:tc>
                <w:tcPr>
                  <w:tcW w:w="1685" w:type="pct"/>
                  <w:gridSpan w:val="3"/>
                  <w:noWrap w:val="0"/>
                  <w:vAlign w:val="center"/>
                </w:tcPr>
                <w:p w14:paraId="2468A3C0">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受纳污水处理厂信息</w:t>
                  </w:r>
                </w:p>
              </w:tc>
            </w:tr>
            <w:tr w14:paraId="0A084B8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tblHeader/>
                <w:jc w:val="center"/>
              </w:trPr>
              <w:tc>
                <w:tcPr>
                  <w:tcW w:w="0" w:type="auto"/>
                  <w:vMerge w:val="continue"/>
                  <w:noWrap w:val="0"/>
                  <w:vAlign w:val="center"/>
                </w:tcPr>
                <w:p w14:paraId="77DF17EB">
                  <w:pPr>
                    <w:widowControl/>
                    <w:adjustRightInd w:val="0"/>
                    <w:snapToGrid w:val="0"/>
                    <w:jc w:val="center"/>
                    <w:rPr>
                      <w:rFonts w:hint="default" w:ascii="Times New Roman" w:hAnsi="Times New Roman" w:eastAsia="宋体" w:cs="Times New Roman"/>
                      <w:b/>
                      <w:bCs/>
                      <w:smallCaps w:val="0"/>
                      <w:color w:val="auto"/>
                      <w:spacing w:val="0"/>
                      <w:kern w:val="0"/>
                      <w:position w:val="0"/>
                      <w:szCs w:val="21"/>
                    </w:rPr>
                  </w:pPr>
                </w:p>
              </w:tc>
              <w:tc>
                <w:tcPr>
                  <w:tcW w:w="0" w:type="auto"/>
                  <w:vMerge w:val="continue"/>
                  <w:noWrap w:val="0"/>
                  <w:vAlign w:val="center"/>
                </w:tcPr>
                <w:p w14:paraId="5B6C4844">
                  <w:pPr>
                    <w:widowControl/>
                    <w:adjustRightInd w:val="0"/>
                    <w:snapToGrid w:val="0"/>
                    <w:jc w:val="center"/>
                    <w:rPr>
                      <w:rFonts w:hint="default" w:ascii="Times New Roman" w:hAnsi="Times New Roman" w:eastAsia="宋体" w:cs="Times New Roman"/>
                      <w:b/>
                      <w:bCs/>
                      <w:smallCaps w:val="0"/>
                      <w:color w:val="auto"/>
                      <w:spacing w:val="0"/>
                      <w:kern w:val="0"/>
                      <w:position w:val="0"/>
                      <w:szCs w:val="21"/>
                    </w:rPr>
                  </w:pPr>
                </w:p>
              </w:tc>
              <w:tc>
                <w:tcPr>
                  <w:tcW w:w="466" w:type="pct"/>
                  <w:noWrap w:val="0"/>
                  <w:vAlign w:val="center"/>
                </w:tcPr>
                <w:p w14:paraId="7A0B8C16">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经度</w:t>
                  </w:r>
                </w:p>
              </w:tc>
              <w:tc>
                <w:tcPr>
                  <w:tcW w:w="466" w:type="pct"/>
                  <w:noWrap w:val="0"/>
                  <w:vAlign w:val="center"/>
                </w:tcPr>
                <w:p w14:paraId="7F84E362">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纬度</w:t>
                  </w:r>
                </w:p>
              </w:tc>
              <w:tc>
                <w:tcPr>
                  <w:tcW w:w="496" w:type="pct"/>
                  <w:vMerge w:val="continue"/>
                  <w:noWrap w:val="0"/>
                  <w:vAlign w:val="center"/>
                </w:tcPr>
                <w:p w14:paraId="3EA0628E">
                  <w:pPr>
                    <w:widowControl/>
                    <w:adjustRightInd w:val="0"/>
                    <w:snapToGrid w:val="0"/>
                    <w:jc w:val="center"/>
                    <w:rPr>
                      <w:rFonts w:hint="default" w:ascii="Times New Roman" w:hAnsi="Times New Roman" w:eastAsia="宋体" w:cs="Times New Roman"/>
                      <w:b/>
                      <w:bCs/>
                      <w:smallCaps w:val="0"/>
                      <w:color w:val="auto"/>
                      <w:spacing w:val="0"/>
                      <w:kern w:val="0"/>
                      <w:position w:val="0"/>
                      <w:szCs w:val="21"/>
                    </w:rPr>
                  </w:pPr>
                </w:p>
              </w:tc>
              <w:tc>
                <w:tcPr>
                  <w:tcW w:w="396" w:type="pct"/>
                  <w:vMerge w:val="continue"/>
                  <w:noWrap w:val="0"/>
                  <w:vAlign w:val="center"/>
                </w:tcPr>
                <w:p w14:paraId="725FDCB1">
                  <w:pPr>
                    <w:widowControl/>
                    <w:adjustRightInd w:val="0"/>
                    <w:snapToGrid w:val="0"/>
                    <w:jc w:val="center"/>
                    <w:rPr>
                      <w:rFonts w:hint="default" w:ascii="Times New Roman" w:hAnsi="Times New Roman" w:eastAsia="宋体" w:cs="Times New Roman"/>
                      <w:b/>
                      <w:bCs/>
                      <w:smallCaps w:val="0"/>
                      <w:color w:val="auto"/>
                      <w:spacing w:val="0"/>
                      <w:kern w:val="0"/>
                      <w:position w:val="0"/>
                      <w:szCs w:val="21"/>
                    </w:rPr>
                  </w:pPr>
                </w:p>
              </w:tc>
              <w:tc>
                <w:tcPr>
                  <w:tcW w:w="641" w:type="pct"/>
                  <w:vMerge w:val="continue"/>
                  <w:noWrap w:val="0"/>
                  <w:vAlign w:val="center"/>
                </w:tcPr>
                <w:p w14:paraId="7809E9A6">
                  <w:pPr>
                    <w:widowControl/>
                    <w:adjustRightInd w:val="0"/>
                    <w:snapToGrid w:val="0"/>
                    <w:jc w:val="center"/>
                    <w:rPr>
                      <w:rFonts w:hint="default" w:ascii="Times New Roman" w:hAnsi="Times New Roman" w:eastAsia="宋体" w:cs="Times New Roman"/>
                      <w:b/>
                      <w:bCs/>
                      <w:smallCaps w:val="0"/>
                      <w:color w:val="auto"/>
                      <w:spacing w:val="0"/>
                      <w:kern w:val="0"/>
                      <w:position w:val="0"/>
                      <w:szCs w:val="21"/>
                    </w:rPr>
                  </w:pPr>
                </w:p>
              </w:tc>
              <w:tc>
                <w:tcPr>
                  <w:tcW w:w="0" w:type="auto"/>
                  <w:vMerge w:val="continue"/>
                  <w:noWrap w:val="0"/>
                  <w:vAlign w:val="center"/>
                </w:tcPr>
                <w:p w14:paraId="4B1FB586">
                  <w:pPr>
                    <w:widowControl/>
                    <w:adjustRightInd w:val="0"/>
                    <w:snapToGrid w:val="0"/>
                    <w:jc w:val="center"/>
                    <w:rPr>
                      <w:rFonts w:hint="default" w:ascii="Times New Roman" w:hAnsi="Times New Roman" w:eastAsia="宋体" w:cs="Times New Roman"/>
                      <w:b/>
                      <w:bCs/>
                      <w:smallCaps w:val="0"/>
                      <w:color w:val="auto"/>
                      <w:spacing w:val="0"/>
                      <w:kern w:val="0"/>
                      <w:position w:val="0"/>
                      <w:szCs w:val="21"/>
                    </w:rPr>
                  </w:pPr>
                </w:p>
              </w:tc>
              <w:tc>
                <w:tcPr>
                  <w:tcW w:w="344" w:type="pct"/>
                  <w:noWrap w:val="0"/>
                  <w:vAlign w:val="center"/>
                </w:tcPr>
                <w:p w14:paraId="7F2E4498">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名称</w:t>
                  </w:r>
                </w:p>
              </w:tc>
              <w:tc>
                <w:tcPr>
                  <w:tcW w:w="408" w:type="pct"/>
                  <w:noWrap w:val="0"/>
                  <w:vAlign w:val="center"/>
                </w:tcPr>
                <w:p w14:paraId="40AFE70B">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污染物种类</w:t>
                  </w:r>
                </w:p>
              </w:tc>
              <w:tc>
                <w:tcPr>
                  <w:tcW w:w="932" w:type="pct"/>
                  <w:noWrap w:val="0"/>
                  <w:vAlign w:val="center"/>
                </w:tcPr>
                <w:p w14:paraId="48067478">
                  <w:pPr>
                    <w:adjustRightInd w:val="0"/>
                    <w:snapToGrid w:val="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国家或地方污染物排放标准浓度限值/(mg/L)</w:t>
                  </w:r>
                </w:p>
              </w:tc>
            </w:tr>
            <w:tr w14:paraId="3647FBC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185" w:type="pct"/>
                  <w:vMerge w:val="restart"/>
                  <w:noWrap w:val="0"/>
                  <w:vAlign w:val="center"/>
                </w:tcPr>
                <w:p w14:paraId="7F067BBB">
                  <w:pPr>
                    <w:adjustRightInd w:val="0"/>
                    <w:snapToGrid w:val="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1</w:t>
                  </w:r>
                </w:p>
              </w:tc>
              <w:tc>
                <w:tcPr>
                  <w:tcW w:w="280" w:type="pct"/>
                  <w:vMerge w:val="restart"/>
                  <w:noWrap w:val="0"/>
                  <w:vAlign w:val="center"/>
                </w:tcPr>
                <w:p w14:paraId="77CA8638">
                  <w:pPr>
                    <w:adjustRightInd w:val="0"/>
                    <w:snapToGrid w:val="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DW</w:t>
                  </w:r>
                </w:p>
                <w:p w14:paraId="763B0A99">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001</w:t>
                  </w:r>
                </w:p>
              </w:tc>
              <w:tc>
                <w:tcPr>
                  <w:tcW w:w="466" w:type="pct"/>
                  <w:vMerge w:val="restart"/>
                  <w:noWrap w:val="0"/>
                  <w:vAlign w:val="center"/>
                </w:tcPr>
                <w:p w14:paraId="6614B053">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val="en-US" w:eastAsia="zh-CN"/>
                    </w:rPr>
                    <w:t>119</w:t>
                  </w:r>
                  <w:r>
                    <w:rPr>
                      <w:rFonts w:hint="default" w:ascii="Times New Roman" w:hAnsi="Times New Roman" w:eastAsia="宋体" w:cs="Times New Roman"/>
                      <w:smallCaps w:val="0"/>
                      <w:color w:val="auto"/>
                      <w:spacing w:val="0"/>
                      <w:kern w:val="0"/>
                      <w:position w:val="0"/>
                      <w:sz w:val="21"/>
                      <w:szCs w:val="21"/>
                    </w:rPr>
                    <w:t>°</w:t>
                  </w:r>
                  <w:r>
                    <w:rPr>
                      <w:rFonts w:hint="default" w:ascii="Times New Roman" w:hAnsi="Times New Roman" w:eastAsia="宋体" w:cs="Times New Roman"/>
                      <w:smallCaps w:val="0"/>
                      <w:color w:val="auto"/>
                      <w:spacing w:val="0"/>
                      <w:kern w:val="0"/>
                      <w:position w:val="0"/>
                      <w:sz w:val="21"/>
                      <w:szCs w:val="21"/>
                      <w:lang w:val="en-US" w:eastAsia="zh-CN"/>
                    </w:rPr>
                    <w:t>38</w:t>
                  </w:r>
                  <w:r>
                    <w:rPr>
                      <w:rFonts w:hint="default" w:ascii="Times New Roman" w:hAnsi="Times New Roman" w:eastAsia="宋体" w:cs="Times New Roman"/>
                      <w:smallCaps w:val="0"/>
                      <w:color w:val="auto"/>
                      <w:spacing w:val="0"/>
                      <w:kern w:val="0"/>
                      <w:position w:val="0"/>
                      <w:sz w:val="21"/>
                      <w:szCs w:val="21"/>
                    </w:rPr>
                    <w:t>′</w:t>
                  </w:r>
                </w:p>
                <w:p w14:paraId="4400E858">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val="en-US" w:eastAsia="zh-CN"/>
                    </w:rPr>
                    <w:t>38.830</w:t>
                  </w:r>
                  <w:r>
                    <w:rPr>
                      <w:rFonts w:hint="default" w:ascii="Times New Roman" w:hAnsi="Times New Roman" w:eastAsia="宋体" w:cs="Times New Roman"/>
                      <w:smallCaps w:val="0"/>
                      <w:color w:val="auto"/>
                      <w:spacing w:val="0"/>
                      <w:kern w:val="0"/>
                      <w:position w:val="0"/>
                      <w:sz w:val="21"/>
                      <w:szCs w:val="21"/>
                    </w:rPr>
                    <w:t>″</w:t>
                  </w:r>
                </w:p>
              </w:tc>
              <w:tc>
                <w:tcPr>
                  <w:tcW w:w="466" w:type="pct"/>
                  <w:vMerge w:val="restart"/>
                  <w:noWrap w:val="0"/>
                  <w:vAlign w:val="center"/>
                </w:tcPr>
                <w:p w14:paraId="72EE0340">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31°</w:t>
                  </w:r>
                  <w:r>
                    <w:rPr>
                      <w:rFonts w:hint="default" w:ascii="Times New Roman" w:hAnsi="Times New Roman" w:eastAsia="宋体" w:cs="Times New Roman"/>
                      <w:smallCaps w:val="0"/>
                      <w:color w:val="auto"/>
                      <w:spacing w:val="0"/>
                      <w:kern w:val="0"/>
                      <w:position w:val="0"/>
                      <w:sz w:val="21"/>
                      <w:szCs w:val="21"/>
                      <w:lang w:val="en-US" w:eastAsia="zh-CN"/>
                    </w:rPr>
                    <w:t>45</w:t>
                  </w:r>
                  <w:r>
                    <w:rPr>
                      <w:rFonts w:hint="default" w:ascii="Times New Roman" w:hAnsi="Times New Roman" w:eastAsia="宋体" w:cs="Times New Roman"/>
                      <w:smallCaps w:val="0"/>
                      <w:color w:val="auto"/>
                      <w:spacing w:val="0"/>
                      <w:kern w:val="0"/>
                      <w:position w:val="0"/>
                      <w:sz w:val="21"/>
                      <w:szCs w:val="21"/>
                    </w:rPr>
                    <w:t>′</w:t>
                  </w:r>
                </w:p>
                <w:p w14:paraId="3F1F1E18">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val="en-US" w:eastAsia="zh-CN"/>
                    </w:rPr>
                    <w:t>53.108</w:t>
                  </w:r>
                  <w:r>
                    <w:rPr>
                      <w:rFonts w:hint="default" w:ascii="Times New Roman" w:hAnsi="Times New Roman" w:eastAsia="宋体" w:cs="Times New Roman"/>
                      <w:smallCaps w:val="0"/>
                      <w:color w:val="auto"/>
                      <w:spacing w:val="0"/>
                      <w:kern w:val="0"/>
                      <w:position w:val="0"/>
                      <w:sz w:val="21"/>
                      <w:szCs w:val="21"/>
                    </w:rPr>
                    <w:t>″</w:t>
                  </w:r>
                </w:p>
              </w:tc>
              <w:tc>
                <w:tcPr>
                  <w:tcW w:w="496" w:type="pct"/>
                  <w:vMerge w:val="restart"/>
                  <w:noWrap w:val="0"/>
                  <w:vAlign w:val="center"/>
                </w:tcPr>
                <w:p w14:paraId="08CD7CDE">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0.012</w:t>
                  </w:r>
                </w:p>
              </w:tc>
              <w:tc>
                <w:tcPr>
                  <w:tcW w:w="396" w:type="pct"/>
                  <w:vMerge w:val="restart"/>
                  <w:noWrap w:val="0"/>
                  <w:vAlign w:val="center"/>
                </w:tcPr>
                <w:p w14:paraId="5217959E">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val="en-US" w:eastAsia="zh-CN" w:bidi="ar"/>
                    </w:rPr>
                    <w:t>接管至金坛第二污水处理厂处理</w:t>
                  </w:r>
                </w:p>
              </w:tc>
              <w:tc>
                <w:tcPr>
                  <w:tcW w:w="641" w:type="pct"/>
                  <w:vMerge w:val="restart"/>
                  <w:noWrap w:val="0"/>
                  <w:vAlign w:val="center"/>
                </w:tcPr>
                <w:p w14:paraId="23688CC0">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间断排放，排放期间流量不稳定且无规律，但不属于冲击型排放</w:t>
                  </w:r>
                </w:p>
              </w:tc>
              <w:tc>
                <w:tcPr>
                  <w:tcW w:w="382" w:type="pct"/>
                  <w:vMerge w:val="restart"/>
                  <w:noWrap w:val="0"/>
                  <w:vAlign w:val="center"/>
                </w:tcPr>
                <w:p w14:paraId="395F720F">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bidi="ar"/>
                    </w:rPr>
                    <w:t>08：00-16：00</w:t>
                  </w:r>
                </w:p>
              </w:tc>
              <w:tc>
                <w:tcPr>
                  <w:tcW w:w="344" w:type="pct"/>
                  <w:vMerge w:val="restart"/>
                  <w:noWrap w:val="0"/>
                  <w:vAlign w:val="center"/>
                </w:tcPr>
                <w:p w14:paraId="2F01FBD2">
                  <w:pPr>
                    <w:adjustRightInd w:val="0"/>
                    <w:snapToGrid w:val="0"/>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eastAsia="zh-CN" w:bidi="ar"/>
                    </w:rPr>
                    <w:t>金坛第二污水处理厂</w:t>
                  </w:r>
                </w:p>
              </w:tc>
              <w:tc>
                <w:tcPr>
                  <w:tcW w:w="408" w:type="pct"/>
                  <w:shd w:val="clear" w:color="auto" w:fill="auto"/>
                  <w:noWrap w:val="0"/>
                  <w:vAlign w:val="center"/>
                </w:tcPr>
                <w:p w14:paraId="032BDDA7">
                  <w:pPr>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pH</w:t>
                  </w:r>
                </w:p>
              </w:tc>
              <w:tc>
                <w:tcPr>
                  <w:tcW w:w="932" w:type="pct"/>
                  <w:shd w:val="clear" w:color="auto" w:fill="auto"/>
                  <w:noWrap w:val="0"/>
                  <w:vAlign w:val="center"/>
                </w:tcPr>
                <w:p w14:paraId="4386C030">
                  <w:pPr>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6-9</w:t>
                  </w:r>
                </w:p>
              </w:tc>
            </w:tr>
            <w:tr w14:paraId="4C3EAD6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185" w:type="pct"/>
                  <w:vMerge w:val="continue"/>
                  <w:noWrap w:val="0"/>
                  <w:vAlign w:val="center"/>
                </w:tcPr>
                <w:p w14:paraId="07F4C058">
                  <w:pPr>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280" w:type="pct"/>
                  <w:vMerge w:val="continue"/>
                  <w:noWrap w:val="0"/>
                  <w:vAlign w:val="center"/>
                </w:tcPr>
                <w:p w14:paraId="1D1B3CB9">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p>
              </w:tc>
              <w:tc>
                <w:tcPr>
                  <w:tcW w:w="466" w:type="pct"/>
                  <w:vMerge w:val="continue"/>
                  <w:noWrap w:val="0"/>
                  <w:vAlign w:val="center"/>
                </w:tcPr>
                <w:p w14:paraId="5B63E2D4">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p>
              </w:tc>
              <w:tc>
                <w:tcPr>
                  <w:tcW w:w="466" w:type="pct"/>
                  <w:vMerge w:val="continue"/>
                  <w:noWrap w:val="0"/>
                  <w:vAlign w:val="center"/>
                </w:tcPr>
                <w:p w14:paraId="31AA768D">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p>
              </w:tc>
              <w:tc>
                <w:tcPr>
                  <w:tcW w:w="496" w:type="pct"/>
                  <w:vMerge w:val="continue"/>
                  <w:noWrap w:val="0"/>
                  <w:vAlign w:val="center"/>
                </w:tcPr>
                <w:p w14:paraId="18F6ED31">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p>
              </w:tc>
              <w:tc>
                <w:tcPr>
                  <w:tcW w:w="396" w:type="pct"/>
                  <w:vMerge w:val="continue"/>
                  <w:noWrap w:val="0"/>
                  <w:vAlign w:val="center"/>
                </w:tcPr>
                <w:p w14:paraId="557628A0">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p>
              </w:tc>
              <w:tc>
                <w:tcPr>
                  <w:tcW w:w="641" w:type="pct"/>
                  <w:vMerge w:val="continue"/>
                  <w:noWrap w:val="0"/>
                  <w:vAlign w:val="center"/>
                </w:tcPr>
                <w:p w14:paraId="7B1D67F2">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rPr>
                  </w:pPr>
                </w:p>
              </w:tc>
              <w:tc>
                <w:tcPr>
                  <w:tcW w:w="382" w:type="pct"/>
                  <w:vMerge w:val="continue"/>
                  <w:noWrap w:val="0"/>
                  <w:vAlign w:val="center"/>
                </w:tcPr>
                <w:p w14:paraId="25790E29">
                  <w:pPr>
                    <w:pStyle w:val="7"/>
                    <w:adjustRightInd w:val="0"/>
                    <w:spacing w:before="0" w:after="0" w:line="240" w:lineRule="auto"/>
                    <w:ind w:right="0"/>
                    <w:jc w:val="center"/>
                    <w:rPr>
                      <w:rFonts w:hint="default" w:ascii="Times New Roman" w:hAnsi="Times New Roman" w:eastAsia="宋体" w:cs="Times New Roman"/>
                      <w:smallCaps w:val="0"/>
                      <w:color w:val="auto"/>
                      <w:spacing w:val="0"/>
                      <w:kern w:val="0"/>
                      <w:position w:val="0"/>
                      <w:sz w:val="21"/>
                      <w:szCs w:val="21"/>
                      <w:lang w:val="en-US" w:eastAsia="zh-CN"/>
                    </w:rPr>
                  </w:pPr>
                </w:p>
              </w:tc>
              <w:tc>
                <w:tcPr>
                  <w:tcW w:w="344" w:type="pct"/>
                  <w:vMerge w:val="continue"/>
                  <w:noWrap w:val="0"/>
                  <w:vAlign w:val="center"/>
                </w:tcPr>
                <w:p w14:paraId="0C6410C9">
                  <w:pPr>
                    <w:adjustRightInd w:val="0"/>
                    <w:snapToGrid w:val="0"/>
                    <w:jc w:val="center"/>
                    <w:rPr>
                      <w:rFonts w:hint="default" w:ascii="Times New Roman" w:hAnsi="Times New Roman" w:eastAsia="宋体" w:cs="Times New Roman"/>
                      <w:smallCaps w:val="0"/>
                      <w:color w:val="auto"/>
                      <w:spacing w:val="0"/>
                      <w:kern w:val="0"/>
                      <w:position w:val="0"/>
                      <w:szCs w:val="21"/>
                      <w:lang w:eastAsia="zh-CN"/>
                    </w:rPr>
                  </w:pPr>
                </w:p>
              </w:tc>
              <w:tc>
                <w:tcPr>
                  <w:tcW w:w="408" w:type="pct"/>
                  <w:noWrap w:val="0"/>
                  <w:vAlign w:val="center"/>
                </w:tcPr>
                <w:p w14:paraId="27659B99">
                  <w:pPr>
                    <w:pStyle w:val="16"/>
                    <w:widowControl w:val="0"/>
                    <w:adjustRightInd w:val="0"/>
                    <w:snapToGrid w:val="0"/>
                    <w:spacing w:before="0" w:beforeAutospacing="0" w:after="0" w:afterAutospacing="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COD</w:t>
                  </w:r>
                </w:p>
              </w:tc>
              <w:tc>
                <w:tcPr>
                  <w:tcW w:w="932" w:type="pct"/>
                  <w:noWrap w:val="0"/>
                  <w:vAlign w:val="center"/>
                </w:tcPr>
                <w:p w14:paraId="041AC1E6">
                  <w:pPr>
                    <w:adjustRightInd w:val="0"/>
                    <w:snapToGrid w:val="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50</w:t>
                  </w:r>
                </w:p>
              </w:tc>
            </w:tr>
            <w:tr w14:paraId="2E12BC2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185" w:type="pct"/>
                  <w:vMerge w:val="continue"/>
                  <w:noWrap w:val="0"/>
                  <w:vAlign w:val="center"/>
                </w:tcPr>
                <w:p w14:paraId="04AF4B8E">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280" w:type="pct"/>
                  <w:vMerge w:val="continue"/>
                  <w:noWrap w:val="0"/>
                  <w:vAlign w:val="center"/>
                </w:tcPr>
                <w:p w14:paraId="7B4E8A7F">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66" w:type="pct"/>
                  <w:vMerge w:val="continue"/>
                  <w:noWrap w:val="0"/>
                  <w:vAlign w:val="center"/>
                </w:tcPr>
                <w:p w14:paraId="57482C26">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66" w:type="pct"/>
                  <w:vMerge w:val="continue"/>
                  <w:noWrap w:val="0"/>
                  <w:vAlign w:val="center"/>
                </w:tcPr>
                <w:p w14:paraId="2C3D8E99">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96" w:type="pct"/>
                  <w:vMerge w:val="continue"/>
                  <w:noWrap w:val="0"/>
                  <w:vAlign w:val="center"/>
                </w:tcPr>
                <w:p w14:paraId="37F5D596">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96" w:type="pct"/>
                  <w:vMerge w:val="continue"/>
                  <w:noWrap w:val="0"/>
                  <w:vAlign w:val="center"/>
                </w:tcPr>
                <w:p w14:paraId="1519984A">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641" w:type="pct"/>
                  <w:vMerge w:val="continue"/>
                  <w:noWrap w:val="0"/>
                  <w:vAlign w:val="center"/>
                </w:tcPr>
                <w:p w14:paraId="049E941C">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82" w:type="pct"/>
                  <w:vMerge w:val="continue"/>
                  <w:noWrap w:val="0"/>
                  <w:vAlign w:val="center"/>
                </w:tcPr>
                <w:p w14:paraId="6160A76B">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44" w:type="pct"/>
                  <w:vMerge w:val="continue"/>
                  <w:noWrap w:val="0"/>
                  <w:vAlign w:val="center"/>
                </w:tcPr>
                <w:p w14:paraId="53A06BE7">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08" w:type="pct"/>
                  <w:noWrap w:val="0"/>
                  <w:vAlign w:val="center"/>
                </w:tcPr>
                <w:p w14:paraId="18EE7C83">
                  <w:pPr>
                    <w:pStyle w:val="16"/>
                    <w:widowControl w:val="0"/>
                    <w:adjustRightInd w:val="0"/>
                    <w:snapToGrid w:val="0"/>
                    <w:spacing w:before="0" w:beforeAutospacing="0" w:after="0" w:afterAutospacing="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SS</w:t>
                  </w:r>
                </w:p>
              </w:tc>
              <w:tc>
                <w:tcPr>
                  <w:tcW w:w="932" w:type="pct"/>
                  <w:noWrap w:val="0"/>
                  <w:vAlign w:val="center"/>
                </w:tcPr>
                <w:p w14:paraId="49897A29">
                  <w:pPr>
                    <w:adjustRightInd w:val="0"/>
                    <w:snapToGrid w:val="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lang w:val="en-US" w:eastAsia="zh-CN"/>
                    </w:rPr>
                    <w:t>1</w:t>
                  </w:r>
                  <w:r>
                    <w:rPr>
                      <w:rFonts w:hint="default" w:ascii="Times New Roman" w:hAnsi="Times New Roman" w:eastAsia="宋体" w:cs="Times New Roman"/>
                      <w:smallCaps w:val="0"/>
                      <w:color w:val="auto"/>
                      <w:spacing w:val="0"/>
                      <w:kern w:val="0"/>
                      <w:position w:val="0"/>
                      <w:szCs w:val="21"/>
                    </w:rPr>
                    <w:t>0</w:t>
                  </w:r>
                </w:p>
              </w:tc>
            </w:tr>
            <w:tr w14:paraId="6392C24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185" w:type="pct"/>
                  <w:vMerge w:val="continue"/>
                  <w:noWrap w:val="0"/>
                  <w:vAlign w:val="center"/>
                </w:tcPr>
                <w:p w14:paraId="322D701E">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280" w:type="pct"/>
                  <w:vMerge w:val="continue"/>
                  <w:noWrap w:val="0"/>
                  <w:vAlign w:val="center"/>
                </w:tcPr>
                <w:p w14:paraId="471EB200">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66" w:type="pct"/>
                  <w:vMerge w:val="continue"/>
                  <w:noWrap w:val="0"/>
                  <w:vAlign w:val="center"/>
                </w:tcPr>
                <w:p w14:paraId="3553E2DE">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66" w:type="pct"/>
                  <w:vMerge w:val="continue"/>
                  <w:noWrap w:val="0"/>
                  <w:vAlign w:val="center"/>
                </w:tcPr>
                <w:p w14:paraId="75E940BF">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96" w:type="pct"/>
                  <w:vMerge w:val="continue"/>
                  <w:noWrap w:val="0"/>
                  <w:vAlign w:val="center"/>
                </w:tcPr>
                <w:p w14:paraId="1C5FD8B8">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96" w:type="pct"/>
                  <w:vMerge w:val="continue"/>
                  <w:noWrap w:val="0"/>
                  <w:vAlign w:val="center"/>
                </w:tcPr>
                <w:p w14:paraId="3AAB3C79">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641" w:type="pct"/>
                  <w:vMerge w:val="continue"/>
                  <w:noWrap w:val="0"/>
                  <w:vAlign w:val="center"/>
                </w:tcPr>
                <w:p w14:paraId="11D01A7B">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82" w:type="pct"/>
                  <w:vMerge w:val="continue"/>
                  <w:noWrap w:val="0"/>
                  <w:vAlign w:val="center"/>
                </w:tcPr>
                <w:p w14:paraId="7CEF1740">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44" w:type="pct"/>
                  <w:vMerge w:val="continue"/>
                  <w:noWrap w:val="0"/>
                  <w:vAlign w:val="center"/>
                </w:tcPr>
                <w:p w14:paraId="534D9C08">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08" w:type="pct"/>
                  <w:noWrap w:val="0"/>
                  <w:vAlign w:val="center"/>
                </w:tcPr>
                <w:p w14:paraId="7A486033">
                  <w:pPr>
                    <w:pStyle w:val="16"/>
                    <w:widowControl w:val="0"/>
                    <w:adjustRightInd w:val="0"/>
                    <w:snapToGrid w:val="0"/>
                    <w:spacing w:before="0" w:beforeAutospacing="0" w:after="0" w:afterAutospacing="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NH</w:t>
                  </w:r>
                  <w:r>
                    <w:rPr>
                      <w:rFonts w:hint="default" w:ascii="Times New Roman" w:hAnsi="Times New Roman" w:eastAsia="宋体" w:cs="Times New Roman"/>
                      <w:smallCaps w:val="0"/>
                      <w:color w:val="auto"/>
                      <w:spacing w:val="0"/>
                      <w:kern w:val="0"/>
                      <w:position w:val="0"/>
                      <w:sz w:val="21"/>
                      <w:szCs w:val="21"/>
                      <w:vertAlign w:val="subscript"/>
                      <w:lang w:bidi="ar"/>
                    </w:rPr>
                    <w:t>3</w:t>
                  </w:r>
                  <w:r>
                    <w:rPr>
                      <w:rFonts w:hint="default" w:ascii="Times New Roman" w:hAnsi="Times New Roman" w:eastAsia="宋体" w:cs="Times New Roman"/>
                      <w:smallCaps w:val="0"/>
                      <w:color w:val="auto"/>
                      <w:spacing w:val="0"/>
                      <w:kern w:val="0"/>
                      <w:position w:val="0"/>
                      <w:sz w:val="21"/>
                      <w:szCs w:val="21"/>
                      <w:lang w:bidi="ar"/>
                    </w:rPr>
                    <w:t>-N</w:t>
                  </w:r>
                </w:p>
              </w:tc>
              <w:tc>
                <w:tcPr>
                  <w:tcW w:w="932" w:type="pct"/>
                  <w:noWrap w:val="0"/>
                  <w:vAlign w:val="center"/>
                </w:tcPr>
                <w:p w14:paraId="066D2023">
                  <w:pPr>
                    <w:adjustRightInd w:val="0"/>
                    <w:snapToGrid w:val="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4(6)</w:t>
                  </w:r>
                </w:p>
              </w:tc>
            </w:tr>
            <w:tr w14:paraId="6DAC865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185" w:type="pct"/>
                  <w:vMerge w:val="continue"/>
                  <w:noWrap w:val="0"/>
                  <w:vAlign w:val="center"/>
                </w:tcPr>
                <w:p w14:paraId="326B347B">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280" w:type="pct"/>
                  <w:vMerge w:val="continue"/>
                  <w:noWrap w:val="0"/>
                  <w:vAlign w:val="center"/>
                </w:tcPr>
                <w:p w14:paraId="11B23122">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66" w:type="pct"/>
                  <w:vMerge w:val="continue"/>
                  <w:noWrap w:val="0"/>
                  <w:vAlign w:val="center"/>
                </w:tcPr>
                <w:p w14:paraId="2545303A">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66" w:type="pct"/>
                  <w:vMerge w:val="continue"/>
                  <w:noWrap w:val="0"/>
                  <w:vAlign w:val="center"/>
                </w:tcPr>
                <w:p w14:paraId="40B16E73">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96" w:type="pct"/>
                  <w:vMerge w:val="continue"/>
                  <w:noWrap w:val="0"/>
                  <w:vAlign w:val="center"/>
                </w:tcPr>
                <w:p w14:paraId="45C4D47F">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96" w:type="pct"/>
                  <w:vMerge w:val="continue"/>
                  <w:noWrap w:val="0"/>
                  <w:vAlign w:val="center"/>
                </w:tcPr>
                <w:p w14:paraId="066DF017">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641" w:type="pct"/>
                  <w:vMerge w:val="continue"/>
                  <w:noWrap w:val="0"/>
                  <w:vAlign w:val="center"/>
                </w:tcPr>
                <w:p w14:paraId="2EED73AF">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82" w:type="pct"/>
                  <w:vMerge w:val="continue"/>
                  <w:noWrap w:val="0"/>
                  <w:vAlign w:val="center"/>
                </w:tcPr>
                <w:p w14:paraId="59432FB9">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44" w:type="pct"/>
                  <w:vMerge w:val="continue"/>
                  <w:noWrap w:val="0"/>
                  <w:vAlign w:val="center"/>
                </w:tcPr>
                <w:p w14:paraId="5BFC007E">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08" w:type="pct"/>
                  <w:noWrap w:val="0"/>
                  <w:vAlign w:val="center"/>
                </w:tcPr>
                <w:p w14:paraId="129CFD6B">
                  <w:pPr>
                    <w:pStyle w:val="16"/>
                    <w:widowControl w:val="0"/>
                    <w:adjustRightInd w:val="0"/>
                    <w:snapToGrid w:val="0"/>
                    <w:spacing w:before="0" w:beforeAutospacing="0" w:after="0" w:afterAutospacing="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TP</w:t>
                  </w:r>
                </w:p>
              </w:tc>
              <w:tc>
                <w:tcPr>
                  <w:tcW w:w="932" w:type="pct"/>
                  <w:noWrap w:val="0"/>
                  <w:vAlign w:val="center"/>
                </w:tcPr>
                <w:p w14:paraId="3AB92F50">
                  <w:pPr>
                    <w:adjustRightInd w:val="0"/>
                    <w:snapToGrid w:val="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0.5</w:t>
                  </w:r>
                </w:p>
              </w:tc>
            </w:tr>
            <w:tr w14:paraId="66F6FA7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185" w:type="pct"/>
                  <w:vMerge w:val="continue"/>
                  <w:noWrap w:val="0"/>
                  <w:vAlign w:val="center"/>
                </w:tcPr>
                <w:p w14:paraId="3E638A5F">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280" w:type="pct"/>
                  <w:vMerge w:val="continue"/>
                  <w:noWrap w:val="0"/>
                  <w:vAlign w:val="center"/>
                </w:tcPr>
                <w:p w14:paraId="52E490D9">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66" w:type="pct"/>
                  <w:vMerge w:val="continue"/>
                  <w:noWrap w:val="0"/>
                  <w:vAlign w:val="center"/>
                </w:tcPr>
                <w:p w14:paraId="14A43591">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66" w:type="pct"/>
                  <w:vMerge w:val="continue"/>
                  <w:noWrap w:val="0"/>
                  <w:vAlign w:val="center"/>
                </w:tcPr>
                <w:p w14:paraId="3A2D1288">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96" w:type="pct"/>
                  <w:vMerge w:val="continue"/>
                  <w:noWrap w:val="0"/>
                  <w:vAlign w:val="center"/>
                </w:tcPr>
                <w:p w14:paraId="22F4EFDA">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96" w:type="pct"/>
                  <w:vMerge w:val="continue"/>
                  <w:noWrap w:val="0"/>
                  <w:vAlign w:val="center"/>
                </w:tcPr>
                <w:p w14:paraId="3627834B">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641" w:type="pct"/>
                  <w:vMerge w:val="continue"/>
                  <w:noWrap w:val="0"/>
                  <w:vAlign w:val="center"/>
                </w:tcPr>
                <w:p w14:paraId="0109D018">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82" w:type="pct"/>
                  <w:vMerge w:val="continue"/>
                  <w:noWrap w:val="0"/>
                  <w:vAlign w:val="center"/>
                </w:tcPr>
                <w:p w14:paraId="2681A40F">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344" w:type="pct"/>
                  <w:vMerge w:val="continue"/>
                  <w:noWrap w:val="0"/>
                  <w:vAlign w:val="center"/>
                </w:tcPr>
                <w:p w14:paraId="29609559">
                  <w:pPr>
                    <w:widowControl/>
                    <w:adjustRightInd w:val="0"/>
                    <w:snapToGrid w:val="0"/>
                    <w:jc w:val="center"/>
                    <w:rPr>
                      <w:rFonts w:hint="default" w:ascii="Times New Roman" w:hAnsi="Times New Roman" w:eastAsia="宋体" w:cs="Times New Roman"/>
                      <w:smallCaps w:val="0"/>
                      <w:color w:val="auto"/>
                      <w:spacing w:val="0"/>
                      <w:kern w:val="0"/>
                      <w:position w:val="0"/>
                      <w:szCs w:val="21"/>
                    </w:rPr>
                  </w:pPr>
                </w:p>
              </w:tc>
              <w:tc>
                <w:tcPr>
                  <w:tcW w:w="408" w:type="pct"/>
                  <w:noWrap w:val="0"/>
                  <w:vAlign w:val="center"/>
                </w:tcPr>
                <w:p w14:paraId="2C0D110B">
                  <w:pPr>
                    <w:pStyle w:val="16"/>
                    <w:widowControl w:val="0"/>
                    <w:adjustRightInd w:val="0"/>
                    <w:snapToGrid w:val="0"/>
                    <w:spacing w:before="0" w:beforeAutospacing="0" w:after="0" w:afterAutospacing="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bidi="ar"/>
                    </w:rPr>
                    <w:t>TN</w:t>
                  </w:r>
                </w:p>
              </w:tc>
              <w:tc>
                <w:tcPr>
                  <w:tcW w:w="932" w:type="pct"/>
                  <w:noWrap w:val="0"/>
                  <w:vAlign w:val="center"/>
                </w:tcPr>
                <w:p w14:paraId="2076AA74">
                  <w:pPr>
                    <w:adjustRightInd w:val="0"/>
                    <w:snapToGrid w:val="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12(</w:t>
                  </w:r>
                  <w:r>
                    <w:rPr>
                      <w:rFonts w:hint="default" w:ascii="Times New Roman" w:hAnsi="Times New Roman" w:eastAsia="宋体" w:cs="Times New Roman"/>
                      <w:smallCaps w:val="0"/>
                      <w:color w:val="auto"/>
                      <w:spacing w:val="0"/>
                      <w:kern w:val="0"/>
                      <w:position w:val="0"/>
                      <w:szCs w:val="21"/>
                      <w:lang w:val="en-US" w:eastAsia="zh-CN"/>
                    </w:rPr>
                    <w:t>15</w:t>
                  </w:r>
                  <w:r>
                    <w:rPr>
                      <w:rFonts w:hint="default" w:ascii="Times New Roman" w:hAnsi="Times New Roman" w:eastAsia="宋体" w:cs="Times New Roman"/>
                      <w:smallCaps w:val="0"/>
                      <w:color w:val="auto"/>
                      <w:spacing w:val="0"/>
                      <w:kern w:val="0"/>
                      <w:position w:val="0"/>
                      <w:szCs w:val="21"/>
                    </w:rPr>
                    <w:t>)</w:t>
                  </w:r>
                </w:p>
              </w:tc>
            </w:tr>
          </w:tbl>
          <w:p w14:paraId="7BE793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szCs w:val="28"/>
              </w:rPr>
              <w:t>②废水污染物排放情况</w:t>
            </w:r>
          </w:p>
          <w:p w14:paraId="48029C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本项目水污染物产、排放情况见下表。</w:t>
            </w:r>
          </w:p>
          <w:p w14:paraId="15DD2E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smallCaps w:val="0"/>
                <w:color w:val="auto"/>
                <w:spacing w:val="0"/>
                <w:kern w:val="0"/>
                <w:position w:val="0"/>
                <w:sz w:val="21"/>
                <w:szCs w:val="18"/>
                <w:lang w:val="en-US" w:eastAsia="zh-CN" w:bidi="ar-SA"/>
              </w:rPr>
            </w:pPr>
            <w:r>
              <w:rPr>
                <w:rFonts w:hint="default" w:ascii="Times New Roman" w:hAnsi="Times New Roman" w:eastAsia="宋体" w:cs="Times New Roman"/>
                <w:b/>
                <w:bCs w:val="0"/>
                <w:smallCaps w:val="0"/>
                <w:color w:val="auto"/>
                <w:spacing w:val="0"/>
                <w:kern w:val="0"/>
                <w:position w:val="0"/>
                <w:sz w:val="21"/>
                <w:szCs w:val="18"/>
                <w:lang w:val="en-US" w:eastAsia="zh-CN" w:bidi="ar-SA"/>
              </w:rPr>
              <w:t>表4-9本项目废水产生、排放情况表</w:t>
            </w:r>
          </w:p>
          <w:tbl>
            <w:tblPr>
              <w:tblStyle w:val="17"/>
              <w:tblW w:w="486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0" w:type="dxa"/>
                <w:bottom w:w="0" w:type="dxa"/>
                <w:right w:w="0" w:type="dxa"/>
              </w:tblCellMar>
            </w:tblPr>
            <w:tblGrid>
              <w:gridCol w:w="1504"/>
              <w:gridCol w:w="995"/>
              <w:gridCol w:w="1145"/>
              <w:gridCol w:w="1145"/>
              <w:gridCol w:w="1118"/>
              <w:gridCol w:w="1305"/>
              <w:gridCol w:w="778"/>
              <w:gridCol w:w="1187"/>
              <w:gridCol w:w="1162"/>
              <w:gridCol w:w="1118"/>
              <w:gridCol w:w="847"/>
            </w:tblGrid>
            <w:tr w14:paraId="23E02CC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611" w:type="pct"/>
                  <w:vMerge w:val="restart"/>
                  <w:noWrap w:val="0"/>
                  <w:vAlign w:val="center"/>
                </w:tcPr>
                <w:p w14:paraId="6133ED7B">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废水</w:t>
                  </w:r>
                </w:p>
                <w:p w14:paraId="0344CB1D">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名称</w:t>
                  </w:r>
                </w:p>
              </w:tc>
              <w:tc>
                <w:tcPr>
                  <w:tcW w:w="404" w:type="pct"/>
                  <w:vMerge w:val="restart"/>
                  <w:noWrap w:val="0"/>
                  <w:vAlign w:val="center"/>
                </w:tcPr>
                <w:p w14:paraId="667C15DB">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产生量</w:t>
                  </w:r>
                </w:p>
                <w:p w14:paraId="13CC6199">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(t/a)</w:t>
                  </w:r>
                </w:p>
              </w:tc>
              <w:tc>
                <w:tcPr>
                  <w:tcW w:w="1384" w:type="pct"/>
                  <w:gridSpan w:val="3"/>
                  <w:noWrap w:val="0"/>
                  <w:vAlign w:val="center"/>
                </w:tcPr>
                <w:p w14:paraId="5F6E5B53">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水污染物产生情况</w:t>
                  </w:r>
                </w:p>
              </w:tc>
              <w:tc>
                <w:tcPr>
                  <w:tcW w:w="530" w:type="pct"/>
                  <w:vMerge w:val="restart"/>
                  <w:noWrap w:val="0"/>
                  <w:vAlign w:val="center"/>
                </w:tcPr>
                <w:p w14:paraId="7421EC84">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治理</w:t>
                  </w:r>
                </w:p>
                <w:p w14:paraId="7229D775">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措施</w:t>
                  </w:r>
                </w:p>
              </w:tc>
              <w:tc>
                <w:tcPr>
                  <w:tcW w:w="316" w:type="pct"/>
                  <w:vMerge w:val="restart"/>
                  <w:noWrap w:val="0"/>
                  <w:vAlign w:val="center"/>
                </w:tcPr>
                <w:p w14:paraId="57BFFC3F">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排放量</w:t>
                  </w:r>
                </w:p>
                <w:p w14:paraId="17EDC4B9">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(t/a)</w:t>
                  </w:r>
                </w:p>
              </w:tc>
              <w:tc>
                <w:tcPr>
                  <w:tcW w:w="1408" w:type="pct"/>
                  <w:gridSpan w:val="3"/>
                  <w:noWrap w:val="0"/>
                  <w:vAlign w:val="center"/>
                </w:tcPr>
                <w:p w14:paraId="63A50182">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水污染物排放情况</w:t>
                  </w:r>
                </w:p>
              </w:tc>
              <w:tc>
                <w:tcPr>
                  <w:tcW w:w="344" w:type="pct"/>
                  <w:vMerge w:val="restart"/>
                  <w:noWrap w:val="0"/>
                  <w:vAlign w:val="center"/>
                </w:tcPr>
                <w:p w14:paraId="0F8891A7">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排放</w:t>
                  </w:r>
                </w:p>
                <w:p w14:paraId="40C4011E">
                  <w:pPr>
                    <w:snapToGrid w:val="0"/>
                    <w:spacing w:line="240" w:lineRule="exact"/>
                    <w:jc w:val="center"/>
                    <w:rPr>
                      <w:rFonts w:hint="default" w:ascii="Times New Roman" w:hAnsi="Times New Roman" w:eastAsia="宋体" w:cs="Times New Roman"/>
                      <w:bCs/>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去向</w:t>
                  </w:r>
                </w:p>
              </w:tc>
            </w:tr>
            <w:tr w14:paraId="4789A90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noWrap w:val="0"/>
                  <w:vAlign w:val="center"/>
                </w:tcPr>
                <w:p w14:paraId="1DB2B113">
                  <w:pPr>
                    <w:widowControl/>
                    <w:jc w:val="center"/>
                    <w:rPr>
                      <w:rFonts w:hint="default" w:ascii="Times New Roman" w:hAnsi="Times New Roman" w:eastAsia="宋体" w:cs="Times New Roman"/>
                      <w:b/>
                      <w:smallCaps w:val="0"/>
                      <w:color w:val="auto"/>
                      <w:spacing w:val="0"/>
                      <w:kern w:val="0"/>
                      <w:position w:val="0"/>
                      <w:szCs w:val="21"/>
                    </w:rPr>
                  </w:pPr>
                </w:p>
              </w:tc>
              <w:tc>
                <w:tcPr>
                  <w:tcW w:w="404" w:type="pct"/>
                  <w:vMerge w:val="continue"/>
                  <w:noWrap w:val="0"/>
                  <w:vAlign w:val="center"/>
                </w:tcPr>
                <w:p w14:paraId="1AE45EA3">
                  <w:pPr>
                    <w:widowControl/>
                    <w:jc w:val="center"/>
                    <w:rPr>
                      <w:rFonts w:hint="default" w:ascii="Times New Roman" w:hAnsi="Times New Roman" w:eastAsia="宋体" w:cs="Times New Roman"/>
                      <w:b/>
                      <w:smallCaps w:val="0"/>
                      <w:color w:val="auto"/>
                      <w:spacing w:val="0"/>
                      <w:kern w:val="0"/>
                      <w:position w:val="0"/>
                      <w:szCs w:val="21"/>
                    </w:rPr>
                  </w:pPr>
                </w:p>
              </w:tc>
              <w:tc>
                <w:tcPr>
                  <w:tcW w:w="465" w:type="pct"/>
                  <w:noWrap w:val="0"/>
                  <w:vAlign w:val="center"/>
                </w:tcPr>
                <w:p w14:paraId="639BCA50">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12507F07">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名称</w:t>
                  </w:r>
                </w:p>
              </w:tc>
              <w:tc>
                <w:tcPr>
                  <w:tcW w:w="465" w:type="pct"/>
                  <w:noWrap w:val="0"/>
                  <w:vAlign w:val="center"/>
                </w:tcPr>
                <w:p w14:paraId="1314511F">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31033AA5">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产生浓度</w:t>
                  </w:r>
                </w:p>
                <w:p w14:paraId="13F0FA62">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(mg/L)</w:t>
                  </w:r>
                </w:p>
              </w:tc>
              <w:tc>
                <w:tcPr>
                  <w:tcW w:w="454" w:type="pct"/>
                  <w:noWrap w:val="0"/>
                  <w:vAlign w:val="center"/>
                </w:tcPr>
                <w:p w14:paraId="7BB4BF0A">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7CF64232">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产生量</w:t>
                  </w:r>
                </w:p>
                <w:p w14:paraId="4A9F4B25">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(t/a)</w:t>
                  </w:r>
                </w:p>
              </w:tc>
              <w:tc>
                <w:tcPr>
                  <w:tcW w:w="530" w:type="pct"/>
                  <w:vMerge w:val="continue"/>
                  <w:noWrap w:val="0"/>
                  <w:vAlign w:val="center"/>
                </w:tcPr>
                <w:p w14:paraId="5862E8C4">
                  <w:pPr>
                    <w:widowControl/>
                    <w:jc w:val="center"/>
                    <w:rPr>
                      <w:rFonts w:hint="default" w:ascii="Times New Roman" w:hAnsi="Times New Roman" w:eastAsia="宋体" w:cs="Times New Roman"/>
                      <w:b/>
                      <w:smallCaps w:val="0"/>
                      <w:color w:val="auto"/>
                      <w:spacing w:val="0"/>
                      <w:kern w:val="0"/>
                      <w:position w:val="0"/>
                      <w:szCs w:val="21"/>
                    </w:rPr>
                  </w:pPr>
                </w:p>
              </w:tc>
              <w:tc>
                <w:tcPr>
                  <w:tcW w:w="316" w:type="pct"/>
                  <w:vMerge w:val="continue"/>
                  <w:noWrap w:val="0"/>
                  <w:vAlign w:val="center"/>
                </w:tcPr>
                <w:p w14:paraId="38150FA1">
                  <w:pPr>
                    <w:widowControl/>
                    <w:jc w:val="center"/>
                    <w:rPr>
                      <w:rFonts w:hint="default" w:ascii="Times New Roman" w:hAnsi="Times New Roman" w:eastAsia="宋体" w:cs="Times New Roman"/>
                      <w:b/>
                      <w:smallCaps w:val="0"/>
                      <w:color w:val="auto"/>
                      <w:spacing w:val="0"/>
                      <w:kern w:val="0"/>
                      <w:position w:val="0"/>
                      <w:szCs w:val="21"/>
                    </w:rPr>
                  </w:pPr>
                </w:p>
              </w:tc>
              <w:tc>
                <w:tcPr>
                  <w:tcW w:w="482" w:type="pct"/>
                  <w:noWrap w:val="0"/>
                  <w:vAlign w:val="center"/>
                </w:tcPr>
                <w:p w14:paraId="13A91236">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2F452B1C">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名称</w:t>
                  </w:r>
                </w:p>
              </w:tc>
              <w:tc>
                <w:tcPr>
                  <w:tcW w:w="472" w:type="pct"/>
                  <w:noWrap w:val="0"/>
                  <w:vAlign w:val="center"/>
                </w:tcPr>
                <w:p w14:paraId="2168B777">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13F9292B">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排放浓度</w:t>
                  </w:r>
                </w:p>
                <w:p w14:paraId="2E6BB1C3">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(mg/L)</w:t>
                  </w:r>
                </w:p>
              </w:tc>
              <w:tc>
                <w:tcPr>
                  <w:tcW w:w="454" w:type="pct"/>
                  <w:noWrap w:val="0"/>
                  <w:vAlign w:val="center"/>
                </w:tcPr>
                <w:p w14:paraId="27A087C5">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污染物</w:t>
                  </w:r>
                </w:p>
                <w:p w14:paraId="1875653A">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排放量</w:t>
                  </w:r>
                </w:p>
                <w:p w14:paraId="390CA7AA">
                  <w:pPr>
                    <w:snapToGrid w:val="0"/>
                    <w:spacing w:line="240" w:lineRule="exact"/>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(t/a)</w:t>
                  </w:r>
                </w:p>
              </w:tc>
              <w:tc>
                <w:tcPr>
                  <w:tcW w:w="344" w:type="pct"/>
                  <w:vMerge w:val="continue"/>
                  <w:noWrap w:val="0"/>
                  <w:vAlign w:val="center"/>
                </w:tcPr>
                <w:p w14:paraId="36A0DEB3">
                  <w:pPr>
                    <w:widowControl/>
                    <w:jc w:val="center"/>
                    <w:rPr>
                      <w:rFonts w:hint="default" w:ascii="Times New Roman" w:hAnsi="Times New Roman" w:eastAsia="宋体" w:cs="Times New Roman"/>
                      <w:bCs/>
                      <w:smallCaps w:val="0"/>
                      <w:color w:val="auto"/>
                      <w:spacing w:val="0"/>
                      <w:kern w:val="0"/>
                      <w:position w:val="0"/>
                      <w:szCs w:val="21"/>
                    </w:rPr>
                  </w:pPr>
                </w:p>
              </w:tc>
            </w:tr>
            <w:tr w14:paraId="080B4A1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611" w:type="pct"/>
                  <w:vMerge w:val="restart"/>
                  <w:noWrap w:val="0"/>
                  <w:vAlign w:val="center"/>
                </w:tcPr>
                <w:p w14:paraId="551387C2">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生活污水</w:t>
                  </w:r>
                </w:p>
              </w:tc>
              <w:tc>
                <w:tcPr>
                  <w:tcW w:w="404" w:type="pct"/>
                  <w:vMerge w:val="restart"/>
                  <w:noWrap w:val="0"/>
                  <w:vAlign w:val="center"/>
                </w:tcPr>
                <w:p w14:paraId="01F16713">
                  <w:pPr>
                    <w:spacing w:line="24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eastAsia="zh-CN"/>
                    </w:rPr>
                    <w:t>1</w:t>
                  </w:r>
                  <w:r>
                    <w:rPr>
                      <w:rFonts w:hint="default" w:ascii="Times New Roman" w:hAnsi="Times New Roman" w:eastAsia="宋体" w:cs="Times New Roman"/>
                      <w:smallCaps w:val="0"/>
                      <w:color w:val="auto"/>
                      <w:spacing w:val="0"/>
                      <w:kern w:val="0"/>
                      <w:position w:val="0"/>
                      <w:szCs w:val="21"/>
                      <w:lang w:val="en-US" w:eastAsia="zh-CN"/>
                    </w:rPr>
                    <w:t>20</w:t>
                  </w:r>
                </w:p>
              </w:tc>
              <w:tc>
                <w:tcPr>
                  <w:tcW w:w="465" w:type="pct"/>
                  <w:shd w:val="clear" w:color="auto" w:fill="auto"/>
                  <w:noWrap w:val="0"/>
                  <w:vAlign w:val="center"/>
                </w:tcPr>
                <w:p w14:paraId="2159C4C2">
                  <w:pPr>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pH</w:t>
                  </w:r>
                </w:p>
              </w:tc>
              <w:tc>
                <w:tcPr>
                  <w:tcW w:w="465" w:type="pct"/>
                  <w:shd w:val="clear" w:color="auto" w:fill="auto"/>
                  <w:noWrap w:val="0"/>
                  <w:vAlign w:val="center"/>
                </w:tcPr>
                <w:p w14:paraId="73F0592B">
                  <w:pPr>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6-9</w:t>
                  </w:r>
                </w:p>
              </w:tc>
              <w:tc>
                <w:tcPr>
                  <w:tcW w:w="454" w:type="pct"/>
                  <w:shd w:val="clear" w:color="auto" w:fill="auto"/>
                  <w:noWrap w:val="0"/>
                  <w:vAlign w:val="center"/>
                </w:tcPr>
                <w:p w14:paraId="56E0971A">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spacing w:val="0"/>
                      <w:kern w:val="0"/>
                      <w:position w:val="0"/>
                      <w:sz w:val="21"/>
                      <w:szCs w:val="21"/>
                      <w:u w:val="none"/>
                      <w:lang w:val="en-US" w:eastAsia="zh-CN" w:bidi="ar"/>
                    </w:rPr>
                    <w:t>/</w:t>
                  </w:r>
                </w:p>
              </w:tc>
              <w:tc>
                <w:tcPr>
                  <w:tcW w:w="530" w:type="pct"/>
                  <w:vMerge w:val="restart"/>
                  <w:noWrap w:val="0"/>
                  <w:vAlign w:val="center"/>
                </w:tcPr>
                <w:p w14:paraId="6F3B7BDE">
                  <w:pPr>
                    <w:spacing w:line="24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接管</w:t>
                  </w:r>
                </w:p>
              </w:tc>
              <w:tc>
                <w:tcPr>
                  <w:tcW w:w="316" w:type="pct"/>
                  <w:vMerge w:val="restart"/>
                  <w:noWrap w:val="0"/>
                  <w:vAlign w:val="center"/>
                </w:tcPr>
                <w:p w14:paraId="3D488E4F">
                  <w:pPr>
                    <w:spacing w:line="24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eastAsia="zh-CN"/>
                    </w:rPr>
                    <w:t>12</w:t>
                  </w:r>
                  <w:r>
                    <w:rPr>
                      <w:rFonts w:hint="default" w:ascii="Times New Roman" w:hAnsi="Times New Roman" w:eastAsia="宋体" w:cs="Times New Roman"/>
                      <w:smallCaps w:val="0"/>
                      <w:color w:val="auto"/>
                      <w:spacing w:val="0"/>
                      <w:kern w:val="0"/>
                      <w:position w:val="0"/>
                      <w:szCs w:val="21"/>
                      <w:lang w:val="en-US" w:eastAsia="zh-CN"/>
                    </w:rPr>
                    <w:t>0</w:t>
                  </w:r>
                </w:p>
              </w:tc>
              <w:tc>
                <w:tcPr>
                  <w:tcW w:w="482" w:type="pct"/>
                  <w:shd w:val="clear" w:color="auto" w:fill="auto"/>
                  <w:noWrap w:val="0"/>
                  <w:vAlign w:val="center"/>
                </w:tcPr>
                <w:p w14:paraId="5F74C663">
                  <w:pPr>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pH</w:t>
                  </w:r>
                </w:p>
              </w:tc>
              <w:tc>
                <w:tcPr>
                  <w:tcW w:w="472" w:type="pct"/>
                  <w:shd w:val="clear" w:color="auto" w:fill="auto"/>
                  <w:noWrap w:val="0"/>
                  <w:vAlign w:val="center"/>
                </w:tcPr>
                <w:p w14:paraId="7933F534">
                  <w:pPr>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6-9</w:t>
                  </w:r>
                </w:p>
              </w:tc>
              <w:tc>
                <w:tcPr>
                  <w:tcW w:w="454" w:type="pct"/>
                  <w:shd w:val="clear" w:color="auto" w:fill="auto"/>
                  <w:noWrap w:val="0"/>
                  <w:vAlign w:val="center"/>
                </w:tcPr>
                <w:p w14:paraId="3E70F0D7">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spacing w:val="0"/>
                      <w:kern w:val="0"/>
                      <w:position w:val="0"/>
                      <w:sz w:val="21"/>
                      <w:szCs w:val="21"/>
                      <w:u w:val="none"/>
                      <w:lang w:val="en-US" w:eastAsia="zh-CN" w:bidi="ar"/>
                    </w:rPr>
                    <w:t>/</w:t>
                  </w:r>
                </w:p>
              </w:tc>
              <w:tc>
                <w:tcPr>
                  <w:tcW w:w="344" w:type="pct"/>
                  <w:vMerge w:val="restart"/>
                  <w:noWrap w:val="0"/>
                  <w:vAlign w:val="center"/>
                </w:tcPr>
                <w:p w14:paraId="6C6645B0">
                  <w:pPr>
                    <w:snapToGrid w:val="0"/>
                    <w:spacing w:line="240" w:lineRule="exact"/>
                    <w:jc w:val="center"/>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szCs w:val="21"/>
                      <w:lang w:eastAsia="zh-CN"/>
                    </w:rPr>
                    <w:t>金坛第二污水处理厂</w:t>
                  </w:r>
                </w:p>
              </w:tc>
            </w:tr>
            <w:tr w14:paraId="5D2784C7">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noWrap w:val="0"/>
                  <w:vAlign w:val="center"/>
                </w:tcPr>
                <w:p w14:paraId="6B1F62E3">
                  <w:pPr>
                    <w:spacing w:line="240" w:lineRule="exact"/>
                    <w:jc w:val="center"/>
                    <w:rPr>
                      <w:rFonts w:hint="default" w:ascii="Times New Roman" w:hAnsi="Times New Roman" w:eastAsia="宋体" w:cs="Times New Roman"/>
                      <w:smallCaps w:val="0"/>
                      <w:color w:val="auto"/>
                      <w:spacing w:val="0"/>
                      <w:kern w:val="0"/>
                      <w:position w:val="0"/>
                      <w:szCs w:val="21"/>
                    </w:rPr>
                  </w:pPr>
                </w:p>
              </w:tc>
              <w:tc>
                <w:tcPr>
                  <w:tcW w:w="404" w:type="pct"/>
                  <w:vMerge w:val="continue"/>
                  <w:noWrap w:val="0"/>
                  <w:vAlign w:val="center"/>
                </w:tcPr>
                <w:p w14:paraId="73B2F5EB">
                  <w:pPr>
                    <w:spacing w:line="240" w:lineRule="exact"/>
                    <w:jc w:val="center"/>
                    <w:rPr>
                      <w:rFonts w:hint="default" w:ascii="Times New Roman" w:hAnsi="Times New Roman" w:eastAsia="宋体" w:cs="Times New Roman"/>
                      <w:smallCaps w:val="0"/>
                      <w:color w:val="auto"/>
                      <w:spacing w:val="0"/>
                      <w:kern w:val="0"/>
                      <w:position w:val="0"/>
                      <w:szCs w:val="21"/>
                      <w:lang w:val="en-US" w:eastAsia="zh-CN"/>
                    </w:rPr>
                  </w:pPr>
                </w:p>
              </w:tc>
              <w:tc>
                <w:tcPr>
                  <w:tcW w:w="465" w:type="pct"/>
                  <w:noWrap w:val="0"/>
                  <w:vAlign w:val="center"/>
                </w:tcPr>
                <w:p w14:paraId="2A919260">
                  <w:pPr>
                    <w:widowControl/>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COD</w:t>
                  </w:r>
                </w:p>
              </w:tc>
              <w:tc>
                <w:tcPr>
                  <w:tcW w:w="465" w:type="pct"/>
                  <w:noWrap w:val="0"/>
                  <w:vAlign w:val="center"/>
                </w:tcPr>
                <w:p w14:paraId="4A593EB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400</w:t>
                  </w:r>
                </w:p>
              </w:tc>
              <w:tc>
                <w:tcPr>
                  <w:tcW w:w="454" w:type="pct"/>
                  <w:noWrap w:val="0"/>
                  <w:vAlign w:val="center"/>
                </w:tcPr>
                <w:p w14:paraId="36FDBD8E">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0.048</w:t>
                  </w:r>
                </w:p>
              </w:tc>
              <w:tc>
                <w:tcPr>
                  <w:tcW w:w="530" w:type="pct"/>
                  <w:vMerge w:val="continue"/>
                  <w:noWrap w:val="0"/>
                  <w:vAlign w:val="center"/>
                </w:tcPr>
                <w:p w14:paraId="3D695FAD">
                  <w:pPr>
                    <w:spacing w:line="240" w:lineRule="exact"/>
                    <w:jc w:val="center"/>
                    <w:rPr>
                      <w:rFonts w:hint="default" w:ascii="Times New Roman" w:hAnsi="Times New Roman" w:eastAsia="宋体" w:cs="Times New Roman"/>
                      <w:smallCaps w:val="0"/>
                      <w:color w:val="auto"/>
                      <w:spacing w:val="0"/>
                      <w:kern w:val="0"/>
                      <w:position w:val="0"/>
                      <w:szCs w:val="21"/>
                      <w:lang w:val="en-US" w:eastAsia="zh-CN"/>
                    </w:rPr>
                  </w:pPr>
                </w:p>
              </w:tc>
              <w:tc>
                <w:tcPr>
                  <w:tcW w:w="316" w:type="pct"/>
                  <w:vMerge w:val="continue"/>
                  <w:noWrap w:val="0"/>
                  <w:vAlign w:val="center"/>
                </w:tcPr>
                <w:p w14:paraId="632AB0B5">
                  <w:pPr>
                    <w:spacing w:line="240" w:lineRule="exact"/>
                    <w:jc w:val="center"/>
                    <w:rPr>
                      <w:rFonts w:hint="default" w:ascii="Times New Roman" w:hAnsi="Times New Roman" w:eastAsia="宋体" w:cs="Times New Roman"/>
                      <w:smallCaps w:val="0"/>
                      <w:color w:val="auto"/>
                      <w:spacing w:val="0"/>
                      <w:kern w:val="0"/>
                      <w:position w:val="0"/>
                      <w:szCs w:val="21"/>
                      <w:lang w:eastAsia="zh-CN"/>
                    </w:rPr>
                  </w:pPr>
                </w:p>
              </w:tc>
              <w:tc>
                <w:tcPr>
                  <w:tcW w:w="482" w:type="pct"/>
                  <w:noWrap w:val="0"/>
                  <w:vAlign w:val="center"/>
                </w:tcPr>
                <w:p w14:paraId="656CEE07">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COD</w:t>
                  </w:r>
                </w:p>
              </w:tc>
              <w:tc>
                <w:tcPr>
                  <w:tcW w:w="472" w:type="pct"/>
                  <w:noWrap w:val="0"/>
                  <w:vAlign w:val="center"/>
                </w:tcPr>
                <w:p w14:paraId="7ECE52B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400</w:t>
                  </w:r>
                </w:p>
              </w:tc>
              <w:tc>
                <w:tcPr>
                  <w:tcW w:w="454" w:type="pct"/>
                  <w:noWrap w:val="0"/>
                  <w:vAlign w:val="center"/>
                </w:tcPr>
                <w:p w14:paraId="41A9FDC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0.048</w:t>
                  </w:r>
                </w:p>
              </w:tc>
              <w:tc>
                <w:tcPr>
                  <w:tcW w:w="344" w:type="pct"/>
                  <w:vMerge w:val="continue"/>
                  <w:noWrap w:val="0"/>
                  <w:vAlign w:val="center"/>
                </w:tcPr>
                <w:p w14:paraId="4CC2B6A9">
                  <w:pPr>
                    <w:snapToGrid w:val="0"/>
                    <w:spacing w:line="240" w:lineRule="exact"/>
                    <w:jc w:val="center"/>
                    <w:rPr>
                      <w:rFonts w:hint="default" w:ascii="Times New Roman" w:hAnsi="Times New Roman" w:eastAsia="宋体" w:cs="Times New Roman"/>
                      <w:smallCaps w:val="0"/>
                      <w:color w:val="auto"/>
                      <w:spacing w:val="0"/>
                      <w:kern w:val="0"/>
                      <w:position w:val="0"/>
                      <w:szCs w:val="21"/>
                      <w:lang w:eastAsia="zh-CN"/>
                    </w:rPr>
                  </w:pPr>
                </w:p>
              </w:tc>
            </w:tr>
            <w:tr w14:paraId="3C3D9B9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noWrap w:val="0"/>
                  <w:vAlign w:val="center"/>
                </w:tcPr>
                <w:p w14:paraId="3A102255">
                  <w:pPr>
                    <w:widowControl/>
                    <w:jc w:val="center"/>
                    <w:rPr>
                      <w:rFonts w:hint="default" w:ascii="Times New Roman" w:hAnsi="Times New Roman" w:eastAsia="宋体" w:cs="Times New Roman"/>
                      <w:smallCaps w:val="0"/>
                      <w:color w:val="auto"/>
                      <w:spacing w:val="0"/>
                      <w:kern w:val="0"/>
                      <w:position w:val="0"/>
                      <w:szCs w:val="21"/>
                    </w:rPr>
                  </w:pPr>
                </w:p>
              </w:tc>
              <w:tc>
                <w:tcPr>
                  <w:tcW w:w="404" w:type="pct"/>
                  <w:vMerge w:val="continue"/>
                  <w:noWrap w:val="0"/>
                  <w:vAlign w:val="center"/>
                </w:tcPr>
                <w:p w14:paraId="6CA54A57">
                  <w:pPr>
                    <w:widowControl/>
                    <w:jc w:val="center"/>
                    <w:rPr>
                      <w:rFonts w:hint="default" w:ascii="Times New Roman" w:hAnsi="Times New Roman" w:eastAsia="宋体" w:cs="Times New Roman"/>
                      <w:smallCaps w:val="0"/>
                      <w:color w:val="auto"/>
                      <w:spacing w:val="0"/>
                      <w:kern w:val="0"/>
                      <w:position w:val="0"/>
                      <w:szCs w:val="21"/>
                    </w:rPr>
                  </w:pPr>
                </w:p>
              </w:tc>
              <w:tc>
                <w:tcPr>
                  <w:tcW w:w="465" w:type="pct"/>
                  <w:noWrap w:val="0"/>
                  <w:vAlign w:val="center"/>
                </w:tcPr>
                <w:p w14:paraId="46D45C54">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SS</w:t>
                  </w:r>
                </w:p>
              </w:tc>
              <w:tc>
                <w:tcPr>
                  <w:tcW w:w="465" w:type="pct"/>
                  <w:noWrap w:val="0"/>
                  <w:vAlign w:val="center"/>
                </w:tcPr>
                <w:p w14:paraId="44C4833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250</w:t>
                  </w:r>
                </w:p>
              </w:tc>
              <w:tc>
                <w:tcPr>
                  <w:tcW w:w="454" w:type="pct"/>
                  <w:noWrap w:val="0"/>
                  <w:vAlign w:val="center"/>
                </w:tcPr>
                <w:p w14:paraId="51C5C027">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0.03</w:t>
                  </w:r>
                </w:p>
              </w:tc>
              <w:tc>
                <w:tcPr>
                  <w:tcW w:w="530" w:type="pct"/>
                  <w:vMerge w:val="continue"/>
                  <w:noWrap w:val="0"/>
                  <w:vAlign w:val="center"/>
                </w:tcPr>
                <w:p w14:paraId="5BAE3451">
                  <w:pPr>
                    <w:widowControl/>
                    <w:jc w:val="center"/>
                    <w:rPr>
                      <w:rFonts w:hint="default" w:ascii="Times New Roman" w:hAnsi="Times New Roman" w:eastAsia="宋体" w:cs="Times New Roman"/>
                      <w:smallCaps w:val="0"/>
                      <w:color w:val="auto"/>
                      <w:spacing w:val="0"/>
                      <w:kern w:val="0"/>
                      <w:position w:val="0"/>
                      <w:szCs w:val="21"/>
                    </w:rPr>
                  </w:pPr>
                </w:p>
              </w:tc>
              <w:tc>
                <w:tcPr>
                  <w:tcW w:w="316" w:type="pct"/>
                  <w:vMerge w:val="continue"/>
                  <w:noWrap w:val="0"/>
                  <w:vAlign w:val="center"/>
                </w:tcPr>
                <w:p w14:paraId="0DE17E92">
                  <w:pPr>
                    <w:widowControl/>
                    <w:jc w:val="center"/>
                    <w:rPr>
                      <w:rFonts w:hint="default" w:ascii="Times New Roman" w:hAnsi="Times New Roman" w:eastAsia="宋体" w:cs="Times New Roman"/>
                      <w:smallCaps w:val="0"/>
                      <w:color w:val="auto"/>
                      <w:spacing w:val="0"/>
                      <w:kern w:val="0"/>
                      <w:position w:val="0"/>
                      <w:szCs w:val="21"/>
                    </w:rPr>
                  </w:pPr>
                </w:p>
              </w:tc>
              <w:tc>
                <w:tcPr>
                  <w:tcW w:w="482" w:type="pct"/>
                  <w:noWrap w:val="0"/>
                  <w:vAlign w:val="center"/>
                </w:tcPr>
                <w:p w14:paraId="74230CC2">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SS</w:t>
                  </w:r>
                </w:p>
              </w:tc>
              <w:tc>
                <w:tcPr>
                  <w:tcW w:w="472" w:type="pct"/>
                  <w:noWrap w:val="0"/>
                  <w:vAlign w:val="center"/>
                </w:tcPr>
                <w:p w14:paraId="39B1921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250</w:t>
                  </w:r>
                </w:p>
              </w:tc>
              <w:tc>
                <w:tcPr>
                  <w:tcW w:w="454" w:type="pct"/>
                  <w:noWrap w:val="0"/>
                  <w:vAlign w:val="center"/>
                </w:tcPr>
                <w:p w14:paraId="742BC50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0.03</w:t>
                  </w:r>
                </w:p>
              </w:tc>
              <w:tc>
                <w:tcPr>
                  <w:tcW w:w="344" w:type="pct"/>
                  <w:vMerge w:val="continue"/>
                  <w:noWrap w:val="0"/>
                  <w:vAlign w:val="center"/>
                </w:tcPr>
                <w:p w14:paraId="5CFE3A3B">
                  <w:pPr>
                    <w:widowControl/>
                    <w:jc w:val="center"/>
                    <w:rPr>
                      <w:rFonts w:hint="default" w:ascii="Times New Roman" w:hAnsi="Times New Roman" w:eastAsia="宋体" w:cs="Times New Roman"/>
                      <w:smallCaps w:val="0"/>
                      <w:color w:val="auto"/>
                      <w:spacing w:val="0"/>
                      <w:kern w:val="0"/>
                      <w:position w:val="0"/>
                      <w:szCs w:val="21"/>
                    </w:rPr>
                  </w:pPr>
                </w:p>
              </w:tc>
            </w:tr>
            <w:tr w14:paraId="17C0F3C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noWrap w:val="0"/>
                  <w:vAlign w:val="center"/>
                </w:tcPr>
                <w:p w14:paraId="426E3494">
                  <w:pPr>
                    <w:widowControl/>
                    <w:jc w:val="center"/>
                    <w:rPr>
                      <w:rFonts w:hint="default" w:ascii="Times New Roman" w:hAnsi="Times New Roman" w:eastAsia="宋体" w:cs="Times New Roman"/>
                      <w:smallCaps w:val="0"/>
                      <w:color w:val="auto"/>
                      <w:spacing w:val="0"/>
                      <w:kern w:val="0"/>
                      <w:position w:val="0"/>
                      <w:szCs w:val="21"/>
                    </w:rPr>
                  </w:pPr>
                </w:p>
              </w:tc>
              <w:tc>
                <w:tcPr>
                  <w:tcW w:w="404" w:type="pct"/>
                  <w:vMerge w:val="continue"/>
                  <w:noWrap w:val="0"/>
                  <w:vAlign w:val="center"/>
                </w:tcPr>
                <w:p w14:paraId="39F090FE">
                  <w:pPr>
                    <w:widowControl/>
                    <w:jc w:val="center"/>
                    <w:rPr>
                      <w:rFonts w:hint="default" w:ascii="Times New Roman" w:hAnsi="Times New Roman" w:eastAsia="宋体" w:cs="Times New Roman"/>
                      <w:smallCaps w:val="0"/>
                      <w:color w:val="auto"/>
                      <w:spacing w:val="0"/>
                      <w:kern w:val="0"/>
                      <w:position w:val="0"/>
                      <w:szCs w:val="21"/>
                    </w:rPr>
                  </w:pPr>
                </w:p>
              </w:tc>
              <w:tc>
                <w:tcPr>
                  <w:tcW w:w="465" w:type="pct"/>
                  <w:noWrap w:val="0"/>
                  <w:vAlign w:val="center"/>
                </w:tcPr>
                <w:p w14:paraId="008E1BCE">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氨氮</w:t>
                  </w:r>
                </w:p>
              </w:tc>
              <w:tc>
                <w:tcPr>
                  <w:tcW w:w="465" w:type="pct"/>
                  <w:noWrap w:val="0"/>
                  <w:vAlign w:val="center"/>
                </w:tcPr>
                <w:p w14:paraId="64594EE7">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25</w:t>
                  </w:r>
                </w:p>
              </w:tc>
              <w:tc>
                <w:tcPr>
                  <w:tcW w:w="454" w:type="pct"/>
                  <w:noWrap w:val="0"/>
                  <w:vAlign w:val="center"/>
                </w:tcPr>
                <w:p w14:paraId="19E0DE38">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0.003</w:t>
                  </w:r>
                </w:p>
              </w:tc>
              <w:tc>
                <w:tcPr>
                  <w:tcW w:w="530" w:type="pct"/>
                  <w:vMerge w:val="continue"/>
                  <w:noWrap w:val="0"/>
                  <w:vAlign w:val="center"/>
                </w:tcPr>
                <w:p w14:paraId="572F07F4">
                  <w:pPr>
                    <w:widowControl/>
                    <w:jc w:val="center"/>
                    <w:rPr>
                      <w:rFonts w:hint="default" w:ascii="Times New Roman" w:hAnsi="Times New Roman" w:eastAsia="宋体" w:cs="Times New Roman"/>
                      <w:smallCaps w:val="0"/>
                      <w:color w:val="auto"/>
                      <w:spacing w:val="0"/>
                      <w:kern w:val="0"/>
                      <w:position w:val="0"/>
                      <w:szCs w:val="21"/>
                    </w:rPr>
                  </w:pPr>
                </w:p>
              </w:tc>
              <w:tc>
                <w:tcPr>
                  <w:tcW w:w="316" w:type="pct"/>
                  <w:vMerge w:val="continue"/>
                  <w:noWrap w:val="0"/>
                  <w:vAlign w:val="center"/>
                </w:tcPr>
                <w:p w14:paraId="0DAD548B">
                  <w:pPr>
                    <w:widowControl/>
                    <w:jc w:val="center"/>
                    <w:rPr>
                      <w:rFonts w:hint="default" w:ascii="Times New Roman" w:hAnsi="Times New Roman" w:eastAsia="宋体" w:cs="Times New Roman"/>
                      <w:smallCaps w:val="0"/>
                      <w:color w:val="auto"/>
                      <w:spacing w:val="0"/>
                      <w:kern w:val="0"/>
                      <w:position w:val="0"/>
                      <w:szCs w:val="21"/>
                    </w:rPr>
                  </w:pPr>
                </w:p>
              </w:tc>
              <w:tc>
                <w:tcPr>
                  <w:tcW w:w="482" w:type="pct"/>
                  <w:noWrap w:val="0"/>
                  <w:vAlign w:val="center"/>
                </w:tcPr>
                <w:p w14:paraId="1EB8FA93">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氨氮</w:t>
                  </w:r>
                </w:p>
              </w:tc>
              <w:tc>
                <w:tcPr>
                  <w:tcW w:w="472" w:type="pct"/>
                  <w:noWrap w:val="0"/>
                  <w:vAlign w:val="center"/>
                </w:tcPr>
                <w:p w14:paraId="30E2781B">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25</w:t>
                  </w:r>
                </w:p>
              </w:tc>
              <w:tc>
                <w:tcPr>
                  <w:tcW w:w="454" w:type="pct"/>
                  <w:noWrap w:val="0"/>
                  <w:vAlign w:val="center"/>
                </w:tcPr>
                <w:p w14:paraId="33FDE374">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0.003</w:t>
                  </w:r>
                </w:p>
              </w:tc>
              <w:tc>
                <w:tcPr>
                  <w:tcW w:w="344" w:type="pct"/>
                  <w:vMerge w:val="continue"/>
                  <w:noWrap w:val="0"/>
                  <w:vAlign w:val="center"/>
                </w:tcPr>
                <w:p w14:paraId="566A9F13">
                  <w:pPr>
                    <w:widowControl/>
                    <w:jc w:val="center"/>
                    <w:rPr>
                      <w:rFonts w:hint="default" w:ascii="Times New Roman" w:hAnsi="Times New Roman" w:eastAsia="宋体" w:cs="Times New Roman"/>
                      <w:smallCaps w:val="0"/>
                      <w:color w:val="auto"/>
                      <w:spacing w:val="0"/>
                      <w:kern w:val="0"/>
                      <w:position w:val="0"/>
                      <w:szCs w:val="21"/>
                    </w:rPr>
                  </w:pPr>
                </w:p>
              </w:tc>
            </w:tr>
            <w:tr w14:paraId="2052632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noWrap w:val="0"/>
                  <w:vAlign w:val="center"/>
                </w:tcPr>
                <w:p w14:paraId="041AED3A">
                  <w:pPr>
                    <w:widowControl/>
                    <w:jc w:val="center"/>
                    <w:rPr>
                      <w:rFonts w:hint="default" w:ascii="Times New Roman" w:hAnsi="Times New Roman" w:eastAsia="宋体" w:cs="Times New Roman"/>
                      <w:smallCaps w:val="0"/>
                      <w:color w:val="auto"/>
                      <w:spacing w:val="0"/>
                      <w:kern w:val="0"/>
                      <w:position w:val="0"/>
                      <w:szCs w:val="21"/>
                    </w:rPr>
                  </w:pPr>
                </w:p>
              </w:tc>
              <w:tc>
                <w:tcPr>
                  <w:tcW w:w="404" w:type="pct"/>
                  <w:vMerge w:val="continue"/>
                  <w:noWrap w:val="0"/>
                  <w:vAlign w:val="center"/>
                </w:tcPr>
                <w:p w14:paraId="5864828B">
                  <w:pPr>
                    <w:widowControl/>
                    <w:jc w:val="center"/>
                    <w:rPr>
                      <w:rFonts w:hint="default" w:ascii="Times New Roman" w:hAnsi="Times New Roman" w:eastAsia="宋体" w:cs="Times New Roman"/>
                      <w:smallCaps w:val="0"/>
                      <w:color w:val="auto"/>
                      <w:spacing w:val="0"/>
                      <w:kern w:val="0"/>
                      <w:position w:val="0"/>
                      <w:szCs w:val="21"/>
                    </w:rPr>
                  </w:pPr>
                </w:p>
              </w:tc>
              <w:tc>
                <w:tcPr>
                  <w:tcW w:w="465" w:type="pct"/>
                  <w:noWrap w:val="0"/>
                  <w:vAlign w:val="center"/>
                </w:tcPr>
                <w:p w14:paraId="56F22004">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总磷</w:t>
                  </w:r>
                </w:p>
              </w:tc>
              <w:tc>
                <w:tcPr>
                  <w:tcW w:w="465" w:type="pct"/>
                  <w:noWrap w:val="0"/>
                  <w:vAlign w:val="center"/>
                </w:tcPr>
                <w:p w14:paraId="3F6D573D">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3</w:t>
                  </w:r>
                </w:p>
              </w:tc>
              <w:tc>
                <w:tcPr>
                  <w:tcW w:w="454" w:type="pct"/>
                  <w:noWrap w:val="0"/>
                  <w:vAlign w:val="center"/>
                </w:tcPr>
                <w:p w14:paraId="38683F3B">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0.0004</w:t>
                  </w:r>
                </w:p>
              </w:tc>
              <w:tc>
                <w:tcPr>
                  <w:tcW w:w="530" w:type="pct"/>
                  <w:vMerge w:val="continue"/>
                  <w:noWrap w:val="0"/>
                  <w:vAlign w:val="center"/>
                </w:tcPr>
                <w:p w14:paraId="1ACC1004">
                  <w:pPr>
                    <w:widowControl/>
                    <w:jc w:val="center"/>
                    <w:rPr>
                      <w:rFonts w:hint="default" w:ascii="Times New Roman" w:hAnsi="Times New Roman" w:eastAsia="宋体" w:cs="Times New Roman"/>
                      <w:smallCaps w:val="0"/>
                      <w:color w:val="auto"/>
                      <w:spacing w:val="0"/>
                      <w:kern w:val="0"/>
                      <w:position w:val="0"/>
                      <w:szCs w:val="21"/>
                    </w:rPr>
                  </w:pPr>
                </w:p>
              </w:tc>
              <w:tc>
                <w:tcPr>
                  <w:tcW w:w="316" w:type="pct"/>
                  <w:vMerge w:val="continue"/>
                  <w:noWrap w:val="0"/>
                  <w:vAlign w:val="center"/>
                </w:tcPr>
                <w:p w14:paraId="31BE0323">
                  <w:pPr>
                    <w:widowControl/>
                    <w:jc w:val="center"/>
                    <w:rPr>
                      <w:rFonts w:hint="default" w:ascii="Times New Roman" w:hAnsi="Times New Roman" w:eastAsia="宋体" w:cs="Times New Roman"/>
                      <w:smallCaps w:val="0"/>
                      <w:color w:val="auto"/>
                      <w:spacing w:val="0"/>
                      <w:kern w:val="0"/>
                      <w:position w:val="0"/>
                      <w:szCs w:val="21"/>
                    </w:rPr>
                  </w:pPr>
                </w:p>
              </w:tc>
              <w:tc>
                <w:tcPr>
                  <w:tcW w:w="482" w:type="pct"/>
                  <w:noWrap w:val="0"/>
                  <w:vAlign w:val="center"/>
                </w:tcPr>
                <w:p w14:paraId="765FD1A6">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总磷</w:t>
                  </w:r>
                </w:p>
              </w:tc>
              <w:tc>
                <w:tcPr>
                  <w:tcW w:w="472" w:type="pct"/>
                  <w:noWrap w:val="0"/>
                  <w:vAlign w:val="center"/>
                </w:tcPr>
                <w:p w14:paraId="436CF1EA">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3</w:t>
                  </w:r>
                </w:p>
              </w:tc>
              <w:tc>
                <w:tcPr>
                  <w:tcW w:w="454" w:type="pct"/>
                  <w:noWrap w:val="0"/>
                  <w:vAlign w:val="center"/>
                </w:tcPr>
                <w:p w14:paraId="1FA74C62">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0.0004</w:t>
                  </w:r>
                </w:p>
              </w:tc>
              <w:tc>
                <w:tcPr>
                  <w:tcW w:w="344" w:type="pct"/>
                  <w:vMerge w:val="continue"/>
                  <w:noWrap w:val="0"/>
                  <w:vAlign w:val="center"/>
                </w:tcPr>
                <w:p w14:paraId="7E33FA5D">
                  <w:pPr>
                    <w:widowControl/>
                    <w:jc w:val="center"/>
                    <w:rPr>
                      <w:rFonts w:hint="default" w:ascii="Times New Roman" w:hAnsi="Times New Roman" w:eastAsia="宋体" w:cs="Times New Roman"/>
                      <w:smallCaps w:val="0"/>
                      <w:color w:val="auto"/>
                      <w:spacing w:val="0"/>
                      <w:kern w:val="0"/>
                      <w:position w:val="0"/>
                      <w:szCs w:val="21"/>
                    </w:rPr>
                  </w:pPr>
                </w:p>
              </w:tc>
            </w:tr>
            <w:tr w14:paraId="3D2063EE">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40" w:hRule="atLeast"/>
                <w:jc w:val="center"/>
              </w:trPr>
              <w:tc>
                <w:tcPr>
                  <w:tcW w:w="611" w:type="pct"/>
                  <w:vMerge w:val="continue"/>
                  <w:noWrap w:val="0"/>
                  <w:vAlign w:val="center"/>
                </w:tcPr>
                <w:p w14:paraId="7B614108">
                  <w:pPr>
                    <w:widowControl/>
                    <w:jc w:val="center"/>
                    <w:rPr>
                      <w:rFonts w:hint="default" w:ascii="Times New Roman" w:hAnsi="Times New Roman" w:eastAsia="宋体" w:cs="Times New Roman"/>
                      <w:smallCaps w:val="0"/>
                      <w:color w:val="auto"/>
                      <w:spacing w:val="0"/>
                      <w:kern w:val="0"/>
                      <w:position w:val="0"/>
                      <w:szCs w:val="21"/>
                    </w:rPr>
                  </w:pPr>
                </w:p>
              </w:tc>
              <w:tc>
                <w:tcPr>
                  <w:tcW w:w="404" w:type="pct"/>
                  <w:vMerge w:val="continue"/>
                  <w:noWrap w:val="0"/>
                  <w:vAlign w:val="center"/>
                </w:tcPr>
                <w:p w14:paraId="0AE9AAC8">
                  <w:pPr>
                    <w:widowControl/>
                    <w:jc w:val="center"/>
                    <w:rPr>
                      <w:rFonts w:hint="default" w:ascii="Times New Roman" w:hAnsi="Times New Roman" w:eastAsia="宋体" w:cs="Times New Roman"/>
                      <w:smallCaps w:val="0"/>
                      <w:color w:val="auto"/>
                      <w:spacing w:val="0"/>
                      <w:kern w:val="0"/>
                      <w:position w:val="0"/>
                      <w:szCs w:val="21"/>
                    </w:rPr>
                  </w:pPr>
                </w:p>
              </w:tc>
              <w:tc>
                <w:tcPr>
                  <w:tcW w:w="465" w:type="pct"/>
                  <w:noWrap w:val="0"/>
                  <w:vAlign w:val="center"/>
                </w:tcPr>
                <w:p w14:paraId="0AE3ABAA">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总氮</w:t>
                  </w:r>
                </w:p>
              </w:tc>
              <w:tc>
                <w:tcPr>
                  <w:tcW w:w="465" w:type="pct"/>
                  <w:noWrap w:val="0"/>
                  <w:vAlign w:val="center"/>
                </w:tcPr>
                <w:p w14:paraId="1A57A98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35</w:t>
                  </w:r>
                </w:p>
              </w:tc>
              <w:tc>
                <w:tcPr>
                  <w:tcW w:w="454" w:type="pct"/>
                  <w:noWrap w:val="0"/>
                  <w:vAlign w:val="center"/>
                </w:tcPr>
                <w:p w14:paraId="5A75300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0.0042</w:t>
                  </w:r>
                </w:p>
              </w:tc>
              <w:tc>
                <w:tcPr>
                  <w:tcW w:w="530" w:type="pct"/>
                  <w:vMerge w:val="continue"/>
                  <w:noWrap w:val="0"/>
                  <w:vAlign w:val="center"/>
                </w:tcPr>
                <w:p w14:paraId="2FA97CCD">
                  <w:pPr>
                    <w:widowControl/>
                    <w:jc w:val="center"/>
                    <w:rPr>
                      <w:rFonts w:hint="default" w:ascii="Times New Roman" w:hAnsi="Times New Roman" w:eastAsia="宋体" w:cs="Times New Roman"/>
                      <w:smallCaps w:val="0"/>
                      <w:color w:val="auto"/>
                      <w:spacing w:val="0"/>
                      <w:kern w:val="0"/>
                      <w:position w:val="0"/>
                      <w:szCs w:val="21"/>
                    </w:rPr>
                  </w:pPr>
                </w:p>
              </w:tc>
              <w:tc>
                <w:tcPr>
                  <w:tcW w:w="316" w:type="pct"/>
                  <w:vMerge w:val="continue"/>
                  <w:noWrap w:val="0"/>
                  <w:vAlign w:val="center"/>
                </w:tcPr>
                <w:p w14:paraId="2D8679E8">
                  <w:pPr>
                    <w:widowControl/>
                    <w:jc w:val="center"/>
                    <w:rPr>
                      <w:rFonts w:hint="default" w:ascii="Times New Roman" w:hAnsi="Times New Roman" w:eastAsia="宋体" w:cs="Times New Roman"/>
                      <w:smallCaps w:val="0"/>
                      <w:color w:val="auto"/>
                      <w:spacing w:val="0"/>
                      <w:kern w:val="0"/>
                      <w:position w:val="0"/>
                      <w:szCs w:val="21"/>
                    </w:rPr>
                  </w:pPr>
                </w:p>
              </w:tc>
              <w:tc>
                <w:tcPr>
                  <w:tcW w:w="482" w:type="pct"/>
                  <w:noWrap w:val="0"/>
                  <w:vAlign w:val="center"/>
                </w:tcPr>
                <w:p w14:paraId="49A0E86C">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总氮</w:t>
                  </w:r>
                </w:p>
              </w:tc>
              <w:tc>
                <w:tcPr>
                  <w:tcW w:w="472" w:type="pct"/>
                  <w:noWrap w:val="0"/>
                  <w:vAlign w:val="center"/>
                </w:tcPr>
                <w:p w14:paraId="168AA60E">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i w:val="0"/>
                      <w:iCs w:val="0"/>
                      <w:color w:val="auto"/>
                      <w:spacing w:val="0"/>
                      <w:kern w:val="0"/>
                      <w:position w:val="0"/>
                      <w:sz w:val="21"/>
                      <w:szCs w:val="21"/>
                      <w:u w:val="none"/>
                      <w:lang w:val="en-US" w:eastAsia="zh-CN" w:bidi="ar"/>
                    </w:rPr>
                    <w:t>35</w:t>
                  </w:r>
                </w:p>
              </w:tc>
              <w:tc>
                <w:tcPr>
                  <w:tcW w:w="454" w:type="pct"/>
                  <w:noWrap w:val="0"/>
                  <w:vAlign w:val="center"/>
                </w:tcPr>
                <w:p w14:paraId="164B449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0.0042</w:t>
                  </w:r>
                </w:p>
              </w:tc>
              <w:tc>
                <w:tcPr>
                  <w:tcW w:w="344" w:type="pct"/>
                  <w:vMerge w:val="continue"/>
                  <w:noWrap w:val="0"/>
                  <w:vAlign w:val="center"/>
                </w:tcPr>
                <w:p w14:paraId="05D4600C">
                  <w:pPr>
                    <w:widowControl/>
                    <w:jc w:val="center"/>
                    <w:rPr>
                      <w:rFonts w:hint="default" w:ascii="Times New Roman" w:hAnsi="Times New Roman" w:eastAsia="宋体" w:cs="Times New Roman"/>
                      <w:smallCaps w:val="0"/>
                      <w:color w:val="auto"/>
                      <w:spacing w:val="0"/>
                      <w:kern w:val="0"/>
                      <w:position w:val="0"/>
                      <w:szCs w:val="21"/>
                    </w:rPr>
                  </w:pPr>
                </w:p>
              </w:tc>
            </w:tr>
          </w:tbl>
          <w:p w14:paraId="6DFA460C">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ind w:left="0" w:leftChars="0" w:firstLine="0" w:firstLineChars="0"/>
              <w:textAlignment w:val="auto"/>
              <w:rPr>
                <w:rFonts w:hint="default" w:ascii="Times New Roman" w:hAnsi="Times New Roman" w:eastAsia="宋体" w:cs="Times New Roman"/>
                <w:smallCaps w:val="0"/>
                <w:color w:val="auto"/>
                <w:spacing w:val="0"/>
                <w:kern w:val="0"/>
                <w:position w:val="0"/>
                <w:lang w:eastAsia="zh-CN"/>
              </w:rPr>
            </w:pPr>
          </w:p>
        </w:tc>
      </w:tr>
    </w:tbl>
    <w:p w14:paraId="47A4624A">
      <w:pPr>
        <w:rPr>
          <w:rFonts w:hint="default" w:ascii="Times New Roman" w:hAnsi="Times New Roman" w:eastAsia="宋体" w:cs="Times New Roman"/>
          <w:smallCaps w:val="0"/>
          <w:color w:val="auto"/>
          <w:spacing w:val="0"/>
          <w:kern w:val="0"/>
          <w:position w:val="0"/>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17"/>
        <w:tblW w:w="48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323"/>
      </w:tblGrid>
      <w:tr w14:paraId="7350F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33" w:hRule="atLeast"/>
          <w:jc w:val="center"/>
        </w:trPr>
        <w:tc>
          <w:tcPr>
            <w:tcW w:w="450" w:type="dxa"/>
            <w:noWrap w:val="0"/>
            <w:vAlign w:val="center"/>
          </w:tcPr>
          <w:p w14:paraId="3FEDEFEE">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运营</w:t>
            </w:r>
          </w:p>
          <w:p w14:paraId="26D026FA">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期环</w:t>
            </w:r>
          </w:p>
          <w:p w14:paraId="33B3000A">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境影</w:t>
            </w:r>
          </w:p>
          <w:p w14:paraId="576DFBAD">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响和</w:t>
            </w:r>
          </w:p>
          <w:p w14:paraId="701D3FA8">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保护</w:t>
            </w:r>
          </w:p>
          <w:p w14:paraId="01E71C0C">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措施</w:t>
            </w:r>
          </w:p>
        </w:tc>
        <w:tc>
          <w:tcPr>
            <w:tcW w:w="8409" w:type="dxa"/>
            <w:noWrap w:val="0"/>
            <w:tcMar>
              <w:left w:w="28" w:type="dxa"/>
              <w:right w:w="28" w:type="dxa"/>
            </w:tcMar>
            <w:vAlign w:val="top"/>
          </w:tcPr>
          <w:p w14:paraId="3042D76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2.3水环境影响分析</w:t>
            </w:r>
          </w:p>
          <w:p w14:paraId="57DD427E">
            <w:pPr>
              <w:pStyle w:val="10"/>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金坛第二污水处理厂建设规模为6万m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/d。污水处理主体工艺：改良A/O生化处理工艺+微砂高效沉淀池+砂滤池，尾水排放口设置在尧塘河。</w:t>
            </w:r>
          </w:p>
          <w:p w14:paraId="60C7B4DD">
            <w:pPr>
              <w:pStyle w:val="10"/>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本项目位于</w:t>
            </w:r>
            <w:r>
              <w:rPr>
                <w:rFonts w:hint="default" w:ascii="Times New Roman" w:hAnsi="Times New Roman" w:eastAsia="宋体" w:cs="Times New Roman"/>
                <w:smallCaps w:val="0"/>
                <w:color w:val="auto"/>
                <w:spacing w:val="0"/>
                <w:kern w:val="0"/>
                <w:position w:val="0"/>
                <w:sz w:val="24"/>
                <w:lang w:eastAsia="zh-CN"/>
              </w:rPr>
              <w:t>江苏省金坛经济开发区汇福路8号</w:t>
            </w:r>
            <w:r>
              <w:rPr>
                <w:rFonts w:hint="default" w:ascii="Times New Roman" w:hAnsi="Times New Roman" w:eastAsia="宋体" w:cs="Times New Roman"/>
                <w:smallCaps w:val="0"/>
                <w:color w:val="auto"/>
                <w:spacing w:val="0"/>
                <w:kern w:val="0"/>
                <w:position w:val="0"/>
                <w:sz w:val="24"/>
              </w:rPr>
              <w:t>，项目所在区域污水管网已完善，污水管网已接通。</w:t>
            </w:r>
          </w:p>
          <w:p w14:paraId="700625D1">
            <w:pPr>
              <w:pStyle w:val="10"/>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污水接管水量可行性：本项目接管废水主要为生活污水，废水量为</w:t>
            </w:r>
            <w:r>
              <w:rPr>
                <w:rFonts w:hint="default" w:ascii="Times New Roman" w:hAnsi="Times New Roman" w:eastAsia="宋体" w:cs="Times New Roman"/>
                <w:smallCaps w:val="0"/>
                <w:color w:val="auto"/>
                <w:spacing w:val="0"/>
                <w:kern w:val="0"/>
                <w:position w:val="0"/>
                <w:sz w:val="24"/>
                <w:lang w:val="en-US" w:eastAsia="zh-CN"/>
              </w:rPr>
              <w:t>120</w:t>
            </w:r>
            <w:r>
              <w:rPr>
                <w:rFonts w:hint="default" w:ascii="Times New Roman" w:hAnsi="Times New Roman" w:eastAsia="宋体" w:cs="Times New Roman"/>
                <w:smallCaps w:val="0"/>
                <w:color w:val="auto"/>
                <w:spacing w:val="0"/>
                <w:kern w:val="0"/>
                <w:position w:val="0"/>
                <w:sz w:val="24"/>
              </w:rPr>
              <w:t>t/a（约</w:t>
            </w:r>
            <w:r>
              <w:rPr>
                <w:rFonts w:hint="default" w:ascii="Times New Roman" w:hAnsi="Times New Roman" w:eastAsia="宋体" w:cs="Times New Roman"/>
                <w:smallCaps w:val="0"/>
                <w:color w:val="auto"/>
                <w:spacing w:val="0"/>
                <w:kern w:val="0"/>
                <w:position w:val="0"/>
                <w:sz w:val="24"/>
                <w:lang w:val="en-US" w:eastAsia="zh-CN"/>
              </w:rPr>
              <w:t>0.4</w:t>
            </w:r>
            <w:r>
              <w:rPr>
                <w:rFonts w:hint="default" w:ascii="Times New Roman" w:hAnsi="Times New Roman" w:eastAsia="宋体" w:cs="Times New Roman"/>
                <w:smallCaps w:val="0"/>
                <w:color w:val="auto"/>
                <w:spacing w:val="0"/>
                <w:kern w:val="0"/>
                <w:position w:val="0"/>
                <w:sz w:val="24"/>
              </w:rPr>
              <w:t>t/d），金坛第二污水处理厂总的污水处理能力是6万m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/d，根据金坛第二污水处理厂提供的统计资料，目前，金坛第二污水处理厂总的实际接管水量约5.5万m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/d，尚余0.5万m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/d，本项目新增接管废水总量约</w:t>
            </w:r>
            <w:r>
              <w:rPr>
                <w:rFonts w:hint="default" w:ascii="Times New Roman" w:hAnsi="Times New Roman" w:eastAsia="宋体" w:cs="Times New Roman"/>
                <w:smallCaps w:val="0"/>
                <w:color w:val="auto"/>
                <w:spacing w:val="0"/>
                <w:kern w:val="0"/>
                <w:position w:val="0"/>
                <w:sz w:val="24"/>
                <w:lang w:val="en-US" w:eastAsia="zh-CN"/>
              </w:rPr>
              <w:t>0.4</w:t>
            </w:r>
            <w:r>
              <w:rPr>
                <w:rFonts w:hint="default" w:ascii="Times New Roman" w:hAnsi="Times New Roman" w:eastAsia="宋体" w:cs="Times New Roman"/>
                <w:smallCaps w:val="0"/>
                <w:color w:val="auto"/>
                <w:spacing w:val="0"/>
                <w:kern w:val="0"/>
                <w:position w:val="0"/>
                <w:sz w:val="24"/>
              </w:rPr>
              <w:t>m</w:t>
            </w:r>
            <w:r>
              <w:rPr>
                <w:rFonts w:hint="default" w:ascii="Times New Roman" w:hAnsi="Times New Roman" w:eastAsia="宋体" w:cs="Times New Roman"/>
                <w:smallCaps w:val="0"/>
                <w:color w:val="auto"/>
                <w:spacing w:val="0"/>
                <w:kern w:val="0"/>
                <w:position w:val="0"/>
                <w:sz w:val="24"/>
                <w:vertAlign w:val="superscript"/>
              </w:rPr>
              <w:t>3</w:t>
            </w:r>
            <w:r>
              <w:rPr>
                <w:rFonts w:hint="default" w:ascii="Times New Roman" w:hAnsi="Times New Roman" w:eastAsia="宋体" w:cs="Times New Roman"/>
                <w:smallCaps w:val="0"/>
                <w:color w:val="auto"/>
                <w:spacing w:val="0"/>
                <w:kern w:val="0"/>
                <w:position w:val="0"/>
                <w:sz w:val="24"/>
              </w:rPr>
              <w:t>/d，金坛第二污水处理厂尚有余量接纳本项目产生的废水，因此，接管水量可行。</w:t>
            </w:r>
          </w:p>
          <w:p w14:paraId="114927BD">
            <w:pPr>
              <w:pStyle w:val="10"/>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污水接管水质可行性：本项目水污染物的排放浓度为：pH值：6-9、COD：400mg/L、SS：2</w:t>
            </w:r>
            <w:r>
              <w:rPr>
                <w:rFonts w:hint="default" w:ascii="Times New Roman" w:hAnsi="Times New Roman" w:eastAsia="宋体" w:cs="Times New Roman"/>
                <w:smallCaps w:val="0"/>
                <w:color w:val="auto"/>
                <w:spacing w:val="0"/>
                <w:kern w:val="0"/>
                <w:position w:val="0"/>
                <w:sz w:val="24"/>
                <w:lang w:val="en-US" w:eastAsia="zh-CN"/>
              </w:rPr>
              <w:t>5</w:t>
            </w:r>
            <w:r>
              <w:rPr>
                <w:rFonts w:hint="default" w:ascii="Times New Roman" w:hAnsi="Times New Roman" w:eastAsia="宋体" w:cs="Times New Roman"/>
                <w:smallCaps w:val="0"/>
                <w:color w:val="auto"/>
                <w:spacing w:val="0"/>
                <w:kern w:val="0"/>
                <w:position w:val="0"/>
                <w:sz w:val="24"/>
              </w:rPr>
              <w:t>0mg/L、NH</w:t>
            </w:r>
            <w:r>
              <w:rPr>
                <w:rFonts w:hint="default" w:ascii="Times New Roman" w:hAnsi="Times New Roman" w:eastAsia="宋体" w:cs="Times New Roman"/>
                <w:smallCaps w:val="0"/>
                <w:color w:val="auto"/>
                <w:spacing w:val="0"/>
                <w:kern w:val="0"/>
                <w:position w:val="0"/>
                <w:sz w:val="24"/>
                <w:vertAlign w:val="subscript"/>
              </w:rPr>
              <w:t>3</w:t>
            </w:r>
            <w:r>
              <w:rPr>
                <w:rFonts w:hint="default" w:ascii="Times New Roman" w:hAnsi="Times New Roman" w:eastAsia="宋体" w:cs="Times New Roman"/>
                <w:smallCaps w:val="0"/>
                <w:color w:val="auto"/>
                <w:spacing w:val="0"/>
                <w:kern w:val="0"/>
                <w:position w:val="0"/>
                <w:sz w:val="24"/>
              </w:rPr>
              <w:t>-N：25mg/L、TP：2.5mg/L、TN：35mg/L，污水处理厂的接管标准为：COD：500mg/L，SS：250mg/L，NH</w:t>
            </w:r>
            <w:r>
              <w:rPr>
                <w:rFonts w:hint="default" w:ascii="Times New Roman" w:hAnsi="Times New Roman" w:eastAsia="宋体" w:cs="Times New Roman"/>
                <w:smallCaps w:val="0"/>
                <w:color w:val="auto"/>
                <w:spacing w:val="0"/>
                <w:kern w:val="0"/>
                <w:position w:val="0"/>
                <w:sz w:val="24"/>
                <w:vertAlign w:val="subscript"/>
              </w:rPr>
              <w:t>3</w:t>
            </w:r>
            <w:r>
              <w:rPr>
                <w:rFonts w:hint="default" w:ascii="Times New Roman" w:hAnsi="Times New Roman" w:eastAsia="宋体" w:cs="Times New Roman"/>
                <w:smallCaps w:val="0"/>
                <w:color w:val="auto"/>
                <w:spacing w:val="0"/>
                <w:kern w:val="0"/>
                <w:position w:val="0"/>
                <w:sz w:val="24"/>
              </w:rPr>
              <w:t>-N：35mg/L，TP：3mg/L，TN：50mg/L，本项目污水水质满足接管要求，接管可行。</w:t>
            </w:r>
          </w:p>
          <w:p w14:paraId="5FFC54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综上所述，本项目地表水环境影响可接受</w:t>
            </w:r>
            <w:r>
              <w:rPr>
                <w:rFonts w:hint="default" w:ascii="Times New Roman" w:hAnsi="Times New Roman" w:eastAsia="宋体" w:cs="Times New Roman"/>
                <w:bCs/>
                <w:smallCaps w:val="0"/>
                <w:color w:val="auto"/>
                <w:spacing w:val="0"/>
                <w:kern w:val="0"/>
                <w:position w:val="0"/>
                <w:sz w:val="24"/>
                <w:szCs w:val="24"/>
              </w:rPr>
              <w:t>。</w:t>
            </w:r>
          </w:p>
          <w:p w14:paraId="510FD7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szCs w:val="24"/>
              </w:rPr>
            </w:pPr>
            <w:r>
              <w:rPr>
                <w:rFonts w:hint="default" w:ascii="Times New Roman" w:hAnsi="Times New Roman" w:eastAsia="宋体" w:cs="Times New Roman"/>
                <w:b/>
                <w:bCs/>
                <w:smallCaps w:val="0"/>
                <w:color w:val="auto"/>
                <w:spacing w:val="0"/>
                <w:kern w:val="0"/>
                <w:position w:val="0"/>
                <w:sz w:val="24"/>
                <w:szCs w:val="24"/>
              </w:rPr>
              <w:t>2.4废水监测计划</w:t>
            </w:r>
          </w:p>
          <w:p w14:paraId="52B6131A">
            <w:pPr>
              <w:pStyle w:val="25"/>
              <w:keepNext w:val="0"/>
              <w:keepLines w:val="0"/>
              <w:pageBreakBefore w:val="0"/>
              <w:kinsoku/>
              <w:wordWrap/>
              <w:overflowPunct/>
              <w:topLinePunct w:val="0"/>
              <w:bidi w:val="0"/>
              <w:adjustRightInd w:val="0"/>
              <w:snapToGrid w:val="0"/>
              <w:spacing w:before="0" w:beforeLines="0" w:after="0" w:afterLines="0" w:line="440" w:lineRule="exact"/>
              <w:ind w:firstLine="420"/>
              <w:textAlignment w:val="auto"/>
              <w:rPr>
                <w:rFonts w:hint="default" w:ascii="Times New Roman" w:hAnsi="Times New Roman" w:eastAsia="宋体" w:cs="Times New Roman"/>
                <w:smallCaps w:val="0"/>
                <w:snapToGrid w:val="0"/>
                <w:color w:val="auto"/>
                <w:spacing w:val="0"/>
                <w:kern w:val="0"/>
                <w:position w:val="0"/>
                <w:sz w:val="24"/>
                <w:szCs w:val="24"/>
              </w:rPr>
            </w:pPr>
            <w:r>
              <w:rPr>
                <w:rFonts w:hint="default" w:ascii="Times New Roman" w:hAnsi="Times New Roman" w:eastAsia="宋体" w:cs="Times New Roman"/>
                <w:smallCaps w:val="0"/>
                <w:snapToGrid w:val="0"/>
                <w:color w:val="auto"/>
                <w:spacing w:val="0"/>
                <w:kern w:val="0"/>
                <w:position w:val="0"/>
                <w:sz w:val="24"/>
                <w:szCs w:val="24"/>
              </w:rPr>
              <w:t>本项目环境监测计划参照《排污单位自行监测技术指南总则》（HJ819-2017）</w:t>
            </w:r>
            <w:r>
              <w:rPr>
                <w:rFonts w:hint="default" w:ascii="Times New Roman" w:hAnsi="Times New Roman" w:eastAsia="宋体" w:cs="Times New Roman"/>
                <w:smallCaps w:val="0"/>
                <w:snapToGrid w:val="0"/>
                <w:color w:val="auto"/>
                <w:spacing w:val="0"/>
                <w:kern w:val="0"/>
                <w:position w:val="0"/>
                <w:sz w:val="24"/>
                <w:szCs w:val="24"/>
                <w:lang w:val="en-US" w:eastAsia="zh-CN"/>
              </w:rPr>
              <w:t>和《排污许可证申请与核发技术规范印刷工业（HJ1066-2019）》</w:t>
            </w:r>
            <w:r>
              <w:rPr>
                <w:rFonts w:hint="default" w:ascii="Times New Roman" w:hAnsi="Times New Roman" w:eastAsia="宋体" w:cs="Times New Roman"/>
                <w:smallCaps w:val="0"/>
                <w:snapToGrid w:val="0"/>
                <w:color w:val="auto"/>
                <w:spacing w:val="0"/>
                <w:kern w:val="0"/>
                <w:position w:val="0"/>
                <w:sz w:val="24"/>
                <w:szCs w:val="24"/>
              </w:rPr>
              <w:t>，</w:t>
            </w:r>
            <w:r>
              <w:rPr>
                <w:rFonts w:hint="default" w:ascii="Times New Roman" w:hAnsi="Times New Roman" w:eastAsia="宋体" w:cs="Times New Roman"/>
                <w:smallCaps w:val="0"/>
                <w:snapToGrid w:val="0"/>
                <w:color w:val="auto"/>
                <w:spacing w:val="0"/>
                <w:kern w:val="0"/>
                <w:position w:val="0"/>
                <w:sz w:val="24"/>
                <w:szCs w:val="24"/>
                <w:lang w:val="en-US" w:eastAsia="zh-CN"/>
              </w:rPr>
              <w:t>废水</w:t>
            </w:r>
            <w:r>
              <w:rPr>
                <w:rFonts w:hint="default" w:ascii="Times New Roman" w:hAnsi="Times New Roman" w:eastAsia="宋体" w:cs="Times New Roman"/>
                <w:smallCaps w:val="0"/>
                <w:snapToGrid w:val="0"/>
                <w:color w:val="auto"/>
                <w:spacing w:val="0"/>
                <w:kern w:val="0"/>
                <w:position w:val="0"/>
                <w:sz w:val="24"/>
                <w:szCs w:val="24"/>
              </w:rPr>
              <w:t>污染物自行监测计划见下表。</w:t>
            </w:r>
          </w:p>
          <w:p w14:paraId="6A61C706">
            <w:pPr>
              <w:keepNext w:val="0"/>
              <w:keepLines w:val="0"/>
              <w:pageBreakBefore w:val="0"/>
              <w:widowControl w:val="0"/>
              <w:tabs>
                <w:tab w:val="left" w:pos="166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smallCaps w:val="0"/>
                <w:color w:val="auto"/>
                <w:spacing w:val="0"/>
                <w:kern w:val="0"/>
                <w:position w:val="0"/>
                <w:sz w:val="21"/>
                <w:szCs w:val="22"/>
              </w:rPr>
            </w:pPr>
            <w:r>
              <w:rPr>
                <w:rFonts w:hint="default" w:ascii="Times New Roman" w:hAnsi="Times New Roman" w:eastAsia="宋体" w:cs="Times New Roman"/>
                <w:b/>
                <w:smallCaps w:val="0"/>
                <w:color w:val="auto"/>
                <w:spacing w:val="0"/>
                <w:kern w:val="0"/>
                <w:position w:val="0"/>
                <w:sz w:val="21"/>
                <w:szCs w:val="22"/>
              </w:rPr>
              <w:t>表4-</w:t>
            </w:r>
            <w:r>
              <w:rPr>
                <w:rFonts w:hint="default" w:ascii="Times New Roman" w:hAnsi="Times New Roman" w:eastAsia="宋体" w:cs="Times New Roman"/>
                <w:b/>
                <w:smallCaps w:val="0"/>
                <w:color w:val="auto"/>
                <w:spacing w:val="0"/>
                <w:kern w:val="0"/>
                <w:position w:val="0"/>
                <w:sz w:val="21"/>
                <w:szCs w:val="22"/>
                <w:lang w:val="en-US" w:eastAsia="zh-CN"/>
              </w:rPr>
              <w:t>10</w:t>
            </w:r>
            <w:r>
              <w:rPr>
                <w:rFonts w:hint="default" w:ascii="Times New Roman" w:hAnsi="Times New Roman" w:eastAsia="宋体" w:cs="Times New Roman"/>
                <w:b/>
                <w:smallCaps w:val="0"/>
                <w:color w:val="auto"/>
                <w:spacing w:val="0"/>
                <w:kern w:val="0"/>
                <w:position w:val="0"/>
                <w:sz w:val="21"/>
                <w:szCs w:val="22"/>
              </w:rPr>
              <w:t>本项目自行监测计划表</w:t>
            </w:r>
          </w:p>
          <w:tbl>
            <w:tblPr>
              <w:tblStyle w:val="17"/>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350"/>
              <w:gridCol w:w="1961"/>
              <w:gridCol w:w="3081"/>
              <w:gridCol w:w="1212"/>
            </w:tblGrid>
            <w:tr w14:paraId="0BFAD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noWrap w:val="0"/>
                  <w:vAlign w:val="center"/>
                </w:tcPr>
                <w:p w14:paraId="34D61230">
                  <w:pPr>
                    <w:pStyle w:val="40"/>
                    <w:adjustRightInd w:val="0"/>
                    <w:snapToGrid w:val="0"/>
                    <w:spacing w:line="240" w:lineRule="auto"/>
                    <w:ind w:firstLine="0" w:firstLineChars="0"/>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类别</w:t>
                  </w:r>
                </w:p>
              </w:tc>
              <w:tc>
                <w:tcPr>
                  <w:tcW w:w="822" w:type="pct"/>
                  <w:noWrap w:val="0"/>
                  <w:vAlign w:val="center"/>
                </w:tcPr>
                <w:p w14:paraId="1A08AD4E">
                  <w:pPr>
                    <w:pStyle w:val="40"/>
                    <w:adjustRightInd w:val="0"/>
                    <w:snapToGrid w:val="0"/>
                    <w:spacing w:line="240" w:lineRule="auto"/>
                    <w:ind w:firstLine="0" w:firstLineChars="0"/>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监测位置</w:t>
                  </w:r>
                </w:p>
              </w:tc>
              <w:tc>
                <w:tcPr>
                  <w:tcW w:w="1194" w:type="pct"/>
                  <w:noWrap w:val="0"/>
                  <w:vAlign w:val="center"/>
                </w:tcPr>
                <w:p w14:paraId="456FF8EE">
                  <w:pPr>
                    <w:pStyle w:val="40"/>
                    <w:adjustRightInd w:val="0"/>
                    <w:snapToGrid w:val="0"/>
                    <w:spacing w:line="240" w:lineRule="auto"/>
                    <w:ind w:firstLine="0" w:firstLineChars="0"/>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监测项目</w:t>
                  </w:r>
                </w:p>
              </w:tc>
              <w:tc>
                <w:tcPr>
                  <w:tcW w:w="1876" w:type="pct"/>
                  <w:noWrap w:val="0"/>
                  <w:vAlign w:val="center"/>
                </w:tcPr>
                <w:p w14:paraId="55FD59CE">
                  <w:pPr>
                    <w:pStyle w:val="40"/>
                    <w:adjustRightInd w:val="0"/>
                    <w:snapToGrid w:val="0"/>
                    <w:spacing w:line="240" w:lineRule="auto"/>
                    <w:ind w:firstLine="0" w:firstLineChars="0"/>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执行排放标准</w:t>
                  </w:r>
                </w:p>
              </w:tc>
              <w:tc>
                <w:tcPr>
                  <w:tcW w:w="738" w:type="pct"/>
                  <w:noWrap w:val="0"/>
                  <w:vAlign w:val="center"/>
                </w:tcPr>
                <w:p w14:paraId="68BA159E">
                  <w:pPr>
                    <w:pStyle w:val="40"/>
                    <w:adjustRightInd w:val="0"/>
                    <w:snapToGrid w:val="0"/>
                    <w:spacing w:line="240" w:lineRule="auto"/>
                    <w:ind w:firstLine="0" w:firstLineChars="0"/>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监测频率</w:t>
                  </w:r>
                </w:p>
              </w:tc>
            </w:tr>
            <w:tr w14:paraId="5CF8D0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pct"/>
                  <w:noWrap w:val="0"/>
                  <w:vAlign w:val="center"/>
                </w:tcPr>
                <w:p w14:paraId="12DE7E3C">
                  <w:pPr>
                    <w:pStyle w:val="40"/>
                    <w:adjustRightInd w:val="0"/>
                    <w:snapToGrid w:val="0"/>
                    <w:spacing w:line="240" w:lineRule="auto"/>
                    <w:ind w:firstLine="0" w:firstLineChars="0"/>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废水</w:t>
                  </w:r>
                </w:p>
              </w:tc>
              <w:tc>
                <w:tcPr>
                  <w:tcW w:w="822" w:type="pct"/>
                  <w:noWrap w:val="0"/>
                  <w:vAlign w:val="center"/>
                </w:tcPr>
                <w:p w14:paraId="46C264FC">
                  <w:pPr>
                    <w:pStyle w:val="40"/>
                    <w:adjustRightInd w:val="0"/>
                    <w:snapToGrid w:val="0"/>
                    <w:spacing w:line="240" w:lineRule="auto"/>
                    <w:ind w:firstLine="0" w:firstLineChars="0"/>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DW001</w:t>
                  </w:r>
                </w:p>
              </w:tc>
              <w:tc>
                <w:tcPr>
                  <w:tcW w:w="1194" w:type="pct"/>
                  <w:noWrap w:val="0"/>
                  <w:vAlign w:val="center"/>
                </w:tcPr>
                <w:p w14:paraId="22E62A42">
                  <w:pPr>
                    <w:pStyle w:val="40"/>
                    <w:adjustRightInd w:val="0"/>
                    <w:snapToGrid w:val="0"/>
                    <w:spacing w:line="240" w:lineRule="auto"/>
                    <w:ind w:firstLine="0" w:firstLineChars="0"/>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pH、COD、SS、氨氮、TP、TN</w:t>
                  </w:r>
                </w:p>
              </w:tc>
              <w:tc>
                <w:tcPr>
                  <w:tcW w:w="1876" w:type="pct"/>
                  <w:noWrap w:val="0"/>
                  <w:vAlign w:val="center"/>
                </w:tcPr>
                <w:p w14:paraId="3A404147">
                  <w:pPr>
                    <w:pStyle w:val="40"/>
                    <w:adjustRightInd w:val="0"/>
                    <w:snapToGrid w:val="0"/>
                    <w:spacing w:line="240" w:lineRule="auto"/>
                    <w:ind w:firstLine="0" w:firstLineChars="0"/>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金坛第二污水处理厂接管标准</w:t>
                  </w:r>
                </w:p>
              </w:tc>
              <w:tc>
                <w:tcPr>
                  <w:tcW w:w="738" w:type="pct"/>
                  <w:noWrap w:val="0"/>
                  <w:vAlign w:val="center"/>
                </w:tcPr>
                <w:p w14:paraId="5D756659">
                  <w:pPr>
                    <w:pStyle w:val="40"/>
                    <w:adjustRightInd w:val="0"/>
                    <w:snapToGrid w:val="0"/>
                    <w:spacing w:line="240" w:lineRule="auto"/>
                    <w:ind w:firstLine="0" w:firstLineChars="0"/>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一年一次</w:t>
                  </w:r>
                </w:p>
              </w:tc>
            </w:tr>
          </w:tbl>
          <w:p w14:paraId="284D5590">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smallCaps w:val="0"/>
                <w:color w:val="auto"/>
                <w:spacing w:val="0"/>
                <w:kern w:val="0"/>
                <w:position w:val="0"/>
              </w:rPr>
            </w:pPr>
            <w:r>
              <w:rPr>
                <w:rFonts w:hint="default" w:ascii="Times New Roman" w:hAnsi="Times New Roman" w:eastAsia="宋体" w:cs="Times New Roman"/>
                <w:b/>
                <w:smallCaps w:val="0"/>
                <w:color w:val="auto"/>
                <w:spacing w:val="0"/>
                <w:kern w:val="0"/>
                <w:position w:val="0"/>
              </w:rPr>
              <w:t>3、噪声</w:t>
            </w:r>
          </w:p>
          <w:p w14:paraId="12A95A70">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3.1污染物产生情况</w:t>
            </w:r>
          </w:p>
          <w:p w14:paraId="57E3A20E">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smallCaps w:val="0"/>
                <w:color w:val="auto"/>
                <w:spacing w:val="0"/>
                <w:kern w:val="0"/>
                <w:position w:val="0"/>
              </w:rPr>
              <w:t>项目噪声源主要为生产设备的作业噪声，类比同类加工项目，本项目噪声源情况见下表。采取的主要噪声治理措施：主要噪声设备安装减震垫，合理布局，厂房隔声等，综合降噪能力不低于25dB(A)。</w:t>
            </w:r>
            <w:r>
              <w:rPr>
                <w:rFonts w:hint="default" w:ascii="Times New Roman" w:hAnsi="Times New Roman" w:eastAsia="宋体" w:cs="Times New Roman"/>
                <w:smallCaps w:val="0"/>
                <w:color w:val="auto"/>
                <w:spacing w:val="0"/>
                <w:kern w:val="0"/>
                <w:position w:val="0"/>
                <w:lang w:val="en-US" w:eastAsia="zh-CN"/>
              </w:rPr>
              <w:t>设备主要噪声源见下表。</w:t>
            </w:r>
          </w:p>
          <w:p w14:paraId="6DDDD9A4">
            <w:pPr>
              <w:rPr>
                <w:rFonts w:hint="default" w:ascii="Times New Roman" w:hAnsi="Times New Roman" w:eastAsia="宋体" w:cs="Times New Roman"/>
                <w:smallCaps w:val="0"/>
                <w:color w:val="auto"/>
                <w:spacing w:val="0"/>
                <w:kern w:val="0"/>
                <w:position w:val="0"/>
              </w:rPr>
            </w:pPr>
          </w:p>
        </w:tc>
      </w:tr>
    </w:tbl>
    <w:p w14:paraId="4C75E1B4">
      <w:pPr>
        <w:adjustRightInd w:val="0"/>
        <w:snapToGrid w:val="0"/>
        <w:spacing w:before="60" w:after="60" w:line="360" w:lineRule="auto"/>
        <w:ind w:firstLine="582"/>
        <w:rPr>
          <w:rFonts w:hint="default" w:ascii="Times New Roman" w:hAnsi="Times New Roman" w:eastAsia="宋体" w:cs="Times New Roman"/>
          <w:b/>
          <w:smallCaps w:val="0"/>
          <w:color w:val="auto"/>
          <w:spacing w:val="0"/>
          <w:kern w:val="0"/>
          <w:positio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8"/>
        <w:tblW w:w="4998"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Layout w:type="autofit"/>
        <w:tblCellMar>
          <w:top w:w="0" w:type="dxa"/>
          <w:left w:w="108" w:type="dxa"/>
          <w:bottom w:w="0" w:type="dxa"/>
          <w:right w:w="108" w:type="dxa"/>
        </w:tblCellMar>
      </w:tblPr>
      <w:tblGrid>
        <w:gridCol w:w="505"/>
        <w:gridCol w:w="12718"/>
      </w:tblGrid>
      <w:tr w14:paraId="31E477BF">
        <w:tblPrEx>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CellMar>
            <w:top w:w="0" w:type="dxa"/>
            <w:left w:w="108" w:type="dxa"/>
            <w:bottom w:w="0" w:type="dxa"/>
            <w:right w:w="108" w:type="dxa"/>
          </w:tblCellMar>
        </w:tblPrEx>
        <w:tc>
          <w:tcPr>
            <w:tcW w:w="191" w:type="pct"/>
            <w:tcBorders>
              <w:tl2br w:val="nil"/>
              <w:tr2bl w:val="nil"/>
            </w:tcBorders>
            <w:noWrap w:val="0"/>
            <w:vAlign w:val="center"/>
          </w:tcPr>
          <w:p w14:paraId="2A282E0D">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运营</w:t>
            </w:r>
          </w:p>
          <w:p w14:paraId="39F9536B">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期环</w:t>
            </w:r>
          </w:p>
          <w:p w14:paraId="0E2362C8">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境影</w:t>
            </w:r>
          </w:p>
          <w:p w14:paraId="4724BC66">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响和</w:t>
            </w:r>
          </w:p>
          <w:p w14:paraId="44510949">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保护</w:t>
            </w:r>
          </w:p>
          <w:p w14:paraId="3289B9F5">
            <w:pPr>
              <w:pStyle w:val="16"/>
              <w:adjustRightInd w:val="0"/>
              <w:snapToGrid w:val="0"/>
              <w:spacing w:before="0" w:beforeAutospacing="0" w:after="0" w:afterAutospacing="0"/>
              <w:jc w:val="center"/>
              <w:rPr>
                <w:rFonts w:hint="default" w:ascii="Times New Roman" w:hAnsi="Times New Roman" w:eastAsia="宋体" w:cs="Times New Roman"/>
                <w:b/>
                <w:smallCaps w:val="0"/>
                <w:color w:val="auto"/>
                <w:spacing w:val="0"/>
                <w:kern w:val="0"/>
                <w:position w:val="0"/>
                <w:sz w:val="28"/>
                <w:szCs w:val="28"/>
                <w:vertAlign w:val="baseline"/>
              </w:rPr>
            </w:pPr>
            <w:r>
              <w:rPr>
                <w:rFonts w:hint="default" w:ascii="Times New Roman" w:hAnsi="Times New Roman" w:eastAsia="宋体" w:cs="Times New Roman"/>
                <w:b/>
                <w:bCs/>
                <w:smallCaps w:val="0"/>
                <w:color w:val="auto"/>
                <w:spacing w:val="0"/>
                <w:kern w:val="0"/>
                <w:position w:val="0"/>
                <w:szCs w:val="24"/>
              </w:rPr>
              <w:t>措施</w:t>
            </w:r>
          </w:p>
        </w:tc>
        <w:tc>
          <w:tcPr>
            <w:tcW w:w="4808" w:type="pct"/>
            <w:tcBorders>
              <w:tl2br w:val="nil"/>
              <w:tr2bl w:val="nil"/>
            </w:tcBorders>
            <w:noWrap w:val="0"/>
            <w:vAlign w:val="top"/>
          </w:tcPr>
          <w:p w14:paraId="2DF9A907">
            <w:pPr>
              <w:keepNext w:val="0"/>
              <w:keepLines w:val="0"/>
              <w:pageBreakBefore w:val="0"/>
              <w:widowControl w:val="0"/>
              <w:tabs>
                <w:tab w:val="left" w:pos="166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smallCaps w:val="0"/>
                <w:color w:val="auto"/>
                <w:spacing w:val="0"/>
                <w:kern w:val="0"/>
                <w:position w:val="0"/>
                <w:sz w:val="21"/>
                <w:szCs w:val="22"/>
              </w:rPr>
            </w:pPr>
            <w:r>
              <w:rPr>
                <w:rFonts w:hint="default" w:ascii="Times New Roman" w:hAnsi="Times New Roman" w:eastAsia="宋体" w:cs="Times New Roman"/>
                <w:b/>
                <w:smallCaps w:val="0"/>
                <w:color w:val="auto"/>
                <w:spacing w:val="0"/>
                <w:kern w:val="0"/>
                <w:position w:val="0"/>
                <w:sz w:val="21"/>
                <w:szCs w:val="22"/>
              </w:rPr>
              <w:t>表4-</w:t>
            </w:r>
            <w:r>
              <w:rPr>
                <w:rFonts w:hint="default" w:ascii="Times New Roman" w:hAnsi="Times New Roman" w:eastAsia="宋体" w:cs="Times New Roman"/>
                <w:b/>
                <w:smallCaps w:val="0"/>
                <w:color w:val="auto"/>
                <w:spacing w:val="0"/>
                <w:kern w:val="0"/>
                <w:position w:val="0"/>
                <w:sz w:val="21"/>
                <w:szCs w:val="22"/>
                <w:lang w:val="en-US" w:eastAsia="zh-CN"/>
              </w:rPr>
              <w:t>11项目主要噪声源强调查清单（室内声源）</w:t>
            </w:r>
            <w:r>
              <w:rPr>
                <w:rFonts w:hint="default" w:ascii="Times New Roman" w:hAnsi="Times New Roman" w:eastAsia="宋体" w:cs="Times New Roman"/>
                <w:b/>
                <w:smallCaps w:val="0"/>
                <w:color w:val="auto"/>
                <w:spacing w:val="0"/>
                <w:kern w:val="0"/>
                <w:position w:val="0"/>
                <w:sz w:val="21"/>
                <w:szCs w:val="22"/>
              </w:rPr>
              <w:t>单位：dB（A）</w:t>
            </w:r>
          </w:p>
          <w:tbl>
            <w:tblPr>
              <w:tblStyle w:val="17"/>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0"/>
              <w:gridCol w:w="620"/>
              <w:gridCol w:w="782"/>
              <w:gridCol w:w="582"/>
              <w:gridCol w:w="642"/>
              <w:gridCol w:w="742"/>
              <w:gridCol w:w="542"/>
              <w:gridCol w:w="592"/>
              <w:gridCol w:w="532"/>
              <w:gridCol w:w="592"/>
              <w:gridCol w:w="465"/>
              <w:gridCol w:w="465"/>
              <w:gridCol w:w="562"/>
              <w:gridCol w:w="537"/>
              <w:gridCol w:w="405"/>
              <w:gridCol w:w="425"/>
              <w:gridCol w:w="460"/>
              <w:gridCol w:w="640"/>
              <w:gridCol w:w="672"/>
              <w:gridCol w:w="425"/>
              <w:gridCol w:w="425"/>
              <w:gridCol w:w="425"/>
              <w:gridCol w:w="495"/>
            </w:tblGrid>
            <w:tr w14:paraId="31BDF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vMerge w:val="restart"/>
                  <w:noWrap w:val="0"/>
                  <w:vAlign w:val="center"/>
                </w:tcPr>
                <w:p w14:paraId="72538088">
                  <w:pPr>
                    <w:pStyle w:val="41"/>
                    <w:rPr>
                      <w:rFonts w:hint="default" w:ascii="Times New Roman" w:hAnsi="Times New Roman" w:eastAsia="宋体" w:cs="Times New Roman"/>
                      <w:b/>
                      <w:smallCaps w:val="0"/>
                      <w:color w:val="auto"/>
                      <w:spacing w:val="0"/>
                      <w:kern w:val="0"/>
                      <w:position w:val="0"/>
                      <w:sz w:val="21"/>
                      <w:szCs w:val="21"/>
                      <w:lang w:val="en-US" w:eastAsia="zh-CN"/>
                    </w:rPr>
                  </w:pPr>
                  <w:r>
                    <w:rPr>
                      <w:rFonts w:hint="default" w:ascii="Times New Roman" w:hAnsi="Times New Roman" w:eastAsia="宋体" w:cs="Times New Roman"/>
                      <w:b/>
                      <w:smallCaps w:val="0"/>
                      <w:color w:val="auto"/>
                      <w:spacing w:val="0"/>
                      <w:kern w:val="0"/>
                      <w:position w:val="0"/>
                      <w:sz w:val="21"/>
                      <w:szCs w:val="21"/>
                      <w:lang w:val="en-US" w:eastAsia="zh-CN"/>
                    </w:rPr>
                    <w:t>序号</w:t>
                  </w:r>
                </w:p>
              </w:tc>
              <w:tc>
                <w:tcPr>
                  <w:tcW w:w="248" w:type="pct"/>
                  <w:vMerge w:val="restart"/>
                  <w:noWrap w:val="0"/>
                  <w:vAlign w:val="center"/>
                </w:tcPr>
                <w:p w14:paraId="38A4FCDC">
                  <w:pPr>
                    <w:pStyle w:val="41"/>
                    <w:rPr>
                      <w:rFonts w:hint="default" w:ascii="Times New Roman" w:hAnsi="Times New Roman" w:eastAsia="宋体" w:cs="Times New Roman"/>
                      <w:b/>
                      <w:smallCaps w:val="0"/>
                      <w:color w:val="auto"/>
                      <w:spacing w:val="0"/>
                      <w:kern w:val="0"/>
                      <w:position w:val="0"/>
                      <w:sz w:val="21"/>
                      <w:szCs w:val="21"/>
                      <w:lang w:val="en-US" w:eastAsia="zh-CN"/>
                    </w:rPr>
                  </w:pPr>
                  <w:r>
                    <w:rPr>
                      <w:rFonts w:hint="default" w:ascii="Times New Roman" w:hAnsi="Times New Roman" w:eastAsia="宋体" w:cs="Times New Roman"/>
                      <w:b/>
                      <w:smallCaps w:val="0"/>
                      <w:color w:val="auto"/>
                      <w:spacing w:val="0"/>
                      <w:kern w:val="0"/>
                      <w:position w:val="0"/>
                      <w:sz w:val="21"/>
                      <w:szCs w:val="21"/>
                      <w:lang w:val="en-US" w:eastAsia="zh-CN"/>
                    </w:rPr>
                    <w:t>建筑物名称</w:t>
                  </w:r>
                </w:p>
              </w:tc>
              <w:tc>
                <w:tcPr>
                  <w:tcW w:w="313" w:type="pct"/>
                  <w:vMerge w:val="restart"/>
                  <w:noWrap w:val="0"/>
                  <w:vAlign w:val="center"/>
                </w:tcPr>
                <w:p w14:paraId="5E3F4E22">
                  <w:pPr>
                    <w:pStyle w:val="41"/>
                    <w:rPr>
                      <w:rFonts w:hint="default" w:ascii="Times New Roman" w:hAnsi="Times New Roman" w:eastAsia="宋体" w:cs="Times New Roman"/>
                      <w:b/>
                      <w:smallCaps w:val="0"/>
                      <w:color w:val="auto"/>
                      <w:spacing w:val="0"/>
                      <w:kern w:val="0"/>
                      <w:position w:val="0"/>
                      <w:sz w:val="21"/>
                      <w:szCs w:val="21"/>
                      <w:lang w:val="en-US" w:eastAsia="zh-CN"/>
                    </w:rPr>
                  </w:pPr>
                  <w:r>
                    <w:rPr>
                      <w:rFonts w:hint="default" w:ascii="Times New Roman" w:hAnsi="Times New Roman" w:eastAsia="宋体" w:cs="Times New Roman"/>
                      <w:b/>
                      <w:smallCaps w:val="0"/>
                      <w:color w:val="auto"/>
                      <w:spacing w:val="0"/>
                      <w:kern w:val="0"/>
                      <w:position w:val="0"/>
                      <w:sz w:val="21"/>
                      <w:szCs w:val="21"/>
                      <w:lang w:val="en-US" w:eastAsia="zh-CN"/>
                    </w:rPr>
                    <w:t>声源名称</w:t>
                  </w:r>
                </w:p>
              </w:tc>
              <w:tc>
                <w:tcPr>
                  <w:tcW w:w="233" w:type="pct"/>
                  <w:vMerge w:val="restart"/>
                  <w:noWrap w:val="0"/>
                  <w:vAlign w:val="center"/>
                </w:tcPr>
                <w:p w14:paraId="5E1300D0">
                  <w:pPr>
                    <w:pStyle w:val="41"/>
                    <w:rPr>
                      <w:rFonts w:hint="default" w:ascii="Times New Roman" w:hAnsi="Times New Roman" w:eastAsia="宋体" w:cs="Times New Roman"/>
                      <w:b/>
                      <w:smallCaps w:val="0"/>
                      <w:color w:val="auto"/>
                      <w:spacing w:val="0"/>
                      <w:kern w:val="0"/>
                      <w:position w:val="0"/>
                      <w:sz w:val="21"/>
                      <w:szCs w:val="21"/>
                      <w:lang w:val="en-US" w:eastAsia="zh-CN"/>
                    </w:rPr>
                  </w:pPr>
                  <w:r>
                    <w:rPr>
                      <w:rFonts w:hint="default" w:ascii="Times New Roman" w:hAnsi="Times New Roman" w:eastAsia="宋体" w:cs="Times New Roman"/>
                      <w:b/>
                      <w:smallCaps w:val="0"/>
                      <w:color w:val="auto"/>
                      <w:spacing w:val="0"/>
                      <w:kern w:val="0"/>
                      <w:position w:val="0"/>
                      <w:sz w:val="21"/>
                      <w:szCs w:val="21"/>
                      <w:lang w:val="en-US" w:eastAsia="zh-CN"/>
                    </w:rPr>
                    <w:t>数值/台</w:t>
                  </w:r>
                </w:p>
              </w:tc>
              <w:tc>
                <w:tcPr>
                  <w:tcW w:w="257" w:type="pct"/>
                  <w:vMerge w:val="restart"/>
                  <w:noWrap w:val="0"/>
                  <w:vAlign w:val="center"/>
                </w:tcPr>
                <w:p w14:paraId="75268CE1">
                  <w:pPr>
                    <w:pStyle w:val="41"/>
                    <w:rPr>
                      <w:rFonts w:hint="default" w:ascii="Times New Roman" w:hAnsi="Times New Roman" w:eastAsia="宋体" w:cs="Times New Roman"/>
                      <w:b/>
                      <w:smallCaps w:val="0"/>
                      <w:color w:val="auto"/>
                      <w:spacing w:val="0"/>
                      <w:kern w:val="0"/>
                      <w:position w:val="0"/>
                      <w:sz w:val="21"/>
                      <w:szCs w:val="21"/>
                      <w:lang w:val="en-US" w:eastAsia="zh-CN"/>
                    </w:rPr>
                  </w:pPr>
                  <w:r>
                    <w:rPr>
                      <w:rFonts w:hint="default" w:ascii="Times New Roman" w:hAnsi="Times New Roman" w:eastAsia="宋体" w:cs="Times New Roman"/>
                      <w:b/>
                      <w:smallCaps w:val="0"/>
                      <w:color w:val="auto"/>
                      <w:spacing w:val="0"/>
                      <w:kern w:val="0"/>
                      <w:position w:val="0"/>
                      <w:sz w:val="21"/>
                      <w:szCs w:val="21"/>
                      <w:lang w:val="en-US" w:eastAsia="zh-CN"/>
                    </w:rPr>
                    <w:t>噪声值</w:t>
                  </w:r>
                </w:p>
              </w:tc>
              <w:tc>
                <w:tcPr>
                  <w:tcW w:w="297" w:type="pct"/>
                  <w:vMerge w:val="restart"/>
                  <w:noWrap w:val="0"/>
                  <w:vAlign w:val="center"/>
                </w:tcPr>
                <w:p w14:paraId="357C2189">
                  <w:pPr>
                    <w:pStyle w:val="41"/>
                    <w:rPr>
                      <w:rFonts w:hint="default" w:ascii="Times New Roman" w:hAnsi="Times New Roman" w:eastAsia="宋体" w:cs="Times New Roman"/>
                      <w:b/>
                      <w:smallCaps w:val="0"/>
                      <w:color w:val="auto"/>
                      <w:spacing w:val="0"/>
                      <w:kern w:val="0"/>
                      <w:position w:val="0"/>
                      <w:sz w:val="21"/>
                      <w:szCs w:val="21"/>
                      <w:lang w:val="en-US" w:eastAsia="zh-CN"/>
                    </w:rPr>
                  </w:pPr>
                  <w:r>
                    <w:rPr>
                      <w:rFonts w:hint="default" w:ascii="Times New Roman" w:hAnsi="Times New Roman" w:eastAsia="宋体" w:cs="Times New Roman"/>
                      <w:b/>
                      <w:smallCaps w:val="0"/>
                      <w:color w:val="auto"/>
                      <w:spacing w:val="0"/>
                      <w:kern w:val="0"/>
                      <w:position w:val="0"/>
                      <w:sz w:val="21"/>
                      <w:szCs w:val="21"/>
                      <w:lang w:val="en-US" w:eastAsia="zh-CN"/>
                    </w:rPr>
                    <w:t>声源控制措施</w:t>
                  </w:r>
                </w:p>
              </w:tc>
              <w:tc>
                <w:tcPr>
                  <w:tcW w:w="667" w:type="pct"/>
                  <w:gridSpan w:val="3"/>
                  <w:tcBorders>
                    <w:bottom w:val="single" w:color="auto" w:sz="2" w:space="0"/>
                  </w:tcBorders>
                  <w:noWrap w:val="0"/>
                  <w:vAlign w:val="center"/>
                </w:tcPr>
                <w:p w14:paraId="5030897B">
                  <w:pPr>
                    <w:pStyle w:val="41"/>
                    <w:rPr>
                      <w:rFonts w:hint="default" w:ascii="Times New Roman" w:hAnsi="Times New Roman" w:eastAsia="宋体" w:cs="Times New Roman"/>
                      <w:b/>
                      <w:bCs w:val="0"/>
                      <w:smallCaps w:val="0"/>
                      <w:color w:val="auto"/>
                      <w:spacing w:val="0"/>
                      <w:kern w:val="0"/>
                      <w:position w:val="0"/>
                      <w:sz w:val="21"/>
                      <w:szCs w:val="21"/>
                    </w:rPr>
                  </w:pPr>
                  <w:r>
                    <w:rPr>
                      <w:rFonts w:hint="default" w:ascii="Times New Roman" w:hAnsi="Times New Roman" w:eastAsia="宋体" w:cs="Times New Roman"/>
                      <w:b/>
                      <w:bCs w:val="0"/>
                      <w:smallCaps w:val="0"/>
                      <w:color w:val="auto"/>
                      <w:spacing w:val="0"/>
                      <w:kern w:val="0"/>
                      <w:position w:val="0"/>
                      <w:sz w:val="21"/>
                      <w:szCs w:val="21"/>
                      <w:lang w:val="en-US" w:eastAsia="zh-CN"/>
                    </w:rPr>
                    <w:t>空间相对位置/m</w:t>
                  </w:r>
                </w:p>
              </w:tc>
              <w:tc>
                <w:tcPr>
                  <w:tcW w:w="834" w:type="pct"/>
                  <w:gridSpan w:val="4"/>
                  <w:noWrap w:val="0"/>
                  <w:vAlign w:val="center"/>
                </w:tcPr>
                <w:p w14:paraId="541863E1">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距室内边界距离/m</w:t>
                  </w:r>
                </w:p>
              </w:tc>
              <w:tc>
                <w:tcPr>
                  <w:tcW w:w="731" w:type="pct"/>
                  <w:gridSpan w:val="4"/>
                  <w:noWrap w:val="0"/>
                  <w:vAlign w:val="center"/>
                </w:tcPr>
                <w:p w14:paraId="27FC3B8B">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室内边界声级</w:t>
                  </w:r>
                </w:p>
              </w:tc>
              <w:tc>
                <w:tcPr>
                  <w:tcW w:w="256" w:type="pct"/>
                  <w:vMerge w:val="restart"/>
                  <w:noWrap w:val="0"/>
                  <w:vAlign w:val="center"/>
                </w:tcPr>
                <w:p w14:paraId="3382A469">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运行时段</w:t>
                  </w:r>
                </w:p>
              </w:tc>
              <w:tc>
                <w:tcPr>
                  <w:tcW w:w="269" w:type="pct"/>
                  <w:vMerge w:val="restart"/>
                  <w:noWrap w:val="0"/>
                  <w:vAlign w:val="center"/>
                </w:tcPr>
                <w:p w14:paraId="43B4025F">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建筑物插入损失</w:t>
                  </w:r>
                </w:p>
              </w:tc>
              <w:tc>
                <w:tcPr>
                  <w:tcW w:w="708" w:type="pct"/>
                  <w:gridSpan w:val="4"/>
                  <w:tcBorders>
                    <w:bottom w:val="single" w:color="auto" w:sz="2" w:space="0"/>
                  </w:tcBorders>
                  <w:noWrap w:val="0"/>
                  <w:vAlign w:val="center"/>
                </w:tcPr>
                <w:p w14:paraId="48FE5E72">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建筑外噪声声压级</w:t>
                  </w:r>
                </w:p>
              </w:tc>
            </w:tr>
            <w:tr w14:paraId="59C0A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vMerge w:val="continue"/>
                  <w:noWrap w:val="0"/>
                  <w:vAlign w:val="center"/>
                </w:tcPr>
                <w:p w14:paraId="1BF67B16">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248" w:type="pct"/>
                  <w:vMerge w:val="continue"/>
                  <w:noWrap w:val="0"/>
                  <w:vAlign w:val="center"/>
                </w:tcPr>
                <w:p w14:paraId="665D78AA">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313" w:type="pct"/>
                  <w:vMerge w:val="continue"/>
                  <w:noWrap w:val="0"/>
                  <w:vAlign w:val="center"/>
                </w:tcPr>
                <w:p w14:paraId="7809BECD">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233" w:type="pct"/>
                  <w:vMerge w:val="continue"/>
                  <w:noWrap w:val="0"/>
                  <w:vAlign w:val="center"/>
                </w:tcPr>
                <w:p w14:paraId="38FFB3E3">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257" w:type="pct"/>
                  <w:vMerge w:val="continue"/>
                  <w:noWrap w:val="0"/>
                  <w:vAlign w:val="center"/>
                </w:tcPr>
                <w:p w14:paraId="555166F0">
                  <w:pPr>
                    <w:pStyle w:val="41"/>
                    <w:rPr>
                      <w:rFonts w:hint="default" w:ascii="Times New Roman" w:hAnsi="Times New Roman" w:eastAsia="宋体" w:cs="Times New Roman"/>
                      <w:smallCaps w:val="0"/>
                      <w:color w:val="auto"/>
                      <w:spacing w:val="0"/>
                      <w:kern w:val="0"/>
                      <w:position w:val="0"/>
                      <w:sz w:val="21"/>
                      <w:szCs w:val="21"/>
                      <w:lang w:val="en-US" w:eastAsia="zh-CN"/>
                    </w:rPr>
                  </w:pPr>
                </w:p>
              </w:tc>
              <w:tc>
                <w:tcPr>
                  <w:tcW w:w="297" w:type="pct"/>
                  <w:vMerge w:val="continue"/>
                  <w:noWrap w:val="0"/>
                  <w:vAlign w:val="center"/>
                </w:tcPr>
                <w:p w14:paraId="4A39E0F1">
                  <w:pPr>
                    <w:pStyle w:val="41"/>
                    <w:rPr>
                      <w:rFonts w:hint="default" w:ascii="Times New Roman" w:hAnsi="Times New Roman" w:eastAsia="宋体" w:cs="Times New Roman"/>
                      <w:smallCaps w:val="0"/>
                      <w:color w:val="auto"/>
                      <w:spacing w:val="0"/>
                      <w:kern w:val="0"/>
                      <w:position w:val="0"/>
                      <w:sz w:val="21"/>
                      <w:szCs w:val="21"/>
                      <w:lang w:val="en-US" w:eastAsia="zh-CN"/>
                    </w:rPr>
                  </w:pPr>
                </w:p>
              </w:tc>
              <w:tc>
                <w:tcPr>
                  <w:tcW w:w="217" w:type="pct"/>
                  <w:tcBorders>
                    <w:top w:val="single" w:color="auto" w:sz="2" w:space="0"/>
                  </w:tcBorders>
                  <w:noWrap w:val="0"/>
                  <w:vAlign w:val="center"/>
                </w:tcPr>
                <w:p w14:paraId="7EE13879">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X</w:t>
                  </w:r>
                </w:p>
              </w:tc>
              <w:tc>
                <w:tcPr>
                  <w:tcW w:w="237" w:type="pct"/>
                  <w:tcBorders>
                    <w:top w:val="single" w:color="auto" w:sz="2" w:space="0"/>
                  </w:tcBorders>
                  <w:noWrap w:val="0"/>
                  <w:vAlign w:val="center"/>
                </w:tcPr>
                <w:p w14:paraId="6DE7013A">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Y</w:t>
                  </w:r>
                </w:p>
              </w:tc>
              <w:tc>
                <w:tcPr>
                  <w:tcW w:w="213" w:type="pct"/>
                  <w:tcBorders>
                    <w:top w:val="single" w:color="auto" w:sz="2" w:space="0"/>
                  </w:tcBorders>
                  <w:noWrap w:val="0"/>
                  <w:vAlign w:val="center"/>
                </w:tcPr>
                <w:p w14:paraId="66052F6C">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Z</w:t>
                  </w:r>
                </w:p>
              </w:tc>
              <w:tc>
                <w:tcPr>
                  <w:tcW w:w="237" w:type="pct"/>
                  <w:noWrap w:val="0"/>
                  <w:vAlign w:val="center"/>
                </w:tcPr>
                <w:p w14:paraId="7D4D0098">
                  <w:pPr>
                    <w:pStyle w:val="41"/>
                    <w:ind w:firstLine="0" w:firstLineChars="0"/>
                    <w:rPr>
                      <w:rFonts w:hint="default" w:ascii="Times New Roman" w:hAnsi="Times New Roman" w:eastAsia="宋体" w:cs="Times New Roman"/>
                      <w:b/>
                      <w:bCs w:val="0"/>
                      <w:smallCaps w:val="0"/>
                      <w:color w:val="auto"/>
                      <w:spacing w:val="0"/>
                      <w:kern w:val="0"/>
                      <w:position w:val="0"/>
                      <w:sz w:val="21"/>
                      <w:szCs w:val="21"/>
                      <w:lang w:val="en-US" w:eastAsia="zh-CN" w:bidi="ar-SA"/>
                    </w:rPr>
                  </w:pPr>
                  <w:r>
                    <w:rPr>
                      <w:rFonts w:hint="default" w:ascii="Times New Roman" w:hAnsi="Times New Roman" w:eastAsia="宋体" w:cs="Times New Roman"/>
                      <w:b/>
                      <w:bCs w:val="0"/>
                      <w:smallCaps w:val="0"/>
                      <w:color w:val="auto"/>
                      <w:spacing w:val="0"/>
                      <w:kern w:val="0"/>
                      <w:position w:val="0"/>
                      <w:sz w:val="21"/>
                      <w:szCs w:val="21"/>
                      <w:lang w:val="en-US" w:eastAsia="zh-CN"/>
                    </w:rPr>
                    <w:t>东</w:t>
                  </w:r>
                </w:p>
              </w:tc>
              <w:tc>
                <w:tcPr>
                  <w:tcW w:w="186" w:type="pct"/>
                  <w:noWrap w:val="0"/>
                  <w:vAlign w:val="center"/>
                </w:tcPr>
                <w:p w14:paraId="64DFB6D1">
                  <w:pPr>
                    <w:pStyle w:val="41"/>
                    <w:ind w:firstLine="0" w:firstLineChars="0"/>
                    <w:rPr>
                      <w:rFonts w:hint="default" w:ascii="Times New Roman" w:hAnsi="Times New Roman" w:eastAsia="宋体" w:cs="Times New Roman"/>
                      <w:b/>
                      <w:bCs w:val="0"/>
                      <w:smallCaps w:val="0"/>
                      <w:color w:val="auto"/>
                      <w:spacing w:val="0"/>
                      <w:kern w:val="0"/>
                      <w:position w:val="0"/>
                      <w:sz w:val="21"/>
                      <w:szCs w:val="21"/>
                      <w:lang w:val="en-US" w:eastAsia="zh-CN" w:bidi="ar-SA"/>
                    </w:rPr>
                  </w:pPr>
                  <w:r>
                    <w:rPr>
                      <w:rFonts w:hint="default" w:ascii="Times New Roman" w:hAnsi="Times New Roman" w:eastAsia="宋体" w:cs="Times New Roman"/>
                      <w:b/>
                      <w:bCs w:val="0"/>
                      <w:smallCaps w:val="0"/>
                      <w:color w:val="auto"/>
                      <w:spacing w:val="0"/>
                      <w:kern w:val="0"/>
                      <w:position w:val="0"/>
                      <w:sz w:val="21"/>
                      <w:szCs w:val="21"/>
                      <w:lang w:val="en-US" w:eastAsia="zh-CN"/>
                    </w:rPr>
                    <w:t>南</w:t>
                  </w:r>
                </w:p>
              </w:tc>
              <w:tc>
                <w:tcPr>
                  <w:tcW w:w="186" w:type="pct"/>
                  <w:noWrap w:val="0"/>
                  <w:vAlign w:val="center"/>
                </w:tcPr>
                <w:p w14:paraId="78A682C1">
                  <w:pPr>
                    <w:pStyle w:val="41"/>
                    <w:ind w:firstLine="0" w:firstLineChars="0"/>
                    <w:rPr>
                      <w:rFonts w:hint="default" w:ascii="Times New Roman" w:hAnsi="Times New Roman" w:eastAsia="宋体" w:cs="Times New Roman"/>
                      <w:b/>
                      <w:bCs w:val="0"/>
                      <w:smallCaps w:val="0"/>
                      <w:color w:val="auto"/>
                      <w:spacing w:val="0"/>
                      <w:kern w:val="0"/>
                      <w:position w:val="0"/>
                      <w:sz w:val="21"/>
                      <w:szCs w:val="21"/>
                      <w:lang w:val="en-US" w:eastAsia="zh-CN" w:bidi="ar-SA"/>
                    </w:rPr>
                  </w:pPr>
                  <w:r>
                    <w:rPr>
                      <w:rFonts w:hint="default" w:ascii="Times New Roman" w:hAnsi="Times New Roman" w:eastAsia="宋体" w:cs="Times New Roman"/>
                      <w:b/>
                      <w:bCs w:val="0"/>
                      <w:smallCaps w:val="0"/>
                      <w:color w:val="auto"/>
                      <w:spacing w:val="0"/>
                      <w:kern w:val="0"/>
                      <w:position w:val="0"/>
                      <w:sz w:val="21"/>
                      <w:szCs w:val="21"/>
                      <w:lang w:val="en-US" w:eastAsia="zh-CN"/>
                    </w:rPr>
                    <w:t>西</w:t>
                  </w:r>
                </w:p>
              </w:tc>
              <w:tc>
                <w:tcPr>
                  <w:tcW w:w="225" w:type="pct"/>
                  <w:noWrap w:val="0"/>
                  <w:vAlign w:val="center"/>
                </w:tcPr>
                <w:p w14:paraId="24B864EC">
                  <w:pPr>
                    <w:pStyle w:val="41"/>
                    <w:ind w:firstLine="0" w:firstLineChars="0"/>
                    <w:rPr>
                      <w:rFonts w:hint="default" w:ascii="Times New Roman" w:hAnsi="Times New Roman" w:eastAsia="宋体" w:cs="Times New Roman"/>
                      <w:b/>
                      <w:bCs w:val="0"/>
                      <w:smallCaps w:val="0"/>
                      <w:color w:val="auto"/>
                      <w:spacing w:val="0"/>
                      <w:kern w:val="0"/>
                      <w:position w:val="0"/>
                      <w:sz w:val="21"/>
                      <w:szCs w:val="21"/>
                      <w:lang w:val="en-US" w:eastAsia="zh-CN" w:bidi="ar-SA"/>
                    </w:rPr>
                  </w:pPr>
                  <w:r>
                    <w:rPr>
                      <w:rFonts w:hint="default" w:ascii="Times New Roman" w:hAnsi="Times New Roman" w:eastAsia="宋体" w:cs="Times New Roman"/>
                      <w:b/>
                      <w:bCs w:val="0"/>
                      <w:smallCaps w:val="0"/>
                      <w:color w:val="auto"/>
                      <w:spacing w:val="0"/>
                      <w:kern w:val="0"/>
                      <w:position w:val="0"/>
                      <w:sz w:val="21"/>
                      <w:szCs w:val="21"/>
                      <w:lang w:val="en-US" w:eastAsia="zh-CN"/>
                    </w:rPr>
                    <w:t>北</w:t>
                  </w:r>
                </w:p>
              </w:tc>
              <w:tc>
                <w:tcPr>
                  <w:tcW w:w="215" w:type="pct"/>
                  <w:noWrap w:val="0"/>
                  <w:vAlign w:val="center"/>
                </w:tcPr>
                <w:p w14:paraId="1461A626">
                  <w:pPr>
                    <w:pStyle w:val="41"/>
                    <w:ind w:firstLine="0" w:firstLineChars="0"/>
                    <w:rPr>
                      <w:rFonts w:hint="default" w:ascii="Times New Roman" w:hAnsi="Times New Roman" w:eastAsia="宋体" w:cs="Times New Roman"/>
                      <w:b/>
                      <w:bCs w:val="0"/>
                      <w:smallCaps w:val="0"/>
                      <w:color w:val="auto"/>
                      <w:spacing w:val="0"/>
                      <w:kern w:val="0"/>
                      <w:position w:val="0"/>
                      <w:sz w:val="21"/>
                      <w:szCs w:val="21"/>
                      <w:lang w:val="en-US" w:eastAsia="zh-CN" w:bidi="ar-SA"/>
                    </w:rPr>
                  </w:pPr>
                  <w:r>
                    <w:rPr>
                      <w:rFonts w:hint="default" w:ascii="Times New Roman" w:hAnsi="Times New Roman" w:eastAsia="宋体" w:cs="Times New Roman"/>
                      <w:b/>
                      <w:bCs w:val="0"/>
                      <w:smallCaps w:val="0"/>
                      <w:color w:val="auto"/>
                      <w:spacing w:val="0"/>
                      <w:kern w:val="0"/>
                      <w:position w:val="0"/>
                      <w:sz w:val="21"/>
                      <w:szCs w:val="21"/>
                      <w:lang w:val="en-US" w:eastAsia="zh-CN"/>
                    </w:rPr>
                    <w:t>东</w:t>
                  </w:r>
                </w:p>
              </w:tc>
              <w:tc>
                <w:tcPr>
                  <w:tcW w:w="162" w:type="pct"/>
                  <w:noWrap w:val="0"/>
                  <w:vAlign w:val="center"/>
                </w:tcPr>
                <w:p w14:paraId="10041944">
                  <w:pPr>
                    <w:pStyle w:val="41"/>
                    <w:ind w:firstLine="0" w:firstLineChars="0"/>
                    <w:rPr>
                      <w:rFonts w:hint="default" w:ascii="Times New Roman" w:hAnsi="Times New Roman" w:eastAsia="宋体" w:cs="Times New Roman"/>
                      <w:b/>
                      <w:bCs w:val="0"/>
                      <w:smallCaps w:val="0"/>
                      <w:color w:val="auto"/>
                      <w:spacing w:val="0"/>
                      <w:kern w:val="0"/>
                      <w:position w:val="0"/>
                      <w:sz w:val="21"/>
                      <w:szCs w:val="21"/>
                      <w:lang w:val="en-US" w:eastAsia="zh-CN" w:bidi="ar-SA"/>
                    </w:rPr>
                  </w:pPr>
                  <w:r>
                    <w:rPr>
                      <w:rFonts w:hint="default" w:ascii="Times New Roman" w:hAnsi="Times New Roman" w:eastAsia="宋体" w:cs="Times New Roman"/>
                      <w:b/>
                      <w:bCs w:val="0"/>
                      <w:smallCaps w:val="0"/>
                      <w:color w:val="auto"/>
                      <w:spacing w:val="0"/>
                      <w:kern w:val="0"/>
                      <w:position w:val="0"/>
                      <w:sz w:val="21"/>
                      <w:szCs w:val="21"/>
                      <w:lang w:val="en-US" w:eastAsia="zh-CN"/>
                    </w:rPr>
                    <w:t>南</w:t>
                  </w:r>
                </w:p>
              </w:tc>
              <w:tc>
                <w:tcPr>
                  <w:tcW w:w="170" w:type="pct"/>
                  <w:noWrap w:val="0"/>
                  <w:vAlign w:val="center"/>
                </w:tcPr>
                <w:p w14:paraId="0080684D">
                  <w:pPr>
                    <w:pStyle w:val="41"/>
                    <w:ind w:firstLine="0" w:firstLineChars="0"/>
                    <w:rPr>
                      <w:rFonts w:hint="default" w:ascii="Times New Roman" w:hAnsi="Times New Roman" w:eastAsia="宋体" w:cs="Times New Roman"/>
                      <w:b/>
                      <w:bCs w:val="0"/>
                      <w:smallCaps w:val="0"/>
                      <w:color w:val="auto"/>
                      <w:spacing w:val="0"/>
                      <w:kern w:val="0"/>
                      <w:position w:val="0"/>
                      <w:sz w:val="21"/>
                      <w:szCs w:val="21"/>
                      <w:lang w:val="en-US" w:eastAsia="zh-CN" w:bidi="ar-SA"/>
                    </w:rPr>
                  </w:pPr>
                  <w:r>
                    <w:rPr>
                      <w:rFonts w:hint="default" w:ascii="Times New Roman" w:hAnsi="Times New Roman" w:eastAsia="宋体" w:cs="Times New Roman"/>
                      <w:b/>
                      <w:bCs w:val="0"/>
                      <w:smallCaps w:val="0"/>
                      <w:color w:val="auto"/>
                      <w:spacing w:val="0"/>
                      <w:kern w:val="0"/>
                      <w:position w:val="0"/>
                      <w:sz w:val="21"/>
                      <w:szCs w:val="21"/>
                      <w:lang w:val="en-US" w:eastAsia="zh-CN"/>
                    </w:rPr>
                    <w:t>西</w:t>
                  </w:r>
                </w:p>
              </w:tc>
              <w:tc>
                <w:tcPr>
                  <w:tcW w:w="184" w:type="pct"/>
                  <w:noWrap w:val="0"/>
                  <w:vAlign w:val="center"/>
                </w:tcPr>
                <w:p w14:paraId="2A4A136B">
                  <w:pPr>
                    <w:pStyle w:val="41"/>
                    <w:ind w:firstLine="0" w:firstLineChars="0"/>
                    <w:rPr>
                      <w:rFonts w:hint="default" w:ascii="Times New Roman" w:hAnsi="Times New Roman" w:eastAsia="宋体" w:cs="Times New Roman"/>
                      <w:b/>
                      <w:bCs w:val="0"/>
                      <w:smallCaps w:val="0"/>
                      <w:color w:val="auto"/>
                      <w:spacing w:val="0"/>
                      <w:kern w:val="0"/>
                      <w:position w:val="0"/>
                      <w:sz w:val="21"/>
                      <w:szCs w:val="21"/>
                      <w:lang w:val="en-US" w:eastAsia="zh-CN" w:bidi="ar-SA"/>
                    </w:rPr>
                  </w:pPr>
                  <w:r>
                    <w:rPr>
                      <w:rFonts w:hint="default" w:ascii="Times New Roman" w:hAnsi="Times New Roman" w:eastAsia="宋体" w:cs="Times New Roman"/>
                      <w:b/>
                      <w:bCs w:val="0"/>
                      <w:smallCaps w:val="0"/>
                      <w:color w:val="auto"/>
                      <w:spacing w:val="0"/>
                      <w:kern w:val="0"/>
                      <w:position w:val="0"/>
                      <w:sz w:val="21"/>
                      <w:szCs w:val="21"/>
                      <w:lang w:val="en-US" w:eastAsia="zh-CN"/>
                    </w:rPr>
                    <w:t>北</w:t>
                  </w:r>
                </w:p>
              </w:tc>
              <w:tc>
                <w:tcPr>
                  <w:tcW w:w="256" w:type="pct"/>
                  <w:vMerge w:val="continue"/>
                  <w:noWrap w:val="0"/>
                  <w:vAlign w:val="center"/>
                </w:tcPr>
                <w:p w14:paraId="34210DB2">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p>
              </w:tc>
              <w:tc>
                <w:tcPr>
                  <w:tcW w:w="269" w:type="pct"/>
                  <w:vMerge w:val="continue"/>
                  <w:noWrap w:val="0"/>
                  <w:vAlign w:val="center"/>
                </w:tcPr>
                <w:p w14:paraId="520A5043">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p>
              </w:tc>
              <w:tc>
                <w:tcPr>
                  <w:tcW w:w="170" w:type="pct"/>
                  <w:tcBorders>
                    <w:top w:val="single" w:color="auto" w:sz="2" w:space="0"/>
                  </w:tcBorders>
                  <w:noWrap w:val="0"/>
                  <w:vAlign w:val="center"/>
                </w:tcPr>
                <w:p w14:paraId="07DBC9BE">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东</w:t>
                  </w:r>
                </w:p>
              </w:tc>
              <w:tc>
                <w:tcPr>
                  <w:tcW w:w="170" w:type="pct"/>
                  <w:tcBorders>
                    <w:top w:val="single" w:color="auto" w:sz="2" w:space="0"/>
                  </w:tcBorders>
                  <w:noWrap w:val="0"/>
                  <w:vAlign w:val="center"/>
                </w:tcPr>
                <w:p w14:paraId="54EC2C7D">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南</w:t>
                  </w:r>
                </w:p>
              </w:tc>
              <w:tc>
                <w:tcPr>
                  <w:tcW w:w="170" w:type="pct"/>
                  <w:tcBorders>
                    <w:top w:val="single" w:color="auto" w:sz="2" w:space="0"/>
                  </w:tcBorders>
                  <w:noWrap w:val="0"/>
                  <w:vAlign w:val="center"/>
                </w:tcPr>
                <w:p w14:paraId="3D163CD3">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西</w:t>
                  </w:r>
                </w:p>
              </w:tc>
              <w:tc>
                <w:tcPr>
                  <w:tcW w:w="198" w:type="pct"/>
                  <w:tcBorders>
                    <w:top w:val="single" w:color="auto" w:sz="2" w:space="0"/>
                  </w:tcBorders>
                  <w:noWrap w:val="0"/>
                  <w:vAlign w:val="center"/>
                </w:tcPr>
                <w:p w14:paraId="37B90CA0">
                  <w:pPr>
                    <w:pStyle w:val="41"/>
                    <w:rPr>
                      <w:rFonts w:hint="default" w:ascii="Times New Roman" w:hAnsi="Times New Roman" w:eastAsia="宋体" w:cs="Times New Roman"/>
                      <w:b/>
                      <w:bCs w:val="0"/>
                      <w:smallCaps w:val="0"/>
                      <w:color w:val="auto"/>
                      <w:spacing w:val="0"/>
                      <w:kern w:val="0"/>
                      <w:position w:val="0"/>
                      <w:sz w:val="21"/>
                      <w:szCs w:val="21"/>
                      <w:lang w:val="en-US" w:eastAsia="zh-CN"/>
                    </w:rPr>
                  </w:pPr>
                  <w:r>
                    <w:rPr>
                      <w:rFonts w:hint="default" w:ascii="Times New Roman" w:hAnsi="Times New Roman" w:eastAsia="宋体" w:cs="Times New Roman"/>
                      <w:b/>
                      <w:bCs w:val="0"/>
                      <w:smallCaps w:val="0"/>
                      <w:color w:val="auto"/>
                      <w:spacing w:val="0"/>
                      <w:kern w:val="0"/>
                      <w:position w:val="0"/>
                      <w:sz w:val="21"/>
                      <w:szCs w:val="21"/>
                      <w:lang w:val="en-US" w:eastAsia="zh-CN"/>
                    </w:rPr>
                    <w:t>北</w:t>
                  </w:r>
                </w:p>
              </w:tc>
            </w:tr>
            <w:tr w14:paraId="082EF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noWrap w:val="0"/>
                  <w:vAlign w:val="center"/>
                </w:tcPr>
                <w:p w14:paraId="26B5372C">
                  <w:pPr>
                    <w:pStyle w:val="41"/>
                    <w:ind w:firstLine="0" w:firstLineChars="0"/>
                    <w:rPr>
                      <w:rFonts w:hint="default" w:ascii="Times New Roman" w:hAnsi="Times New Roman" w:eastAsia="宋体" w:cs="Times New Roman"/>
                      <w:b w:val="0"/>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1</w:t>
                  </w:r>
                </w:p>
              </w:tc>
              <w:tc>
                <w:tcPr>
                  <w:tcW w:w="248" w:type="pct"/>
                  <w:vMerge w:val="restart"/>
                  <w:noWrap w:val="0"/>
                  <w:vAlign w:val="center"/>
                </w:tcPr>
                <w:p w14:paraId="65F945FB">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r>
                    <w:rPr>
                      <w:rFonts w:hint="default" w:ascii="Times New Roman" w:hAnsi="Times New Roman" w:eastAsia="宋体" w:cs="Times New Roman"/>
                      <w:b w:val="0"/>
                      <w:smallCaps w:val="0"/>
                      <w:color w:val="auto"/>
                      <w:spacing w:val="0"/>
                      <w:kern w:val="0"/>
                      <w:position w:val="0"/>
                      <w:sz w:val="21"/>
                      <w:szCs w:val="21"/>
                      <w:lang w:val="en-US" w:eastAsia="zh-CN" w:bidi="ar-SA"/>
                    </w:rPr>
                    <w:t>生产车间</w:t>
                  </w:r>
                  <w:r>
                    <w:rPr>
                      <w:rFonts w:hint="eastAsia" w:cs="Times New Roman"/>
                      <w:b w:val="0"/>
                      <w:smallCaps w:val="0"/>
                      <w:color w:val="auto"/>
                      <w:spacing w:val="0"/>
                      <w:kern w:val="0"/>
                      <w:position w:val="0"/>
                      <w:sz w:val="21"/>
                      <w:szCs w:val="21"/>
                      <w:lang w:val="en-US" w:eastAsia="zh-CN" w:bidi="ar-SA"/>
                    </w:rPr>
                    <w:t>二</w:t>
                  </w:r>
                </w:p>
              </w:tc>
              <w:tc>
                <w:tcPr>
                  <w:tcW w:w="313" w:type="pct"/>
                  <w:shd w:val="clear" w:color="auto" w:fill="auto"/>
                  <w:noWrap w:val="0"/>
                  <w:vAlign w:val="center"/>
                </w:tcPr>
                <w:p w14:paraId="56A7D30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折边机</w:t>
                  </w:r>
                </w:p>
              </w:tc>
              <w:tc>
                <w:tcPr>
                  <w:tcW w:w="233" w:type="pct"/>
                  <w:shd w:val="clear" w:color="auto" w:fill="auto"/>
                  <w:noWrap w:val="0"/>
                  <w:vAlign w:val="center"/>
                </w:tcPr>
                <w:p w14:paraId="151EAC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w:t>
                  </w:r>
                </w:p>
              </w:tc>
              <w:tc>
                <w:tcPr>
                  <w:tcW w:w="257" w:type="pct"/>
                  <w:noWrap w:val="0"/>
                  <w:vAlign w:val="center"/>
                </w:tcPr>
                <w:p w14:paraId="42DB74F5">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w:t>
                  </w:r>
                </w:p>
              </w:tc>
              <w:tc>
                <w:tcPr>
                  <w:tcW w:w="297" w:type="pct"/>
                  <w:vMerge w:val="restart"/>
                  <w:noWrap w:val="0"/>
                  <w:vAlign w:val="center"/>
                </w:tcPr>
                <w:p w14:paraId="31B9796D">
                  <w:pPr>
                    <w:pStyle w:val="41"/>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减振、隔声、距离衰减</w:t>
                  </w:r>
                </w:p>
              </w:tc>
              <w:tc>
                <w:tcPr>
                  <w:tcW w:w="542" w:type="dxa"/>
                  <w:noWrap w:val="0"/>
                  <w:vAlign w:val="center"/>
                </w:tcPr>
                <w:p w14:paraId="2B6C0588">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92" w:type="dxa"/>
                  <w:noWrap w:val="0"/>
                  <w:vAlign w:val="center"/>
                </w:tcPr>
                <w:p w14:paraId="189D20EE">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532" w:type="dxa"/>
                  <w:noWrap w:val="0"/>
                  <w:vAlign w:val="center"/>
                </w:tcPr>
                <w:p w14:paraId="07DD451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2" w:type="dxa"/>
                  <w:noWrap w:val="0"/>
                  <w:vAlign w:val="center"/>
                </w:tcPr>
                <w:p w14:paraId="5403F7F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65" w:type="dxa"/>
                  <w:noWrap w:val="0"/>
                  <w:vAlign w:val="center"/>
                </w:tcPr>
                <w:p w14:paraId="252FDA5B">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65" w:type="dxa"/>
                  <w:noWrap w:val="0"/>
                  <w:vAlign w:val="center"/>
                </w:tcPr>
                <w:p w14:paraId="4C33F8F8">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62" w:type="dxa"/>
                  <w:noWrap w:val="0"/>
                  <w:vAlign w:val="center"/>
                </w:tcPr>
                <w:p w14:paraId="704EBBAD">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537" w:type="dxa"/>
                  <w:noWrap w:val="0"/>
                  <w:vAlign w:val="center"/>
                </w:tcPr>
                <w:p w14:paraId="4E932442">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w:t>
                  </w:r>
                </w:p>
              </w:tc>
              <w:tc>
                <w:tcPr>
                  <w:tcW w:w="405" w:type="dxa"/>
                  <w:noWrap w:val="0"/>
                  <w:vAlign w:val="center"/>
                </w:tcPr>
                <w:p w14:paraId="2D85796E">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425" w:type="dxa"/>
                  <w:noWrap w:val="0"/>
                  <w:vAlign w:val="center"/>
                </w:tcPr>
                <w:p w14:paraId="558D3AF5">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60" w:type="dxa"/>
                  <w:noWrap w:val="0"/>
                  <w:vAlign w:val="center"/>
                </w:tcPr>
                <w:p w14:paraId="15A6263C">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w:t>
                  </w:r>
                </w:p>
              </w:tc>
              <w:tc>
                <w:tcPr>
                  <w:tcW w:w="256" w:type="pct"/>
                  <w:vMerge w:val="restart"/>
                  <w:noWrap w:val="0"/>
                  <w:vAlign w:val="center"/>
                </w:tcPr>
                <w:p w14:paraId="770718AC">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08：00-</w:t>
                  </w:r>
                </w:p>
                <w:p w14:paraId="559227F6">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16：00</w:t>
                  </w:r>
                </w:p>
              </w:tc>
              <w:tc>
                <w:tcPr>
                  <w:tcW w:w="269" w:type="pct"/>
                  <w:vMerge w:val="restart"/>
                  <w:noWrap w:val="0"/>
                  <w:vAlign w:val="center"/>
                </w:tcPr>
                <w:p w14:paraId="0580717A">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25</w:t>
                  </w:r>
                </w:p>
              </w:tc>
              <w:tc>
                <w:tcPr>
                  <w:tcW w:w="425" w:type="dxa"/>
                  <w:noWrap w:val="0"/>
                  <w:vAlign w:val="center"/>
                </w:tcPr>
                <w:p w14:paraId="737C2CC8">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w:t>
                  </w:r>
                </w:p>
              </w:tc>
              <w:tc>
                <w:tcPr>
                  <w:tcW w:w="425" w:type="dxa"/>
                  <w:noWrap w:val="0"/>
                  <w:vAlign w:val="center"/>
                </w:tcPr>
                <w:p w14:paraId="5CECE37F">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25" w:type="dxa"/>
                  <w:noWrap w:val="0"/>
                  <w:vAlign w:val="center"/>
                </w:tcPr>
                <w:p w14:paraId="119B7B11">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95" w:type="dxa"/>
                  <w:noWrap w:val="0"/>
                  <w:vAlign w:val="center"/>
                </w:tcPr>
                <w:p w14:paraId="48F164BB">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w:t>
                  </w:r>
                </w:p>
              </w:tc>
            </w:tr>
            <w:tr w14:paraId="4B6C8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noWrap w:val="0"/>
                  <w:vAlign w:val="center"/>
                </w:tcPr>
                <w:p w14:paraId="66452D5A">
                  <w:pPr>
                    <w:pStyle w:val="41"/>
                    <w:ind w:firstLine="0" w:firstLineChars="0"/>
                    <w:rPr>
                      <w:rFonts w:hint="default" w:ascii="Times New Roman" w:hAnsi="Times New Roman" w:eastAsia="宋体" w:cs="Times New Roman"/>
                      <w:b w:val="0"/>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2</w:t>
                  </w:r>
                </w:p>
              </w:tc>
              <w:tc>
                <w:tcPr>
                  <w:tcW w:w="248" w:type="pct"/>
                  <w:vMerge w:val="continue"/>
                  <w:noWrap w:val="0"/>
                  <w:vAlign w:val="center"/>
                </w:tcPr>
                <w:p w14:paraId="73BFFF8E">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313" w:type="pct"/>
                  <w:shd w:val="clear" w:color="auto" w:fill="auto"/>
                  <w:noWrap w:val="0"/>
                  <w:vAlign w:val="center"/>
                </w:tcPr>
                <w:p w14:paraId="0D1D00E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剪板机</w:t>
                  </w:r>
                </w:p>
              </w:tc>
              <w:tc>
                <w:tcPr>
                  <w:tcW w:w="233" w:type="pct"/>
                  <w:shd w:val="clear" w:color="auto" w:fill="auto"/>
                  <w:noWrap w:val="0"/>
                  <w:vAlign w:val="center"/>
                </w:tcPr>
                <w:p w14:paraId="4AD251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3</w:t>
                  </w:r>
                </w:p>
              </w:tc>
              <w:tc>
                <w:tcPr>
                  <w:tcW w:w="257" w:type="pct"/>
                  <w:noWrap w:val="0"/>
                  <w:vAlign w:val="center"/>
                </w:tcPr>
                <w:p w14:paraId="28DD4CE2">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w:t>
                  </w:r>
                </w:p>
              </w:tc>
              <w:tc>
                <w:tcPr>
                  <w:tcW w:w="297" w:type="pct"/>
                  <w:vMerge w:val="continue"/>
                  <w:noWrap w:val="0"/>
                  <w:vAlign w:val="center"/>
                </w:tcPr>
                <w:p w14:paraId="1A95E0AB">
                  <w:pPr>
                    <w:pStyle w:val="41"/>
                    <w:rPr>
                      <w:rFonts w:hint="default" w:ascii="Times New Roman" w:hAnsi="Times New Roman" w:eastAsia="宋体" w:cs="Times New Roman"/>
                      <w:smallCaps w:val="0"/>
                      <w:color w:val="auto"/>
                      <w:spacing w:val="0"/>
                      <w:kern w:val="0"/>
                      <w:position w:val="0"/>
                      <w:sz w:val="21"/>
                      <w:szCs w:val="21"/>
                      <w:lang w:val="en-US" w:eastAsia="zh-CN"/>
                    </w:rPr>
                  </w:pPr>
                </w:p>
              </w:tc>
              <w:tc>
                <w:tcPr>
                  <w:tcW w:w="542" w:type="dxa"/>
                  <w:noWrap w:val="0"/>
                  <w:vAlign w:val="center"/>
                </w:tcPr>
                <w:p w14:paraId="44DE840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92" w:type="dxa"/>
                  <w:noWrap w:val="0"/>
                  <w:vAlign w:val="center"/>
                </w:tcPr>
                <w:p w14:paraId="6C398D2D">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532" w:type="dxa"/>
                  <w:noWrap w:val="0"/>
                  <w:vAlign w:val="center"/>
                </w:tcPr>
                <w:p w14:paraId="1BC5F633">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2" w:type="dxa"/>
                  <w:noWrap w:val="0"/>
                  <w:vAlign w:val="center"/>
                </w:tcPr>
                <w:p w14:paraId="3C322F24">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65" w:type="dxa"/>
                  <w:noWrap w:val="0"/>
                  <w:vAlign w:val="center"/>
                </w:tcPr>
                <w:p w14:paraId="538FEB6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65" w:type="dxa"/>
                  <w:noWrap w:val="0"/>
                  <w:vAlign w:val="center"/>
                </w:tcPr>
                <w:p w14:paraId="16DC0606">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62" w:type="dxa"/>
                  <w:noWrap w:val="0"/>
                  <w:vAlign w:val="center"/>
                </w:tcPr>
                <w:p w14:paraId="6B3FEA77">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537" w:type="dxa"/>
                  <w:noWrap w:val="0"/>
                  <w:vAlign w:val="center"/>
                </w:tcPr>
                <w:p w14:paraId="39B928DA">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05" w:type="dxa"/>
                  <w:noWrap w:val="0"/>
                  <w:vAlign w:val="center"/>
                </w:tcPr>
                <w:p w14:paraId="5A42323D">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425" w:type="dxa"/>
                  <w:noWrap w:val="0"/>
                  <w:vAlign w:val="center"/>
                </w:tcPr>
                <w:p w14:paraId="166937A2">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60" w:type="dxa"/>
                  <w:noWrap w:val="0"/>
                  <w:vAlign w:val="center"/>
                </w:tcPr>
                <w:p w14:paraId="5154D57B">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w:t>
                  </w:r>
                </w:p>
              </w:tc>
              <w:tc>
                <w:tcPr>
                  <w:tcW w:w="256" w:type="pct"/>
                  <w:vMerge w:val="continue"/>
                  <w:noWrap w:val="0"/>
                  <w:vAlign w:val="center"/>
                </w:tcPr>
                <w:p w14:paraId="054DC6A4">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269" w:type="pct"/>
                  <w:vMerge w:val="continue"/>
                  <w:noWrap w:val="0"/>
                  <w:vAlign w:val="center"/>
                </w:tcPr>
                <w:p w14:paraId="7A731264">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425" w:type="dxa"/>
                  <w:noWrap w:val="0"/>
                  <w:vAlign w:val="center"/>
                </w:tcPr>
                <w:p w14:paraId="6B237E01">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5" w:type="dxa"/>
                  <w:noWrap w:val="0"/>
                  <w:vAlign w:val="center"/>
                </w:tcPr>
                <w:p w14:paraId="7A4ED18B">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5" w:type="dxa"/>
                  <w:noWrap w:val="0"/>
                  <w:vAlign w:val="center"/>
                </w:tcPr>
                <w:p w14:paraId="23655DF9">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95" w:type="dxa"/>
                  <w:noWrap w:val="0"/>
                  <w:vAlign w:val="center"/>
                </w:tcPr>
                <w:p w14:paraId="1932AA29">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r>
            <w:tr w14:paraId="442D2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noWrap w:val="0"/>
                  <w:vAlign w:val="center"/>
                </w:tcPr>
                <w:p w14:paraId="1611B589">
                  <w:pPr>
                    <w:pStyle w:val="41"/>
                    <w:ind w:firstLine="0" w:firstLineChars="0"/>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3</w:t>
                  </w:r>
                </w:p>
              </w:tc>
              <w:tc>
                <w:tcPr>
                  <w:tcW w:w="248" w:type="pct"/>
                  <w:vMerge w:val="continue"/>
                  <w:noWrap w:val="0"/>
                  <w:vAlign w:val="center"/>
                </w:tcPr>
                <w:p w14:paraId="6C6092D0">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313" w:type="pct"/>
                  <w:shd w:val="clear" w:color="auto" w:fill="auto"/>
                  <w:noWrap w:val="0"/>
                  <w:vAlign w:val="center"/>
                </w:tcPr>
                <w:p w14:paraId="3E8C501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冲床</w:t>
                  </w:r>
                </w:p>
              </w:tc>
              <w:tc>
                <w:tcPr>
                  <w:tcW w:w="233" w:type="pct"/>
                  <w:shd w:val="clear" w:color="auto" w:fill="auto"/>
                  <w:noWrap w:val="0"/>
                  <w:vAlign w:val="center"/>
                </w:tcPr>
                <w:p w14:paraId="7D35F2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rtl w:val="0"/>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4</w:t>
                  </w:r>
                </w:p>
              </w:tc>
              <w:tc>
                <w:tcPr>
                  <w:tcW w:w="257" w:type="pct"/>
                  <w:noWrap w:val="0"/>
                  <w:vAlign w:val="center"/>
                </w:tcPr>
                <w:p w14:paraId="7D321CC6">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w:t>
                  </w:r>
                </w:p>
              </w:tc>
              <w:tc>
                <w:tcPr>
                  <w:tcW w:w="297" w:type="pct"/>
                  <w:vMerge w:val="continue"/>
                  <w:noWrap w:val="0"/>
                  <w:vAlign w:val="center"/>
                </w:tcPr>
                <w:p w14:paraId="7692B3A9">
                  <w:pPr>
                    <w:pStyle w:val="41"/>
                    <w:rPr>
                      <w:rFonts w:hint="default" w:ascii="Times New Roman" w:hAnsi="Times New Roman" w:eastAsia="宋体" w:cs="Times New Roman"/>
                      <w:smallCaps w:val="0"/>
                      <w:color w:val="auto"/>
                      <w:spacing w:val="0"/>
                      <w:kern w:val="0"/>
                      <w:position w:val="0"/>
                      <w:sz w:val="21"/>
                      <w:szCs w:val="21"/>
                      <w:lang w:val="en-US" w:eastAsia="zh-CN"/>
                    </w:rPr>
                  </w:pPr>
                </w:p>
              </w:tc>
              <w:tc>
                <w:tcPr>
                  <w:tcW w:w="542" w:type="dxa"/>
                  <w:noWrap w:val="0"/>
                  <w:vAlign w:val="center"/>
                </w:tcPr>
                <w:p w14:paraId="3C10E89A">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92" w:type="dxa"/>
                  <w:noWrap w:val="0"/>
                  <w:vAlign w:val="center"/>
                </w:tcPr>
                <w:p w14:paraId="58883555">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532" w:type="dxa"/>
                  <w:noWrap w:val="0"/>
                  <w:vAlign w:val="center"/>
                </w:tcPr>
                <w:p w14:paraId="6DE170A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2" w:type="dxa"/>
                  <w:noWrap w:val="0"/>
                  <w:vAlign w:val="center"/>
                </w:tcPr>
                <w:p w14:paraId="5B2CC9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65" w:type="dxa"/>
                  <w:noWrap w:val="0"/>
                  <w:vAlign w:val="center"/>
                </w:tcPr>
                <w:p w14:paraId="30A6C2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65" w:type="dxa"/>
                  <w:noWrap w:val="0"/>
                  <w:vAlign w:val="center"/>
                </w:tcPr>
                <w:p w14:paraId="110A3C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62" w:type="dxa"/>
                  <w:noWrap w:val="0"/>
                  <w:vAlign w:val="center"/>
                </w:tcPr>
                <w:p w14:paraId="486CA5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537" w:type="dxa"/>
                  <w:noWrap w:val="0"/>
                  <w:vAlign w:val="center"/>
                </w:tcPr>
                <w:p w14:paraId="5BAC37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05" w:type="dxa"/>
                  <w:noWrap w:val="0"/>
                  <w:vAlign w:val="center"/>
                </w:tcPr>
                <w:p w14:paraId="2C16F4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w:t>
                  </w:r>
                </w:p>
              </w:tc>
              <w:tc>
                <w:tcPr>
                  <w:tcW w:w="425" w:type="dxa"/>
                  <w:noWrap w:val="0"/>
                  <w:vAlign w:val="center"/>
                </w:tcPr>
                <w:p w14:paraId="39F3E7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60" w:type="dxa"/>
                  <w:noWrap w:val="0"/>
                  <w:vAlign w:val="center"/>
                </w:tcPr>
                <w:p w14:paraId="7C2BE1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256" w:type="pct"/>
                  <w:vMerge w:val="continue"/>
                  <w:noWrap w:val="0"/>
                  <w:vAlign w:val="center"/>
                </w:tcPr>
                <w:p w14:paraId="2FB29C78">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269" w:type="pct"/>
                  <w:vMerge w:val="continue"/>
                  <w:noWrap w:val="0"/>
                  <w:vAlign w:val="center"/>
                </w:tcPr>
                <w:p w14:paraId="051F2B7B">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425" w:type="dxa"/>
                  <w:noWrap w:val="0"/>
                  <w:vAlign w:val="center"/>
                </w:tcPr>
                <w:p w14:paraId="24CAE2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25" w:type="dxa"/>
                  <w:noWrap w:val="0"/>
                  <w:vAlign w:val="center"/>
                </w:tcPr>
                <w:p w14:paraId="32D8A2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5" w:type="dxa"/>
                  <w:noWrap w:val="0"/>
                  <w:vAlign w:val="center"/>
                </w:tcPr>
                <w:p w14:paraId="49C3F4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95" w:type="dxa"/>
                  <w:noWrap w:val="0"/>
                  <w:vAlign w:val="center"/>
                </w:tcPr>
                <w:p w14:paraId="4A81C8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w:t>
                  </w:r>
                </w:p>
              </w:tc>
            </w:tr>
            <w:tr w14:paraId="31239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noWrap w:val="0"/>
                  <w:vAlign w:val="center"/>
                </w:tcPr>
                <w:p w14:paraId="36FA9B39">
                  <w:pPr>
                    <w:pStyle w:val="41"/>
                    <w:ind w:firstLine="0" w:firstLineChars="0"/>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4</w:t>
                  </w:r>
                </w:p>
              </w:tc>
              <w:tc>
                <w:tcPr>
                  <w:tcW w:w="248" w:type="pct"/>
                  <w:vMerge w:val="continue"/>
                  <w:noWrap w:val="0"/>
                  <w:vAlign w:val="center"/>
                </w:tcPr>
                <w:p w14:paraId="5D9FE7BC">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313" w:type="pct"/>
                  <w:noWrap w:val="0"/>
                  <w:vAlign w:val="center"/>
                </w:tcPr>
                <w:p w14:paraId="01690CC0">
                  <w:pPr>
                    <w:spacing w:line="240" w:lineRule="exact"/>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焊接机</w:t>
                  </w:r>
                </w:p>
              </w:tc>
              <w:tc>
                <w:tcPr>
                  <w:tcW w:w="233" w:type="pct"/>
                  <w:noWrap w:val="0"/>
                  <w:vAlign w:val="center"/>
                </w:tcPr>
                <w:p w14:paraId="35E4BB7F">
                  <w:pPr>
                    <w:spacing w:line="240" w:lineRule="exact"/>
                    <w:jc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smallCaps w:val="0"/>
                      <w:color w:val="auto"/>
                      <w:spacing w:val="0"/>
                      <w:kern w:val="0"/>
                      <w:position w:val="0"/>
                      <w:szCs w:val="21"/>
                      <w:rtl w:val="0"/>
                      <w:lang w:val="en-US" w:eastAsia="zh-CN"/>
                    </w:rPr>
                    <w:t>5</w:t>
                  </w:r>
                </w:p>
              </w:tc>
              <w:tc>
                <w:tcPr>
                  <w:tcW w:w="257" w:type="pct"/>
                  <w:noWrap w:val="0"/>
                  <w:vAlign w:val="center"/>
                </w:tcPr>
                <w:p w14:paraId="69CAB993">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297" w:type="pct"/>
                  <w:vMerge w:val="continue"/>
                  <w:noWrap w:val="0"/>
                  <w:vAlign w:val="center"/>
                </w:tcPr>
                <w:p w14:paraId="37043FF4">
                  <w:pPr>
                    <w:pStyle w:val="41"/>
                    <w:rPr>
                      <w:rFonts w:hint="default" w:ascii="Times New Roman" w:hAnsi="Times New Roman" w:eastAsia="宋体" w:cs="Times New Roman"/>
                      <w:smallCaps w:val="0"/>
                      <w:color w:val="auto"/>
                      <w:spacing w:val="0"/>
                      <w:kern w:val="0"/>
                      <w:position w:val="0"/>
                      <w:sz w:val="21"/>
                      <w:szCs w:val="21"/>
                      <w:lang w:val="en-US" w:eastAsia="zh-CN"/>
                    </w:rPr>
                  </w:pPr>
                </w:p>
              </w:tc>
              <w:tc>
                <w:tcPr>
                  <w:tcW w:w="542" w:type="dxa"/>
                  <w:noWrap w:val="0"/>
                  <w:vAlign w:val="center"/>
                </w:tcPr>
                <w:p w14:paraId="4CDD1B3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92" w:type="dxa"/>
                  <w:noWrap w:val="0"/>
                  <w:vAlign w:val="center"/>
                </w:tcPr>
                <w:p w14:paraId="042C908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532" w:type="dxa"/>
                  <w:noWrap w:val="0"/>
                  <w:vAlign w:val="center"/>
                </w:tcPr>
                <w:p w14:paraId="7CE0ACE7">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2" w:type="dxa"/>
                  <w:noWrap w:val="0"/>
                  <w:vAlign w:val="center"/>
                </w:tcPr>
                <w:p w14:paraId="3FAA22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65" w:type="dxa"/>
                  <w:noWrap w:val="0"/>
                  <w:vAlign w:val="center"/>
                </w:tcPr>
                <w:p w14:paraId="6C1DD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65" w:type="dxa"/>
                  <w:noWrap w:val="0"/>
                  <w:vAlign w:val="center"/>
                </w:tcPr>
                <w:p w14:paraId="60DD33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62" w:type="dxa"/>
                  <w:noWrap w:val="0"/>
                  <w:vAlign w:val="center"/>
                </w:tcPr>
                <w:p w14:paraId="7502C2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537" w:type="dxa"/>
                  <w:noWrap w:val="0"/>
                  <w:vAlign w:val="center"/>
                </w:tcPr>
                <w:p w14:paraId="6FA593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05" w:type="dxa"/>
                  <w:noWrap w:val="0"/>
                  <w:vAlign w:val="center"/>
                </w:tcPr>
                <w:p w14:paraId="6CE95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w:t>
                  </w:r>
                </w:p>
              </w:tc>
              <w:tc>
                <w:tcPr>
                  <w:tcW w:w="425" w:type="dxa"/>
                  <w:noWrap w:val="0"/>
                  <w:vAlign w:val="center"/>
                </w:tcPr>
                <w:p w14:paraId="7D356E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60" w:type="dxa"/>
                  <w:noWrap w:val="0"/>
                  <w:vAlign w:val="center"/>
                </w:tcPr>
                <w:p w14:paraId="075372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56" w:type="pct"/>
                  <w:vMerge w:val="continue"/>
                  <w:noWrap w:val="0"/>
                  <w:vAlign w:val="center"/>
                </w:tcPr>
                <w:p w14:paraId="0ECB9D13">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269" w:type="pct"/>
                  <w:vMerge w:val="continue"/>
                  <w:noWrap w:val="0"/>
                  <w:vAlign w:val="center"/>
                </w:tcPr>
                <w:p w14:paraId="3F060B2C">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425" w:type="dxa"/>
                  <w:noWrap w:val="0"/>
                  <w:vAlign w:val="center"/>
                </w:tcPr>
                <w:p w14:paraId="7DBA82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5" w:type="dxa"/>
                  <w:noWrap w:val="0"/>
                  <w:vAlign w:val="center"/>
                </w:tcPr>
                <w:p w14:paraId="15C96B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25" w:type="dxa"/>
                  <w:noWrap w:val="0"/>
                  <w:vAlign w:val="center"/>
                </w:tcPr>
                <w:p w14:paraId="6CBBFB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95" w:type="dxa"/>
                  <w:noWrap w:val="0"/>
                  <w:vAlign w:val="center"/>
                </w:tcPr>
                <w:p w14:paraId="745CBC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r>
            <w:tr w14:paraId="76CA1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noWrap w:val="0"/>
                  <w:vAlign w:val="center"/>
                </w:tcPr>
                <w:p w14:paraId="06C1A35D">
                  <w:pPr>
                    <w:pStyle w:val="41"/>
                    <w:ind w:firstLine="0" w:firstLineChars="0"/>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5</w:t>
                  </w:r>
                </w:p>
              </w:tc>
              <w:tc>
                <w:tcPr>
                  <w:tcW w:w="248" w:type="pct"/>
                  <w:vMerge w:val="continue"/>
                  <w:noWrap w:val="0"/>
                  <w:vAlign w:val="center"/>
                </w:tcPr>
                <w:p w14:paraId="0446EE7E">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313" w:type="pct"/>
                  <w:noWrap w:val="0"/>
                  <w:vAlign w:val="center"/>
                </w:tcPr>
                <w:p w14:paraId="26C47411">
                  <w:pPr>
                    <w:spacing w:line="240" w:lineRule="exact"/>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点焊机</w:t>
                  </w:r>
                </w:p>
              </w:tc>
              <w:tc>
                <w:tcPr>
                  <w:tcW w:w="233" w:type="pct"/>
                  <w:noWrap w:val="0"/>
                  <w:vAlign w:val="center"/>
                </w:tcPr>
                <w:p w14:paraId="786E408D">
                  <w:pPr>
                    <w:spacing w:line="240" w:lineRule="exact"/>
                    <w:jc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smallCaps w:val="0"/>
                      <w:color w:val="auto"/>
                      <w:spacing w:val="0"/>
                      <w:kern w:val="0"/>
                      <w:position w:val="0"/>
                      <w:szCs w:val="21"/>
                      <w:rtl w:val="0"/>
                      <w:lang w:val="en-US" w:eastAsia="zh-CN"/>
                    </w:rPr>
                    <w:t>3</w:t>
                  </w:r>
                </w:p>
              </w:tc>
              <w:tc>
                <w:tcPr>
                  <w:tcW w:w="257" w:type="pct"/>
                  <w:noWrap w:val="0"/>
                  <w:vAlign w:val="center"/>
                </w:tcPr>
                <w:p w14:paraId="2213B1C4">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297" w:type="pct"/>
                  <w:vMerge w:val="continue"/>
                  <w:noWrap w:val="0"/>
                  <w:vAlign w:val="center"/>
                </w:tcPr>
                <w:p w14:paraId="771D6BA1">
                  <w:pPr>
                    <w:pStyle w:val="41"/>
                    <w:rPr>
                      <w:rFonts w:hint="default" w:ascii="Times New Roman" w:hAnsi="Times New Roman" w:eastAsia="宋体" w:cs="Times New Roman"/>
                      <w:smallCaps w:val="0"/>
                      <w:color w:val="auto"/>
                      <w:spacing w:val="0"/>
                      <w:kern w:val="0"/>
                      <w:position w:val="0"/>
                      <w:sz w:val="21"/>
                      <w:szCs w:val="21"/>
                      <w:lang w:val="en-US" w:eastAsia="zh-CN"/>
                    </w:rPr>
                  </w:pPr>
                </w:p>
              </w:tc>
              <w:tc>
                <w:tcPr>
                  <w:tcW w:w="542" w:type="dxa"/>
                  <w:noWrap w:val="0"/>
                  <w:vAlign w:val="center"/>
                </w:tcPr>
                <w:p w14:paraId="7E6E9CE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92" w:type="dxa"/>
                  <w:noWrap w:val="0"/>
                  <w:vAlign w:val="center"/>
                </w:tcPr>
                <w:p w14:paraId="1D2F6F0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532" w:type="dxa"/>
                  <w:noWrap w:val="0"/>
                  <w:vAlign w:val="center"/>
                </w:tcPr>
                <w:p w14:paraId="7C4DD04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2" w:type="dxa"/>
                  <w:noWrap w:val="0"/>
                  <w:vAlign w:val="center"/>
                </w:tcPr>
                <w:p w14:paraId="37AFBA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65" w:type="dxa"/>
                  <w:noWrap w:val="0"/>
                  <w:vAlign w:val="center"/>
                </w:tcPr>
                <w:p w14:paraId="7965D6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65" w:type="dxa"/>
                  <w:noWrap w:val="0"/>
                  <w:vAlign w:val="center"/>
                </w:tcPr>
                <w:p w14:paraId="2B8063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62" w:type="dxa"/>
                  <w:noWrap w:val="0"/>
                  <w:vAlign w:val="center"/>
                </w:tcPr>
                <w:p w14:paraId="6F58A3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537" w:type="dxa"/>
                  <w:noWrap w:val="0"/>
                  <w:vAlign w:val="center"/>
                </w:tcPr>
                <w:p w14:paraId="0F3DCA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05" w:type="dxa"/>
                  <w:noWrap w:val="0"/>
                  <w:vAlign w:val="center"/>
                </w:tcPr>
                <w:p w14:paraId="6016D2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w:t>
                  </w:r>
                </w:p>
              </w:tc>
              <w:tc>
                <w:tcPr>
                  <w:tcW w:w="425" w:type="dxa"/>
                  <w:noWrap w:val="0"/>
                  <w:vAlign w:val="center"/>
                </w:tcPr>
                <w:p w14:paraId="33BB0B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60" w:type="dxa"/>
                  <w:noWrap w:val="0"/>
                  <w:vAlign w:val="center"/>
                </w:tcPr>
                <w:p w14:paraId="386BAE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w:t>
                  </w:r>
                </w:p>
              </w:tc>
              <w:tc>
                <w:tcPr>
                  <w:tcW w:w="256" w:type="pct"/>
                  <w:vMerge w:val="continue"/>
                  <w:noWrap w:val="0"/>
                  <w:vAlign w:val="center"/>
                </w:tcPr>
                <w:p w14:paraId="1E6A30BB">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269" w:type="pct"/>
                  <w:vMerge w:val="continue"/>
                  <w:noWrap w:val="0"/>
                  <w:vAlign w:val="center"/>
                </w:tcPr>
                <w:p w14:paraId="52FEBF0F">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425" w:type="dxa"/>
                  <w:noWrap w:val="0"/>
                  <w:vAlign w:val="center"/>
                </w:tcPr>
                <w:p w14:paraId="5AAE42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25" w:type="dxa"/>
                  <w:noWrap w:val="0"/>
                  <w:vAlign w:val="center"/>
                </w:tcPr>
                <w:p w14:paraId="4FA1D7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w:t>
                  </w:r>
                </w:p>
              </w:tc>
              <w:tc>
                <w:tcPr>
                  <w:tcW w:w="425" w:type="dxa"/>
                  <w:noWrap w:val="0"/>
                  <w:vAlign w:val="center"/>
                </w:tcPr>
                <w:p w14:paraId="6CE992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95" w:type="dxa"/>
                  <w:noWrap w:val="0"/>
                  <w:vAlign w:val="center"/>
                </w:tcPr>
                <w:p w14:paraId="6E71B5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w:t>
                  </w:r>
                </w:p>
              </w:tc>
            </w:tr>
            <w:tr w14:paraId="19227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noWrap w:val="0"/>
                  <w:vAlign w:val="center"/>
                </w:tcPr>
                <w:p w14:paraId="4E92A4E8">
                  <w:pPr>
                    <w:pStyle w:val="41"/>
                    <w:ind w:firstLine="0" w:firstLineChars="0"/>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6</w:t>
                  </w:r>
                </w:p>
              </w:tc>
              <w:tc>
                <w:tcPr>
                  <w:tcW w:w="248" w:type="pct"/>
                  <w:vMerge w:val="continue"/>
                  <w:noWrap w:val="0"/>
                  <w:vAlign w:val="center"/>
                </w:tcPr>
                <w:p w14:paraId="4B7B1DF8">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313" w:type="pct"/>
                  <w:shd w:val="clear" w:color="auto" w:fill="auto"/>
                  <w:noWrap w:val="0"/>
                  <w:vAlign w:val="center"/>
                </w:tcPr>
                <w:p w14:paraId="55E465D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UV印刷机</w:t>
                  </w:r>
                </w:p>
              </w:tc>
              <w:tc>
                <w:tcPr>
                  <w:tcW w:w="233" w:type="pct"/>
                  <w:noWrap w:val="0"/>
                  <w:vAlign w:val="center"/>
                </w:tcPr>
                <w:p w14:paraId="7BC54A2D">
                  <w:pPr>
                    <w:spacing w:line="240" w:lineRule="exact"/>
                    <w:jc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smallCaps w:val="0"/>
                      <w:color w:val="auto"/>
                      <w:spacing w:val="0"/>
                      <w:kern w:val="0"/>
                      <w:position w:val="0"/>
                      <w:szCs w:val="21"/>
                      <w:rtl w:val="0"/>
                      <w:lang w:val="en-US" w:eastAsia="zh-CN"/>
                    </w:rPr>
                    <w:t>1</w:t>
                  </w:r>
                </w:p>
              </w:tc>
              <w:tc>
                <w:tcPr>
                  <w:tcW w:w="257" w:type="pct"/>
                  <w:noWrap w:val="0"/>
                  <w:vAlign w:val="center"/>
                </w:tcPr>
                <w:p w14:paraId="60B8426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c>
                <w:tcPr>
                  <w:tcW w:w="297" w:type="pct"/>
                  <w:vMerge w:val="continue"/>
                  <w:noWrap w:val="0"/>
                  <w:vAlign w:val="center"/>
                </w:tcPr>
                <w:p w14:paraId="7EB690AE">
                  <w:pPr>
                    <w:pStyle w:val="41"/>
                    <w:rPr>
                      <w:rFonts w:hint="default" w:ascii="Times New Roman" w:hAnsi="Times New Roman" w:eastAsia="宋体" w:cs="Times New Roman"/>
                      <w:smallCaps w:val="0"/>
                      <w:color w:val="auto"/>
                      <w:spacing w:val="0"/>
                      <w:kern w:val="0"/>
                      <w:position w:val="0"/>
                      <w:sz w:val="21"/>
                      <w:szCs w:val="21"/>
                      <w:lang w:val="en-US" w:eastAsia="zh-CN"/>
                    </w:rPr>
                  </w:pPr>
                </w:p>
              </w:tc>
              <w:tc>
                <w:tcPr>
                  <w:tcW w:w="542" w:type="dxa"/>
                  <w:noWrap w:val="0"/>
                  <w:vAlign w:val="center"/>
                </w:tcPr>
                <w:p w14:paraId="6C962163">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92" w:type="dxa"/>
                  <w:noWrap w:val="0"/>
                  <w:vAlign w:val="center"/>
                </w:tcPr>
                <w:p w14:paraId="723058D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532" w:type="dxa"/>
                  <w:noWrap w:val="0"/>
                  <w:vAlign w:val="center"/>
                </w:tcPr>
                <w:p w14:paraId="7DDF4681">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2" w:type="dxa"/>
                  <w:noWrap w:val="0"/>
                  <w:vAlign w:val="center"/>
                </w:tcPr>
                <w:p w14:paraId="2C4BC4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65" w:type="dxa"/>
                  <w:noWrap w:val="0"/>
                  <w:vAlign w:val="center"/>
                </w:tcPr>
                <w:p w14:paraId="224582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65" w:type="dxa"/>
                  <w:noWrap w:val="0"/>
                  <w:vAlign w:val="center"/>
                </w:tcPr>
                <w:p w14:paraId="026A30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w:t>
                  </w:r>
                </w:p>
              </w:tc>
              <w:tc>
                <w:tcPr>
                  <w:tcW w:w="562" w:type="dxa"/>
                  <w:noWrap w:val="0"/>
                  <w:vAlign w:val="center"/>
                </w:tcPr>
                <w:p w14:paraId="3EF4FB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537" w:type="dxa"/>
                  <w:noWrap w:val="0"/>
                  <w:vAlign w:val="center"/>
                </w:tcPr>
                <w:p w14:paraId="6B8FED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05" w:type="dxa"/>
                  <w:noWrap w:val="0"/>
                  <w:vAlign w:val="center"/>
                </w:tcPr>
                <w:p w14:paraId="2246FC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5" w:type="dxa"/>
                  <w:noWrap w:val="0"/>
                  <w:vAlign w:val="center"/>
                </w:tcPr>
                <w:p w14:paraId="744F0C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60" w:type="dxa"/>
                  <w:noWrap w:val="0"/>
                  <w:vAlign w:val="center"/>
                </w:tcPr>
                <w:p w14:paraId="4325D2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w:t>
                  </w:r>
                </w:p>
              </w:tc>
              <w:tc>
                <w:tcPr>
                  <w:tcW w:w="256" w:type="pct"/>
                  <w:vMerge w:val="continue"/>
                  <w:noWrap w:val="0"/>
                  <w:vAlign w:val="center"/>
                </w:tcPr>
                <w:p w14:paraId="67BA00FA">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269" w:type="pct"/>
                  <w:vMerge w:val="continue"/>
                  <w:noWrap w:val="0"/>
                  <w:vAlign w:val="center"/>
                </w:tcPr>
                <w:p w14:paraId="3B233854">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425" w:type="dxa"/>
                  <w:noWrap w:val="0"/>
                  <w:vAlign w:val="center"/>
                </w:tcPr>
                <w:p w14:paraId="7A1F10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5" w:type="dxa"/>
                  <w:noWrap w:val="0"/>
                  <w:vAlign w:val="center"/>
                </w:tcPr>
                <w:p w14:paraId="3F3D50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25" w:type="dxa"/>
                  <w:noWrap w:val="0"/>
                  <w:vAlign w:val="center"/>
                </w:tcPr>
                <w:p w14:paraId="3890A0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95" w:type="dxa"/>
                  <w:noWrap w:val="0"/>
                  <w:vAlign w:val="center"/>
                </w:tcPr>
                <w:p w14:paraId="7D7F7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r>
            <w:tr w14:paraId="170B7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4" w:type="pct"/>
                  <w:noWrap w:val="0"/>
                  <w:vAlign w:val="center"/>
                </w:tcPr>
                <w:p w14:paraId="192768BA">
                  <w:pPr>
                    <w:pStyle w:val="41"/>
                    <w:ind w:firstLine="0" w:firstLineChars="0"/>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7</w:t>
                  </w:r>
                </w:p>
              </w:tc>
              <w:tc>
                <w:tcPr>
                  <w:tcW w:w="248" w:type="pct"/>
                  <w:vMerge w:val="continue"/>
                  <w:noWrap w:val="0"/>
                  <w:vAlign w:val="center"/>
                </w:tcPr>
                <w:p w14:paraId="66B308E1">
                  <w:pPr>
                    <w:pStyle w:val="41"/>
                    <w:rPr>
                      <w:rFonts w:hint="default" w:ascii="Times New Roman" w:hAnsi="Times New Roman" w:eastAsia="宋体" w:cs="Times New Roman"/>
                      <w:b w:val="0"/>
                      <w:smallCaps w:val="0"/>
                      <w:color w:val="auto"/>
                      <w:spacing w:val="0"/>
                      <w:kern w:val="0"/>
                      <w:position w:val="0"/>
                      <w:sz w:val="21"/>
                      <w:szCs w:val="21"/>
                      <w:lang w:val="en-US" w:eastAsia="zh-CN" w:bidi="ar-SA"/>
                    </w:rPr>
                  </w:pPr>
                </w:p>
              </w:tc>
              <w:tc>
                <w:tcPr>
                  <w:tcW w:w="313" w:type="pct"/>
                  <w:shd w:val="clear" w:color="auto" w:fill="auto"/>
                  <w:noWrap w:val="0"/>
                  <w:vAlign w:val="center"/>
                </w:tcPr>
                <w:p w14:paraId="25FEB90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rPr>
                    <w:t>切割机</w:t>
                  </w:r>
                </w:p>
              </w:tc>
              <w:tc>
                <w:tcPr>
                  <w:tcW w:w="233" w:type="pct"/>
                  <w:noWrap w:val="0"/>
                  <w:vAlign w:val="center"/>
                </w:tcPr>
                <w:p w14:paraId="25B12B55">
                  <w:pPr>
                    <w:spacing w:line="240" w:lineRule="exact"/>
                    <w:jc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smallCaps w:val="0"/>
                      <w:color w:val="auto"/>
                      <w:spacing w:val="0"/>
                      <w:kern w:val="0"/>
                      <w:position w:val="0"/>
                      <w:szCs w:val="21"/>
                      <w:rtl w:val="0"/>
                      <w:lang w:val="en-US" w:eastAsia="zh-CN"/>
                    </w:rPr>
                    <w:t>1</w:t>
                  </w:r>
                </w:p>
              </w:tc>
              <w:tc>
                <w:tcPr>
                  <w:tcW w:w="257" w:type="pct"/>
                  <w:noWrap w:val="0"/>
                  <w:vAlign w:val="center"/>
                </w:tcPr>
                <w:p w14:paraId="477E4A3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w:t>
                  </w:r>
                </w:p>
              </w:tc>
              <w:tc>
                <w:tcPr>
                  <w:tcW w:w="297" w:type="pct"/>
                  <w:vMerge w:val="continue"/>
                  <w:noWrap w:val="0"/>
                  <w:vAlign w:val="center"/>
                </w:tcPr>
                <w:p w14:paraId="28BAD455">
                  <w:pPr>
                    <w:pStyle w:val="41"/>
                    <w:rPr>
                      <w:rFonts w:hint="default" w:ascii="Times New Roman" w:hAnsi="Times New Roman" w:eastAsia="宋体" w:cs="Times New Roman"/>
                      <w:smallCaps w:val="0"/>
                      <w:color w:val="auto"/>
                      <w:spacing w:val="0"/>
                      <w:kern w:val="0"/>
                      <w:position w:val="0"/>
                      <w:sz w:val="21"/>
                      <w:szCs w:val="21"/>
                      <w:lang w:val="en-US" w:eastAsia="zh-CN"/>
                    </w:rPr>
                  </w:pPr>
                </w:p>
              </w:tc>
              <w:tc>
                <w:tcPr>
                  <w:tcW w:w="542" w:type="dxa"/>
                  <w:noWrap w:val="0"/>
                  <w:vAlign w:val="center"/>
                </w:tcPr>
                <w:p w14:paraId="5DF78DB5">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92" w:type="dxa"/>
                  <w:noWrap w:val="0"/>
                  <w:vAlign w:val="center"/>
                </w:tcPr>
                <w:p w14:paraId="45900BDA">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532" w:type="dxa"/>
                  <w:noWrap w:val="0"/>
                  <w:vAlign w:val="center"/>
                </w:tcPr>
                <w:p w14:paraId="45AF56BA">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Cs w:val="21"/>
                      <w:rtl w:val="0"/>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92" w:type="dxa"/>
                  <w:noWrap w:val="0"/>
                  <w:vAlign w:val="center"/>
                </w:tcPr>
                <w:p w14:paraId="746F0B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65" w:type="dxa"/>
                  <w:noWrap w:val="0"/>
                  <w:vAlign w:val="center"/>
                </w:tcPr>
                <w:p w14:paraId="528B47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65" w:type="dxa"/>
                  <w:noWrap w:val="0"/>
                  <w:vAlign w:val="center"/>
                </w:tcPr>
                <w:p w14:paraId="0916C1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62" w:type="dxa"/>
                  <w:noWrap w:val="0"/>
                  <w:vAlign w:val="center"/>
                </w:tcPr>
                <w:p w14:paraId="4D0E0E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537" w:type="dxa"/>
                  <w:noWrap w:val="0"/>
                  <w:vAlign w:val="center"/>
                </w:tcPr>
                <w:p w14:paraId="218E74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05" w:type="dxa"/>
                  <w:noWrap w:val="0"/>
                  <w:vAlign w:val="center"/>
                </w:tcPr>
                <w:p w14:paraId="1985B8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w:t>
                  </w:r>
                </w:p>
              </w:tc>
              <w:tc>
                <w:tcPr>
                  <w:tcW w:w="425" w:type="dxa"/>
                  <w:noWrap w:val="0"/>
                  <w:vAlign w:val="center"/>
                </w:tcPr>
                <w:p w14:paraId="511AA9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60" w:type="dxa"/>
                  <w:noWrap w:val="0"/>
                  <w:vAlign w:val="center"/>
                </w:tcPr>
                <w:p w14:paraId="69F48E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w:t>
                  </w:r>
                </w:p>
              </w:tc>
              <w:tc>
                <w:tcPr>
                  <w:tcW w:w="256" w:type="pct"/>
                  <w:vMerge w:val="continue"/>
                  <w:noWrap w:val="0"/>
                  <w:vAlign w:val="center"/>
                </w:tcPr>
                <w:p w14:paraId="6A42540F">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269" w:type="pct"/>
                  <w:vMerge w:val="continue"/>
                  <w:noWrap w:val="0"/>
                  <w:vAlign w:val="center"/>
                </w:tcPr>
                <w:p w14:paraId="193253C1">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p>
              </w:tc>
              <w:tc>
                <w:tcPr>
                  <w:tcW w:w="425" w:type="dxa"/>
                  <w:noWrap w:val="0"/>
                  <w:vAlign w:val="center"/>
                </w:tcPr>
                <w:p w14:paraId="40CE12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25" w:type="dxa"/>
                  <w:noWrap w:val="0"/>
                  <w:vAlign w:val="center"/>
                </w:tcPr>
                <w:p w14:paraId="220CC2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25" w:type="dxa"/>
                  <w:noWrap w:val="0"/>
                  <w:vAlign w:val="center"/>
                </w:tcPr>
                <w:p w14:paraId="221643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95" w:type="dxa"/>
                  <w:noWrap w:val="0"/>
                  <w:vAlign w:val="center"/>
                </w:tcPr>
                <w:p w14:paraId="6B7BDB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w:t>
                  </w:r>
                </w:p>
              </w:tc>
            </w:tr>
          </w:tbl>
          <w:p w14:paraId="40DC5DCA">
            <w:pPr>
              <w:pStyle w:val="8"/>
              <w:numPr>
                <w:ilvl w:val="0"/>
                <w:numId w:val="0"/>
              </w:numPr>
              <w:tabs>
                <w:tab w:val="left" w:pos="1260"/>
                <w:tab w:val="clear" w:pos="2040"/>
              </w:tabs>
              <w:rPr>
                <w:rFonts w:hint="default" w:ascii="Times New Roman" w:hAnsi="Times New Roman" w:eastAsia="宋体" w:cs="Times New Roman"/>
                <w:b/>
                <w:bCs/>
                <w:smallCaps w:val="0"/>
                <w:color w:val="auto"/>
                <w:spacing w:val="0"/>
                <w:kern w:val="0"/>
                <w:position w:val="0"/>
                <w:vertAlign w:val="baseline"/>
              </w:rPr>
            </w:pPr>
            <w:r>
              <w:rPr>
                <w:rFonts w:hint="default" w:ascii="Times New Roman" w:hAnsi="Times New Roman" w:eastAsia="宋体" w:cs="Times New Roman"/>
                <w:b/>
                <w:bCs/>
                <w:smallCaps w:val="0"/>
                <w:color w:val="auto"/>
                <w:spacing w:val="0"/>
                <w:kern w:val="0"/>
                <w:position w:val="0"/>
                <w:vertAlign w:val="baseline"/>
              </w:rPr>
              <w:t>注：空间相对位置</w:t>
            </w:r>
            <w:r>
              <w:rPr>
                <w:rFonts w:hint="default" w:ascii="Times New Roman" w:hAnsi="Times New Roman" w:eastAsia="宋体" w:cs="Times New Roman"/>
                <w:b/>
                <w:bCs/>
                <w:smallCaps w:val="0"/>
                <w:color w:val="auto"/>
                <w:spacing w:val="0"/>
                <w:kern w:val="0"/>
                <w:position w:val="0"/>
                <w:vertAlign w:val="baseline"/>
                <w:lang w:val="en-US" w:eastAsia="zh-CN"/>
              </w:rPr>
              <w:t>原点</w:t>
            </w:r>
            <w:r>
              <w:rPr>
                <w:rFonts w:hint="default" w:ascii="Times New Roman" w:hAnsi="Times New Roman" w:eastAsia="宋体" w:cs="Times New Roman"/>
                <w:b/>
                <w:bCs/>
                <w:smallCaps w:val="0"/>
                <w:color w:val="auto"/>
                <w:spacing w:val="0"/>
                <w:kern w:val="0"/>
                <w:position w:val="0"/>
                <w:vertAlign w:val="baseline"/>
              </w:rPr>
              <w:t>为企业东南角，Z轴以地面高度为0点。</w:t>
            </w:r>
          </w:p>
          <w:p w14:paraId="048E9912">
            <w:pPr>
              <w:adjustRightInd w:val="0"/>
              <w:snapToGrid w:val="0"/>
              <w:spacing w:before="60" w:after="60" w:line="360" w:lineRule="auto"/>
              <w:rPr>
                <w:rFonts w:hint="default" w:ascii="Times New Roman" w:hAnsi="Times New Roman" w:eastAsia="宋体" w:cs="Times New Roman"/>
                <w:b/>
                <w:smallCaps w:val="0"/>
                <w:color w:val="auto"/>
                <w:spacing w:val="0"/>
                <w:kern w:val="0"/>
                <w:position w:val="0"/>
                <w:sz w:val="28"/>
                <w:szCs w:val="28"/>
                <w:vertAlign w:val="baseline"/>
              </w:rPr>
            </w:pPr>
          </w:p>
        </w:tc>
      </w:tr>
    </w:tbl>
    <w:p w14:paraId="26AA78D5">
      <w:pPr>
        <w:adjustRightInd w:val="0"/>
        <w:snapToGrid w:val="0"/>
        <w:spacing w:before="60" w:after="60" w:line="360" w:lineRule="auto"/>
        <w:ind w:firstLine="582"/>
        <w:rPr>
          <w:rFonts w:hint="default" w:ascii="Times New Roman" w:hAnsi="Times New Roman" w:eastAsia="宋体" w:cs="Times New Roman"/>
          <w:b/>
          <w:smallCaps w:val="0"/>
          <w:color w:val="auto"/>
          <w:spacing w:val="0"/>
          <w:kern w:val="0"/>
          <w:positio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Layout w:type="fixed"/>
        <w:tblCellMar>
          <w:top w:w="0" w:type="dxa"/>
          <w:left w:w="108" w:type="dxa"/>
          <w:bottom w:w="0" w:type="dxa"/>
          <w:right w:w="108" w:type="dxa"/>
        </w:tblCellMar>
      </w:tblPr>
      <w:tblGrid>
        <w:gridCol w:w="527"/>
        <w:gridCol w:w="8534"/>
      </w:tblGrid>
      <w:tr w14:paraId="5B78D454">
        <w:tblPrEx>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CellMar>
            <w:top w:w="0" w:type="dxa"/>
            <w:left w:w="108" w:type="dxa"/>
            <w:bottom w:w="0" w:type="dxa"/>
            <w:right w:w="108" w:type="dxa"/>
          </w:tblCellMar>
        </w:tblPrEx>
        <w:tc>
          <w:tcPr>
            <w:tcW w:w="290" w:type="pct"/>
            <w:tcBorders>
              <w:tl2br w:val="nil"/>
              <w:tr2bl w:val="nil"/>
            </w:tcBorders>
            <w:noWrap w:val="0"/>
            <w:vAlign w:val="center"/>
          </w:tcPr>
          <w:p w14:paraId="515BB68C">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运营</w:t>
            </w:r>
          </w:p>
          <w:p w14:paraId="3000AD4C">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期环</w:t>
            </w:r>
          </w:p>
          <w:p w14:paraId="33A5458E">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境影</w:t>
            </w:r>
          </w:p>
          <w:p w14:paraId="34EEBFEB">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响和</w:t>
            </w:r>
          </w:p>
          <w:p w14:paraId="606D5C9F">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保护</w:t>
            </w:r>
          </w:p>
          <w:p w14:paraId="274088D8">
            <w:pPr>
              <w:pStyle w:val="16"/>
              <w:adjustRightInd w:val="0"/>
              <w:snapToGrid w:val="0"/>
              <w:spacing w:before="0" w:beforeAutospacing="0" w:after="0" w:afterAutospacing="0"/>
              <w:jc w:val="center"/>
              <w:rPr>
                <w:rFonts w:hint="default" w:ascii="Times New Roman" w:hAnsi="Times New Roman" w:eastAsia="宋体" w:cs="Times New Roman"/>
                <w:b/>
                <w:smallCaps w:val="0"/>
                <w:color w:val="auto"/>
                <w:spacing w:val="0"/>
                <w:kern w:val="0"/>
                <w:position w:val="0"/>
                <w:sz w:val="28"/>
                <w:szCs w:val="28"/>
                <w:vertAlign w:val="baseline"/>
              </w:rPr>
            </w:pPr>
            <w:r>
              <w:rPr>
                <w:rFonts w:hint="default" w:ascii="Times New Roman" w:hAnsi="Times New Roman" w:eastAsia="宋体" w:cs="Times New Roman"/>
                <w:b/>
                <w:bCs/>
                <w:smallCaps w:val="0"/>
                <w:color w:val="auto"/>
                <w:spacing w:val="0"/>
                <w:kern w:val="0"/>
                <w:position w:val="0"/>
                <w:szCs w:val="24"/>
              </w:rPr>
              <w:t>措施</w:t>
            </w:r>
          </w:p>
        </w:tc>
        <w:tc>
          <w:tcPr>
            <w:tcW w:w="4709" w:type="pct"/>
            <w:tcBorders>
              <w:tl2br w:val="nil"/>
              <w:tr2bl w:val="nil"/>
            </w:tcBorders>
            <w:noWrap w:val="0"/>
            <w:vAlign w:val="top"/>
          </w:tcPr>
          <w:p w14:paraId="0E9442A2">
            <w:pPr>
              <w:pStyle w:val="25"/>
              <w:spacing w:before="0" w:beforeLines="0" w:after="0" w:afterLines="0" w:line="440" w:lineRule="exact"/>
              <w:ind w:firstLine="502"/>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3.2治理措施</w:t>
            </w:r>
          </w:p>
          <w:p w14:paraId="24FE1509">
            <w:pPr>
              <w:pStyle w:val="25"/>
              <w:spacing w:before="0" w:beforeLines="0" w:after="0" w:afterLines="0" w:line="440" w:lineRule="exact"/>
              <w:ind w:firstLine="50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应按照《工业企业噪声控制设计规范》对厂内主要噪声源合理布局：</w:t>
            </w:r>
          </w:p>
          <w:p w14:paraId="2E3FEC33">
            <w:pPr>
              <w:pStyle w:val="25"/>
              <w:spacing w:before="0" w:beforeLines="0" w:after="0" w:afterLines="0" w:line="440" w:lineRule="exact"/>
              <w:ind w:firstLine="50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①在满足工艺流程要求的前提下，高噪声设备相对集中</w:t>
            </w:r>
            <w:r>
              <w:rPr>
                <w:rFonts w:hint="default" w:ascii="Times New Roman" w:hAnsi="Times New Roman" w:eastAsia="宋体" w:cs="Times New Roman"/>
                <w:smallCaps w:val="0"/>
                <w:color w:val="auto"/>
                <w:spacing w:val="0"/>
                <w:kern w:val="0"/>
                <w:position w:val="0"/>
                <w:lang w:eastAsia="zh-CN"/>
              </w:rPr>
              <w:t>，</w:t>
            </w:r>
            <w:r>
              <w:rPr>
                <w:rFonts w:hint="default" w:ascii="Times New Roman" w:hAnsi="Times New Roman" w:eastAsia="宋体" w:cs="Times New Roman"/>
                <w:smallCaps w:val="0"/>
                <w:color w:val="auto"/>
                <w:spacing w:val="0"/>
                <w:kern w:val="0"/>
                <w:position w:val="0"/>
              </w:rPr>
              <w:t>并尽量布置在厂房的一隅，车间隔声能力应按25dB(A)设计，并能充分利用建筑物的隔声及距离的衰减。</w:t>
            </w:r>
          </w:p>
          <w:p w14:paraId="332260D8">
            <w:pPr>
              <w:pStyle w:val="25"/>
              <w:spacing w:before="0" w:beforeLines="0" w:after="0" w:afterLines="0" w:line="440" w:lineRule="exact"/>
              <w:ind w:firstLine="50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②有强烈振动的设备，不布置在楼板或平台上。</w:t>
            </w:r>
          </w:p>
          <w:p w14:paraId="6002CECD">
            <w:pPr>
              <w:pStyle w:val="25"/>
              <w:spacing w:before="0" w:beforeLines="0" w:after="0" w:afterLines="0" w:line="440" w:lineRule="exact"/>
              <w:ind w:firstLine="50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③设备布置时，考虑与其配用的噪声控制专用设备的安装和维修所需的空间。</w:t>
            </w:r>
          </w:p>
          <w:p w14:paraId="5ED79EE7">
            <w:pPr>
              <w:pStyle w:val="25"/>
              <w:spacing w:before="0" w:beforeLines="0" w:after="0" w:afterLines="0" w:line="440" w:lineRule="exact"/>
              <w:ind w:firstLine="50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④选用噪声较低、振动较小的设备</w:t>
            </w:r>
            <w:r>
              <w:rPr>
                <w:rFonts w:hint="default" w:ascii="Times New Roman" w:hAnsi="Times New Roman" w:eastAsia="宋体" w:cs="Times New Roman"/>
                <w:smallCaps w:val="0"/>
                <w:color w:val="auto"/>
                <w:spacing w:val="0"/>
                <w:kern w:val="0"/>
                <w:position w:val="0"/>
                <w:lang w:eastAsia="zh-CN"/>
              </w:rPr>
              <w:t>；</w:t>
            </w:r>
            <w:r>
              <w:rPr>
                <w:rFonts w:hint="default" w:ascii="Times New Roman" w:hAnsi="Times New Roman" w:eastAsia="宋体" w:cs="Times New Roman"/>
                <w:smallCaps w:val="0"/>
                <w:color w:val="auto"/>
                <w:spacing w:val="0"/>
                <w:kern w:val="0"/>
                <w:position w:val="0"/>
              </w:rPr>
              <w:t>在对主要噪声源设备选择时，应收集和比较同类型设备的噪声指标</w:t>
            </w:r>
            <w:r>
              <w:rPr>
                <w:rFonts w:hint="default" w:ascii="Times New Roman" w:hAnsi="Times New Roman" w:eastAsia="宋体" w:cs="Times New Roman"/>
                <w:smallCaps w:val="0"/>
                <w:color w:val="auto"/>
                <w:spacing w:val="0"/>
                <w:kern w:val="0"/>
                <w:position w:val="0"/>
                <w:lang w:eastAsia="zh-CN"/>
              </w:rPr>
              <w:t>：</w:t>
            </w:r>
            <w:r>
              <w:rPr>
                <w:rFonts w:hint="default" w:ascii="Times New Roman" w:hAnsi="Times New Roman" w:eastAsia="宋体" w:cs="Times New Roman"/>
                <w:smallCaps w:val="0"/>
                <w:color w:val="auto"/>
                <w:spacing w:val="0"/>
                <w:kern w:val="0"/>
                <w:position w:val="0"/>
              </w:rPr>
              <w:t>对于噪声较大的设备，应从设备选型开始要求供货商提供符合要求的低噪声设备。</w:t>
            </w:r>
          </w:p>
          <w:p w14:paraId="06319885">
            <w:pPr>
              <w:pStyle w:val="25"/>
              <w:spacing w:before="0" w:beforeLines="0" w:after="0" w:afterLines="0" w:line="440" w:lineRule="exact"/>
              <w:ind w:firstLine="50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⑤主要噪声源布置、安装时，应尽量远离厂界。</w:t>
            </w:r>
          </w:p>
          <w:p w14:paraId="04F4DA7A">
            <w:pPr>
              <w:pStyle w:val="25"/>
              <w:spacing w:before="0" w:beforeLines="0" w:after="0" w:afterLines="0" w:line="440" w:lineRule="exact"/>
              <w:ind w:firstLine="502"/>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3.3噪声达标排放情况</w:t>
            </w:r>
          </w:p>
          <w:p w14:paraId="0C5A9A86">
            <w:pPr>
              <w:pStyle w:val="25"/>
              <w:spacing w:before="0" w:beforeLines="0" w:after="0" w:afterLines="0" w:line="440" w:lineRule="exact"/>
              <w:ind w:firstLine="50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根据《环境影响评价技术导则-声环境》（HJ2.4-2021）推荐的方法</w:t>
            </w:r>
          </w:p>
          <w:p w14:paraId="4C071137">
            <w:pPr>
              <w:keepNext w:val="0"/>
              <w:keepLines w:val="0"/>
              <w:pageBreakBefore w:val="0"/>
              <w:widowControl w:val="0"/>
              <w:tabs>
                <w:tab w:val="left" w:pos="166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smallCaps w:val="0"/>
                <w:color w:val="auto"/>
                <w:spacing w:val="0"/>
                <w:kern w:val="0"/>
                <w:position w:val="0"/>
                <w:sz w:val="21"/>
                <w:szCs w:val="22"/>
              </w:rPr>
            </w:pPr>
            <w:r>
              <w:rPr>
                <w:rFonts w:hint="default" w:ascii="Times New Roman" w:hAnsi="Times New Roman" w:eastAsia="宋体" w:cs="Times New Roman"/>
                <w:b/>
                <w:smallCaps w:val="0"/>
                <w:color w:val="auto"/>
                <w:spacing w:val="0"/>
                <w:kern w:val="0"/>
                <w:position w:val="0"/>
                <w:sz w:val="21"/>
                <w:szCs w:val="22"/>
              </w:rPr>
              <w:t>表4</w:t>
            </w:r>
            <w:r>
              <w:rPr>
                <w:rFonts w:hint="default" w:ascii="Times New Roman" w:hAnsi="Times New Roman" w:eastAsia="宋体" w:cs="Times New Roman"/>
                <w:b/>
                <w:smallCaps w:val="0"/>
                <w:color w:val="auto"/>
                <w:spacing w:val="0"/>
                <w:kern w:val="0"/>
                <w:position w:val="0"/>
                <w:sz w:val="21"/>
                <w:szCs w:val="22"/>
                <w:lang w:val="en-US" w:eastAsia="zh-CN"/>
              </w:rPr>
              <w:t>-12</w:t>
            </w:r>
            <w:r>
              <w:rPr>
                <w:rFonts w:hint="default" w:ascii="Times New Roman" w:hAnsi="Times New Roman" w:eastAsia="宋体" w:cs="Times New Roman"/>
                <w:b/>
                <w:smallCaps w:val="0"/>
                <w:color w:val="auto"/>
                <w:spacing w:val="0"/>
                <w:kern w:val="0"/>
                <w:position w:val="0"/>
                <w:sz w:val="21"/>
                <w:szCs w:val="22"/>
              </w:rPr>
              <w:t>各厂界噪声预测结果单位：dB（A）</w:t>
            </w:r>
          </w:p>
          <w:tbl>
            <w:tblPr>
              <w:tblStyle w:val="17"/>
              <w:tblW w:w="4998" w:type="pct"/>
              <w:jc w:val="center"/>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Layout w:type="fixed"/>
              <w:tblCellMar>
                <w:top w:w="0" w:type="dxa"/>
                <w:left w:w="108" w:type="dxa"/>
                <w:bottom w:w="0" w:type="dxa"/>
                <w:right w:w="108" w:type="dxa"/>
              </w:tblCellMar>
            </w:tblPr>
            <w:tblGrid>
              <w:gridCol w:w="1641"/>
              <w:gridCol w:w="1658"/>
              <w:gridCol w:w="1660"/>
              <w:gridCol w:w="1660"/>
              <w:gridCol w:w="1686"/>
            </w:tblGrid>
            <w:tr w14:paraId="520770DF">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88" w:type="pct"/>
                  <w:vMerge w:val="restart"/>
                  <w:noWrap/>
                  <w:vAlign w:val="center"/>
                </w:tcPr>
                <w:p w14:paraId="074368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项目</w:t>
                  </w:r>
                </w:p>
              </w:tc>
              <w:tc>
                <w:tcPr>
                  <w:tcW w:w="4011" w:type="pct"/>
                  <w:gridSpan w:val="4"/>
                  <w:tcBorders>
                    <w:bottom w:val="single" w:color="auto" w:sz="12" w:space="0"/>
                  </w:tcBorders>
                  <w:noWrap/>
                  <w:vAlign w:val="center"/>
                </w:tcPr>
                <w:p w14:paraId="5B52DA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0"/>
                      <w:sz w:val="21"/>
                      <w:szCs w:val="21"/>
                    </w:rPr>
                  </w:pPr>
                  <w:r>
                    <w:rPr>
                      <w:rFonts w:hint="default" w:ascii="Times New Roman" w:hAnsi="Times New Roman" w:eastAsia="宋体" w:cs="Times New Roman"/>
                      <w:b/>
                      <w:bCs/>
                      <w:color w:val="auto"/>
                      <w:spacing w:val="0"/>
                      <w:kern w:val="0"/>
                      <w:sz w:val="21"/>
                      <w:szCs w:val="21"/>
                      <w:lang w:val="en-US" w:eastAsia="zh-CN"/>
                    </w:rPr>
                    <w:t>厂界</w:t>
                  </w:r>
                </w:p>
              </w:tc>
            </w:tr>
            <w:tr w14:paraId="4F1B21EB">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88" w:type="pct"/>
                  <w:vMerge w:val="continue"/>
                  <w:tcBorders>
                    <w:tl2br w:val="nil"/>
                    <w:tr2bl w:val="nil"/>
                  </w:tcBorders>
                  <w:noWrap w:val="0"/>
                  <w:vAlign w:val="center"/>
                </w:tcPr>
                <w:p w14:paraId="13E928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0"/>
                      <w:sz w:val="21"/>
                      <w:szCs w:val="21"/>
                    </w:rPr>
                  </w:pPr>
                </w:p>
              </w:tc>
              <w:tc>
                <w:tcPr>
                  <w:tcW w:w="998" w:type="pct"/>
                  <w:tcBorders>
                    <w:tl2br w:val="nil"/>
                    <w:tr2bl w:val="nil"/>
                  </w:tcBorders>
                  <w:noWrap w:val="0"/>
                  <w:vAlign w:val="center"/>
                </w:tcPr>
                <w:p w14:paraId="70354FC0">
                  <w:pPr>
                    <w:pStyle w:val="41"/>
                    <w:ind w:firstLine="0" w:firstLineChars="0"/>
                    <w:rPr>
                      <w:rFonts w:hint="default" w:ascii="Times New Roman" w:hAnsi="Times New Roman" w:eastAsia="宋体" w:cs="Times New Roman"/>
                      <w:b/>
                      <w:bCs/>
                      <w:color w:val="auto"/>
                      <w:spacing w:val="0"/>
                      <w:kern w:val="0"/>
                      <w:sz w:val="21"/>
                      <w:szCs w:val="21"/>
                      <w:lang w:val="en-US" w:eastAsia="zh-CN" w:bidi="ar-SA"/>
                    </w:rPr>
                  </w:pPr>
                  <w:r>
                    <w:rPr>
                      <w:rFonts w:hint="default" w:ascii="Times New Roman" w:hAnsi="Times New Roman" w:eastAsia="宋体" w:cs="Times New Roman"/>
                      <w:b/>
                      <w:bCs/>
                      <w:color w:val="auto"/>
                      <w:spacing w:val="0"/>
                      <w:kern w:val="0"/>
                      <w:sz w:val="21"/>
                      <w:szCs w:val="21"/>
                      <w:lang w:val="en-US" w:eastAsia="zh-CN" w:bidi="ar-SA"/>
                    </w:rPr>
                    <w:t>东</w:t>
                  </w:r>
                </w:p>
              </w:tc>
              <w:tc>
                <w:tcPr>
                  <w:tcW w:w="999" w:type="pct"/>
                  <w:tcBorders>
                    <w:tl2br w:val="nil"/>
                    <w:tr2bl w:val="nil"/>
                  </w:tcBorders>
                  <w:noWrap w:val="0"/>
                  <w:vAlign w:val="center"/>
                </w:tcPr>
                <w:p w14:paraId="591F064F">
                  <w:pPr>
                    <w:pStyle w:val="41"/>
                    <w:ind w:firstLine="0" w:firstLineChars="0"/>
                    <w:rPr>
                      <w:rFonts w:hint="default" w:ascii="Times New Roman" w:hAnsi="Times New Roman" w:eastAsia="宋体" w:cs="Times New Roman"/>
                      <w:b/>
                      <w:bCs/>
                      <w:color w:val="auto"/>
                      <w:spacing w:val="0"/>
                      <w:kern w:val="0"/>
                      <w:sz w:val="21"/>
                      <w:szCs w:val="21"/>
                      <w:lang w:val="en-US" w:eastAsia="zh-CN" w:bidi="ar-SA"/>
                    </w:rPr>
                  </w:pPr>
                  <w:r>
                    <w:rPr>
                      <w:rFonts w:hint="default" w:ascii="Times New Roman" w:hAnsi="Times New Roman" w:eastAsia="宋体" w:cs="Times New Roman"/>
                      <w:b/>
                      <w:bCs/>
                      <w:color w:val="auto"/>
                      <w:spacing w:val="0"/>
                      <w:kern w:val="0"/>
                      <w:sz w:val="21"/>
                      <w:szCs w:val="21"/>
                      <w:lang w:val="en-US" w:eastAsia="zh-CN" w:bidi="ar-SA"/>
                    </w:rPr>
                    <w:t>南</w:t>
                  </w:r>
                </w:p>
              </w:tc>
              <w:tc>
                <w:tcPr>
                  <w:tcW w:w="999" w:type="pct"/>
                  <w:tcBorders>
                    <w:tl2br w:val="nil"/>
                    <w:tr2bl w:val="nil"/>
                  </w:tcBorders>
                  <w:noWrap w:val="0"/>
                  <w:vAlign w:val="center"/>
                </w:tcPr>
                <w:p w14:paraId="485734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西</w:t>
                  </w:r>
                </w:p>
              </w:tc>
              <w:tc>
                <w:tcPr>
                  <w:tcW w:w="1014" w:type="pct"/>
                  <w:tcBorders>
                    <w:tl2br w:val="nil"/>
                    <w:tr2bl w:val="nil"/>
                  </w:tcBorders>
                  <w:noWrap w:val="0"/>
                  <w:vAlign w:val="center"/>
                </w:tcPr>
                <w:p w14:paraId="540532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0"/>
                      <w:sz w:val="21"/>
                      <w:szCs w:val="21"/>
                      <w:lang w:val="en-US" w:eastAsia="zh-CN"/>
                    </w:rPr>
                  </w:pPr>
                  <w:r>
                    <w:rPr>
                      <w:rFonts w:hint="default" w:ascii="Times New Roman" w:hAnsi="Times New Roman" w:eastAsia="宋体" w:cs="Times New Roman"/>
                      <w:b/>
                      <w:bCs/>
                      <w:color w:val="auto"/>
                      <w:spacing w:val="0"/>
                      <w:kern w:val="0"/>
                      <w:sz w:val="21"/>
                      <w:szCs w:val="21"/>
                      <w:lang w:val="en-US" w:eastAsia="zh-CN"/>
                    </w:rPr>
                    <w:t>北</w:t>
                  </w:r>
                </w:p>
              </w:tc>
            </w:tr>
            <w:tr w14:paraId="7E849449">
              <w:tblPrEx>
                <w:tblBorders>
                  <w:top w:val="single" w:color="auto" w:sz="12" w:space="0"/>
                  <w:left w:val="dotted" w:color="auto" w:sz="4" w:space="0"/>
                  <w:bottom w:val="single" w:color="auto" w:sz="12" w:space="0"/>
                  <w:right w:val="dotted"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88" w:type="pct"/>
                  <w:tcBorders>
                    <w:tl2br w:val="nil"/>
                    <w:tr2bl w:val="nil"/>
                  </w:tcBorders>
                  <w:noWrap w:val="0"/>
                  <w:vAlign w:val="center"/>
                </w:tcPr>
                <w:p w14:paraId="1128B9F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贡献值</w:t>
                  </w:r>
                </w:p>
              </w:tc>
              <w:tc>
                <w:tcPr>
                  <w:tcW w:w="998" w:type="pct"/>
                  <w:tcBorders>
                    <w:tl2br w:val="nil"/>
                    <w:tr2bl w:val="nil"/>
                  </w:tcBorders>
                  <w:noWrap w:val="0"/>
                  <w:vAlign w:val="center"/>
                </w:tcPr>
                <w:p w14:paraId="733F23FC">
                  <w:pPr>
                    <w:pStyle w:val="41"/>
                    <w:ind w:firstLine="0" w:firstLineChars="0"/>
                    <w:rPr>
                      <w:rFonts w:hint="default" w:ascii="Times New Roman" w:hAnsi="Times New Roman" w:eastAsia="宋体" w:cs="Times New Roman"/>
                      <w:b w:val="0"/>
                      <w:color w:val="auto"/>
                      <w:spacing w:val="0"/>
                      <w:kern w:val="0"/>
                      <w:sz w:val="21"/>
                      <w:szCs w:val="21"/>
                      <w:lang w:val="en-US" w:eastAsia="zh-CN" w:bidi="ar-SA"/>
                    </w:rPr>
                  </w:pPr>
                  <w:r>
                    <w:rPr>
                      <w:rFonts w:hint="default" w:ascii="Times New Roman" w:hAnsi="Times New Roman" w:eastAsia="宋体" w:cs="Times New Roman"/>
                      <w:b w:val="0"/>
                      <w:color w:val="auto"/>
                      <w:spacing w:val="0"/>
                      <w:kern w:val="0"/>
                      <w:sz w:val="21"/>
                      <w:szCs w:val="21"/>
                      <w:lang w:val="en-US" w:eastAsia="zh-CN" w:bidi="ar-SA"/>
                    </w:rPr>
                    <w:t>39.3</w:t>
                  </w:r>
                </w:p>
              </w:tc>
              <w:tc>
                <w:tcPr>
                  <w:tcW w:w="999" w:type="pct"/>
                  <w:tcBorders>
                    <w:tl2br w:val="nil"/>
                    <w:tr2bl w:val="nil"/>
                  </w:tcBorders>
                  <w:noWrap w:val="0"/>
                  <w:vAlign w:val="center"/>
                </w:tcPr>
                <w:p w14:paraId="5927AA8A">
                  <w:pPr>
                    <w:pStyle w:val="41"/>
                    <w:ind w:firstLine="0" w:firstLineChars="0"/>
                    <w:rPr>
                      <w:rFonts w:hint="default" w:ascii="Times New Roman" w:hAnsi="Times New Roman" w:eastAsia="宋体" w:cs="Times New Roman"/>
                      <w:b w:val="0"/>
                      <w:color w:val="auto"/>
                      <w:spacing w:val="0"/>
                      <w:kern w:val="0"/>
                      <w:sz w:val="21"/>
                      <w:szCs w:val="21"/>
                      <w:lang w:val="en-US" w:eastAsia="zh-CN" w:bidi="ar-SA"/>
                    </w:rPr>
                  </w:pPr>
                  <w:r>
                    <w:rPr>
                      <w:rFonts w:hint="default" w:ascii="Times New Roman" w:hAnsi="Times New Roman" w:eastAsia="宋体" w:cs="Times New Roman"/>
                      <w:b w:val="0"/>
                      <w:color w:val="auto"/>
                      <w:spacing w:val="0"/>
                      <w:kern w:val="0"/>
                      <w:sz w:val="21"/>
                      <w:szCs w:val="21"/>
                      <w:lang w:val="en-US" w:eastAsia="zh-CN" w:bidi="ar-SA"/>
                    </w:rPr>
                    <w:t>48.4</w:t>
                  </w:r>
                </w:p>
              </w:tc>
              <w:tc>
                <w:tcPr>
                  <w:tcW w:w="999" w:type="pct"/>
                  <w:tcBorders>
                    <w:tl2br w:val="nil"/>
                    <w:tr2bl w:val="nil"/>
                  </w:tcBorders>
                  <w:noWrap w:val="0"/>
                  <w:vAlign w:val="center"/>
                </w:tcPr>
                <w:p w14:paraId="31019D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36.5</w:t>
                  </w:r>
                </w:p>
              </w:tc>
              <w:tc>
                <w:tcPr>
                  <w:tcW w:w="1014" w:type="pct"/>
                  <w:tcBorders>
                    <w:tl2br w:val="nil"/>
                    <w:tr2bl w:val="nil"/>
                  </w:tcBorders>
                  <w:noWrap w:val="0"/>
                  <w:vAlign w:val="center"/>
                </w:tcPr>
                <w:p w14:paraId="1373B9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lang w:val="en-US" w:eastAsia="zh-CN"/>
                    </w:rPr>
                  </w:pPr>
                  <w:r>
                    <w:rPr>
                      <w:rFonts w:hint="default" w:ascii="Times New Roman" w:hAnsi="Times New Roman" w:eastAsia="宋体" w:cs="Times New Roman"/>
                      <w:color w:val="auto"/>
                      <w:spacing w:val="0"/>
                      <w:kern w:val="0"/>
                      <w:sz w:val="21"/>
                      <w:szCs w:val="21"/>
                      <w:lang w:val="en-US" w:eastAsia="zh-CN"/>
                    </w:rPr>
                    <w:t>29.5</w:t>
                  </w:r>
                </w:p>
              </w:tc>
            </w:tr>
          </w:tbl>
          <w:p w14:paraId="1FDDB6C3">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left="0" w:leftChars="0" w:firstLine="0" w:firstLineChars="0"/>
              <w:textAlignment w:val="auto"/>
              <w:rPr>
                <w:rFonts w:hint="default" w:ascii="Times New Roman" w:hAnsi="Times New Roman" w:eastAsia="宋体" w:cs="Times New Roman"/>
                <w:smallCaps w:val="0"/>
                <w:color w:val="auto"/>
                <w:spacing w:val="0"/>
                <w:kern w:val="0"/>
                <w:position w:val="0"/>
                <w:sz w:val="21"/>
                <w:szCs w:val="18"/>
                <w:lang w:val="en-US" w:eastAsia="zh-CN"/>
              </w:rPr>
            </w:pPr>
            <w:r>
              <w:rPr>
                <w:rFonts w:hint="default" w:ascii="Times New Roman" w:hAnsi="Times New Roman" w:eastAsia="宋体" w:cs="Times New Roman"/>
                <w:smallCaps w:val="0"/>
                <w:color w:val="auto"/>
                <w:spacing w:val="0"/>
                <w:kern w:val="0"/>
                <w:position w:val="0"/>
                <w:sz w:val="21"/>
                <w:szCs w:val="18"/>
                <w:lang w:val="en-US" w:eastAsia="zh-CN"/>
              </w:rPr>
              <w:t>备注：夜间不生产。</w:t>
            </w:r>
          </w:p>
          <w:p w14:paraId="0BACCDE6">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由以上对各厂界的噪声的预测结果可知，在采取有效的降噪措施之后，东、南、西、北厂界噪声</w:t>
            </w:r>
            <w:r>
              <w:rPr>
                <w:rFonts w:hint="eastAsia" w:eastAsia="宋体" w:cs="Times New Roman"/>
                <w:smallCaps w:val="0"/>
                <w:color w:val="auto"/>
                <w:spacing w:val="0"/>
                <w:kern w:val="0"/>
                <w:position w:val="0"/>
                <w:lang w:val="en-US" w:eastAsia="zh-CN"/>
              </w:rPr>
              <w:t>昼间</w:t>
            </w:r>
            <w:r>
              <w:rPr>
                <w:rFonts w:hint="default" w:ascii="Times New Roman" w:hAnsi="Times New Roman" w:eastAsia="宋体" w:cs="Times New Roman"/>
                <w:smallCaps w:val="0"/>
                <w:color w:val="auto"/>
                <w:spacing w:val="0"/>
                <w:kern w:val="0"/>
                <w:position w:val="0"/>
              </w:rPr>
              <w:t>预测值均符合《工业企业厂界噪声排放标准》（GB12348-2008）中的</w:t>
            </w:r>
            <w:r>
              <w:rPr>
                <w:rFonts w:hint="default" w:ascii="Times New Roman" w:hAnsi="Times New Roman" w:eastAsia="宋体" w:cs="Times New Roman"/>
                <w:smallCaps w:val="0"/>
                <w:color w:val="auto"/>
                <w:spacing w:val="0"/>
                <w:kern w:val="0"/>
                <w:position w:val="0"/>
                <w:lang w:val="en-US" w:eastAsia="zh-CN"/>
              </w:rPr>
              <w:t>2</w:t>
            </w:r>
            <w:r>
              <w:rPr>
                <w:rFonts w:hint="default" w:ascii="Times New Roman" w:hAnsi="Times New Roman" w:eastAsia="宋体" w:cs="Times New Roman"/>
                <w:smallCaps w:val="0"/>
                <w:color w:val="auto"/>
                <w:spacing w:val="0"/>
                <w:kern w:val="0"/>
                <w:position w:val="0"/>
              </w:rPr>
              <w:t>类标准的要求。</w:t>
            </w:r>
          </w:p>
          <w:p w14:paraId="5D9AB0EB">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3.4噪声监测计划</w:t>
            </w:r>
          </w:p>
          <w:p w14:paraId="320A33A4">
            <w:pPr>
              <w:pStyle w:val="25"/>
              <w:keepNext w:val="0"/>
              <w:keepLines w:val="0"/>
              <w:pageBreakBefore w:val="0"/>
              <w:kinsoku/>
              <w:wordWrap/>
              <w:overflowPunct/>
              <w:topLinePunct w:val="0"/>
              <w:bidi w:val="0"/>
              <w:adjustRightInd w:val="0"/>
              <w:snapToGrid w:val="0"/>
              <w:spacing w:before="0" w:beforeLines="0" w:after="0" w:afterLines="0" w:line="440" w:lineRule="exact"/>
              <w:ind w:firstLine="420"/>
              <w:textAlignment w:val="auto"/>
              <w:rPr>
                <w:rFonts w:hint="default" w:ascii="Times New Roman" w:hAnsi="Times New Roman" w:eastAsia="宋体" w:cs="Times New Roman"/>
                <w:smallCaps w:val="0"/>
                <w:color w:val="auto"/>
                <w:spacing w:val="0"/>
                <w:kern w:val="0"/>
                <w:position w:val="0"/>
                <w:lang w:eastAsia="zh-CN"/>
              </w:rPr>
            </w:pPr>
            <w:r>
              <w:rPr>
                <w:rFonts w:hint="default" w:ascii="Times New Roman" w:hAnsi="Times New Roman" w:eastAsia="宋体" w:cs="Times New Roman"/>
                <w:smallCaps w:val="0"/>
                <w:color w:val="auto"/>
                <w:spacing w:val="0"/>
                <w:kern w:val="0"/>
                <w:position w:val="0"/>
              </w:rPr>
              <w:t>根据《排污单位自行监测技术指南总则》（HJ819-2017）</w:t>
            </w:r>
            <w:r>
              <w:rPr>
                <w:rFonts w:hint="default" w:ascii="Times New Roman" w:hAnsi="Times New Roman" w:eastAsia="宋体" w:cs="Times New Roman"/>
                <w:smallCaps w:val="0"/>
                <w:snapToGrid w:val="0"/>
                <w:color w:val="auto"/>
                <w:spacing w:val="0"/>
                <w:kern w:val="0"/>
                <w:position w:val="0"/>
                <w:sz w:val="24"/>
                <w:szCs w:val="24"/>
                <w:lang w:val="en-US" w:eastAsia="zh-CN"/>
              </w:rPr>
              <w:t>和《排污许可证申请与核发技术规范工业噪声》（HJ1301-2023）</w:t>
            </w:r>
            <w:r>
              <w:rPr>
                <w:rFonts w:hint="default" w:ascii="Times New Roman" w:hAnsi="Times New Roman" w:eastAsia="宋体" w:cs="Times New Roman"/>
                <w:smallCaps w:val="0"/>
                <w:color w:val="auto"/>
                <w:spacing w:val="0"/>
                <w:kern w:val="0"/>
                <w:position w:val="0"/>
              </w:rPr>
              <w:t>，本项目噪声监测计划见下表。</w:t>
            </w:r>
          </w:p>
          <w:p w14:paraId="6C05E922">
            <w:pPr>
              <w:keepNext w:val="0"/>
              <w:keepLines w:val="0"/>
              <w:pageBreakBefore w:val="0"/>
              <w:widowControl w:val="0"/>
              <w:tabs>
                <w:tab w:val="left" w:pos="166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smallCaps w:val="0"/>
                <w:color w:val="auto"/>
                <w:spacing w:val="0"/>
                <w:kern w:val="0"/>
                <w:position w:val="0"/>
                <w:sz w:val="21"/>
                <w:szCs w:val="22"/>
              </w:rPr>
            </w:pPr>
            <w:r>
              <w:rPr>
                <w:rFonts w:hint="default" w:ascii="Times New Roman" w:hAnsi="Times New Roman" w:eastAsia="宋体" w:cs="Times New Roman"/>
                <w:b/>
                <w:smallCaps w:val="0"/>
                <w:color w:val="auto"/>
                <w:spacing w:val="0"/>
                <w:kern w:val="0"/>
                <w:position w:val="0"/>
                <w:sz w:val="21"/>
                <w:szCs w:val="22"/>
              </w:rPr>
              <w:t>表4-</w:t>
            </w:r>
            <w:r>
              <w:rPr>
                <w:rFonts w:hint="default" w:ascii="Times New Roman" w:hAnsi="Times New Roman" w:eastAsia="宋体" w:cs="Times New Roman"/>
                <w:b/>
                <w:smallCaps w:val="0"/>
                <w:color w:val="auto"/>
                <w:spacing w:val="0"/>
                <w:kern w:val="0"/>
                <w:position w:val="0"/>
                <w:sz w:val="21"/>
                <w:szCs w:val="22"/>
                <w:lang w:val="en-US" w:eastAsia="zh-CN"/>
              </w:rPr>
              <w:t>13</w:t>
            </w:r>
            <w:r>
              <w:rPr>
                <w:rFonts w:hint="default" w:ascii="Times New Roman" w:hAnsi="Times New Roman" w:eastAsia="宋体" w:cs="Times New Roman"/>
                <w:b/>
                <w:smallCaps w:val="0"/>
                <w:color w:val="auto"/>
                <w:spacing w:val="0"/>
                <w:kern w:val="0"/>
                <w:position w:val="0"/>
                <w:sz w:val="21"/>
                <w:szCs w:val="22"/>
              </w:rPr>
              <w:t>本项目运营期噪声监测计划表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204"/>
              <w:gridCol w:w="1387"/>
              <w:gridCol w:w="1021"/>
              <w:gridCol w:w="2561"/>
              <w:gridCol w:w="1333"/>
            </w:tblGrid>
            <w:tr w14:paraId="1F951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37" w:type="dxa"/>
                  <w:noWrap w:val="0"/>
                  <w:vAlign w:val="center"/>
                </w:tcPr>
                <w:p w14:paraId="25CFDE5B">
                  <w:pPr>
                    <w:pStyle w:val="35"/>
                    <w:spacing w:line="240" w:lineRule="exact"/>
                    <w:ind w:left="0" w:leftChars="0" w:right="0" w:rightChars="0"/>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类别</w:t>
                  </w:r>
                </w:p>
              </w:tc>
              <w:tc>
                <w:tcPr>
                  <w:tcW w:w="1204" w:type="dxa"/>
                  <w:noWrap w:val="0"/>
                  <w:vAlign w:val="center"/>
                </w:tcPr>
                <w:p w14:paraId="6A0FA470">
                  <w:pPr>
                    <w:pStyle w:val="35"/>
                    <w:spacing w:line="240" w:lineRule="exact"/>
                    <w:ind w:left="0" w:leftChars="0" w:right="0" w:rightChars="0"/>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监测位置</w:t>
                  </w:r>
                </w:p>
              </w:tc>
              <w:tc>
                <w:tcPr>
                  <w:tcW w:w="1387" w:type="dxa"/>
                  <w:noWrap w:val="0"/>
                  <w:vAlign w:val="center"/>
                </w:tcPr>
                <w:p w14:paraId="6E266E4A">
                  <w:pPr>
                    <w:pStyle w:val="35"/>
                    <w:spacing w:line="240" w:lineRule="exact"/>
                    <w:ind w:left="0" w:leftChars="0" w:right="0" w:rightChars="0"/>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监测指标</w:t>
                  </w:r>
                </w:p>
              </w:tc>
              <w:tc>
                <w:tcPr>
                  <w:tcW w:w="1021" w:type="dxa"/>
                  <w:noWrap w:val="0"/>
                  <w:vAlign w:val="center"/>
                </w:tcPr>
                <w:p w14:paraId="13FD6337">
                  <w:pPr>
                    <w:pStyle w:val="35"/>
                    <w:spacing w:line="240" w:lineRule="exact"/>
                    <w:ind w:left="0" w:leftChars="0" w:right="0" w:rightChars="0"/>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监测频率</w:t>
                  </w:r>
                </w:p>
              </w:tc>
              <w:tc>
                <w:tcPr>
                  <w:tcW w:w="2561" w:type="dxa"/>
                  <w:noWrap w:val="0"/>
                  <w:vAlign w:val="center"/>
                </w:tcPr>
                <w:p w14:paraId="6C30E6AD">
                  <w:pPr>
                    <w:pStyle w:val="35"/>
                    <w:spacing w:line="240" w:lineRule="exact"/>
                    <w:ind w:left="0" w:leftChars="0" w:right="0" w:rightChars="0"/>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排放标准</w:t>
                  </w:r>
                </w:p>
              </w:tc>
              <w:tc>
                <w:tcPr>
                  <w:tcW w:w="1333" w:type="dxa"/>
                  <w:noWrap w:val="0"/>
                  <w:vAlign w:val="center"/>
                </w:tcPr>
                <w:p w14:paraId="46C412F5">
                  <w:pPr>
                    <w:pStyle w:val="35"/>
                    <w:spacing w:line="240" w:lineRule="exact"/>
                    <w:ind w:left="0" w:leftChars="0" w:right="0" w:rightChars="0"/>
                    <w:rPr>
                      <w:rFonts w:hint="default" w:ascii="Times New Roman" w:hAnsi="Times New Roman" w:eastAsia="宋体" w:cs="Times New Roman"/>
                      <w:b/>
                      <w:bCs/>
                      <w:smallCaps w:val="0"/>
                      <w:color w:val="auto"/>
                      <w:spacing w:val="0"/>
                      <w:kern w:val="0"/>
                      <w:position w:val="0"/>
                    </w:rPr>
                  </w:pPr>
                  <w:r>
                    <w:rPr>
                      <w:rFonts w:hint="default" w:ascii="Times New Roman" w:hAnsi="Times New Roman" w:eastAsia="宋体" w:cs="Times New Roman"/>
                      <w:b/>
                      <w:bCs/>
                      <w:smallCaps w:val="0"/>
                      <w:color w:val="auto"/>
                      <w:spacing w:val="0"/>
                      <w:kern w:val="0"/>
                      <w:position w:val="0"/>
                    </w:rPr>
                    <w:t>监测单位</w:t>
                  </w:r>
                </w:p>
              </w:tc>
            </w:tr>
            <w:tr w14:paraId="1568E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7" w:type="dxa"/>
                  <w:noWrap w:val="0"/>
                  <w:vAlign w:val="center"/>
                </w:tcPr>
                <w:p w14:paraId="243E1B0C">
                  <w:pPr>
                    <w:pStyle w:val="35"/>
                    <w:spacing w:line="240" w:lineRule="exact"/>
                    <w:ind w:left="0" w:leftChars="0" w:right="0" w:rightChars="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噪声</w:t>
                  </w:r>
                </w:p>
              </w:tc>
              <w:tc>
                <w:tcPr>
                  <w:tcW w:w="1204" w:type="dxa"/>
                  <w:noWrap w:val="0"/>
                  <w:vAlign w:val="center"/>
                </w:tcPr>
                <w:p w14:paraId="5F5D7E27">
                  <w:pPr>
                    <w:pStyle w:val="35"/>
                    <w:spacing w:line="240" w:lineRule="exact"/>
                    <w:ind w:left="0" w:leftChars="0" w:right="0" w:rightChars="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东、南、西、北厂界</w:t>
                  </w:r>
                </w:p>
              </w:tc>
              <w:tc>
                <w:tcPr>
                  <w:tcW w:w="1387" w:type="dxa"/>
                  <w:noWrap w:val="0"/>
                  <w:vAlign w:val="center"/>
                </w:tcPr>
                <w:p w14:paraId="330CB321">
                  <w:pPr>
                    <w:pStyle w:val="35"/>
                    <w:spacing w:line="240" w:lineRule="exact"/>
                    <w:ind w:left="0" w:leftChars="0" w:right="0" w:rightChars="0"/>
                    <w:rPr>
                      <w:rFonts w:hint="default" w:ascii="Times New Roman" w:hAnsi="Times New Roman" w:eastAsia="宋体" w:cs="Times New Roman"/>
                      <w:smallCaps w:val="0"/>
                      <w:color w:val="auto"/>
                      <w:spacing w:val="0"/>
                      <w:kern w:val="0"/>
                      <w:position w:val="0"/>
                      <w:lang w:val="en-US" w:eastAsia="zh-CN"/>
                    </w:rPr>
                  </w:pPr>
                  <w:r>
                    <w:rPr>
                      <w:rFonts w:hint="default" w:ascii="Times New Roman" w:hAnsi="Times New Roman" w:eastAsia="宋体" w:cs="Times New Roman"/>
                      <w:smallCaps w:val="0"/>
                      <w:color w:val="auto"/>
                      <w:spacing w:val="0"/>
                      <w:kern w:val="0"/>
                      <w:position w:val="0"/>
                    </w:rPr>
                    <w:t>连续等效A声级</w:t>
                  </w:r>
                </w:p>
              </w:tc>
              <w:tc>
                <w:tcPr>
                  <w:tcW w:w="1021" w:type="dxa"/>
                  <w:noWrap w:val="0"/>
                  <w:vAlign w:val="center"/>
                </w:tcPr>
                <w:p w14:paraId="31CCDA90">
                  <w:pPr>
                    <w:pStyle w:val="35"/>
                    <w:spacing w:line="240" w:lineRule="exact"/>
                    <w:ind w:left="0" w:leftChars="0" w:right="0" w:rightChars="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每季度一次</w:t>
                  </w:r>
                </w:p>
              </w:tc>
              <w:tc>
                <w:tcPr>
                  <w:tcW w:w="2561" w:type="dxa"/>
                  <w:noWrap w:val="0"/>
                  <w:vAlign w:val="center"/>
                </w:tcPr>
                <w:p w14:paraId="5F8F324D">
                  <w:pPr>
                    <w:pStyle w:val="35"/>
                    <w:spacing w:line="240" w:lineRule="exact"/>
                    <w:ind w:left="0" w:leftChars="0" w:right="0" w:rightChars="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《工业企业厂界噪声排放标准》（GB12348-2008）中</w:t>
                  </w:r>
                  <w:r>
                    <w:rPr>
                      <w:rFonts w:hint="default" w:ascii="Times New Roman" w:hAnsi="Times New Roman" w:eastAsia="宋体" w:cs="Times New Roman"/>
                      <w:smallCaps w:val="0"/>
                      <w:color w:val="auto"/>
                      <w:spacing w:val="0"/>
                      <w:kern w:val="0"/>
                      <w:position w:val="0"/>
                      <w:lang w:val="en-US" w:eastAsia="zh-CN"/>
                    </w:rPr>
                    <w:t>2</w:t>
                  </w:r>
                  <w:r>
                    <w:rPr>
                      <w:rFonts w:hint="default" w:ascii="Times New Roman" w:hAnsi="Times New Roman" w:eastAsia="宋体" w:cs="Times New Roman"/>
                      <w:smallCaps w:val="0"/>
                      <w:color w:val="auto"/>
                      <w:spacing w:val="0"/>
                      <w:kern w:val="0"/>
                      <w:position w:val="0"/>
                    </w:rPr>
                    <w:t>类标准</w:t>
                  </w:r>
                </w:p>
              </w:tc>
              <w:tc>
                <w:tcPr>
                  <w:tcW w:w="1333" w:type="dxa"/>
                  <w:noWrap w:val="0"/>
                  <w:vAlign w:val="center"/>
                </w:tcPr>
                <w:p w14:paraId="5043D1E5">
                  <w:pPr>
                    <w:pStyle w:val="35"/>
                    <w:spacing w:line="240" w:lineRule="exact"/>
                    <w:ind w:left="0" w:leftChars="0" w:right="0" w:rightChars="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有资质的环境监测机构</w:t>
                  </w:r>
                </w:p>
              </w:tc>
            </w:tr>
          </w:tbl>
          <w:p w14:paraId="09166AD8">
            <w:pPr>
              <w:pStyle w:val="25"/>
              <w:keepNext w:val="0"/>
              <w:keepLines w:val="0"/>
              <w:pageBreakBefore w:val="0"/>
              <w:widowControl w:val="0"/>
              <w:kinsoku/>
              <w:wordWrap/>
              <w:overflowPunct/>
              <w:topLinePunct w:val="0"/>
              <w:autoSpaceDE w:val="0"/>
              <w:autoSpaceDN w:val="0"/>
              <w:bidi w:val="0"/>
              <w:adjustRightInd w:val="0"/>
              <w:snapToGrid w:val="0"/>
              <w:spacing w:before="0" w:beforeLines="0" w:after="0" w:afterLines="0" w:line="440" w:lineRule="exact"/>
              <w:ind w:left="0" w:leftChars="0" w:firstLine="0" w:firstLineChars="0"/>
              <w:textAlignment w:val="auto"/>
              <w:rPr>
                <w:rFonts w:hint="default" w:ascii="Times New Roman" w:hAnsi="Times New Roman" w:eastAsia="宋体" w:cs="Times New Roman"/>
                <w:smallCaps w:val="0"/>
                <w:color w:val="auto"/>
                <w:spacing w:val="0"/>
                <w:kern w:val="0"/>
                <w:position w:val="0"/>
                <w:sz w:val="21"/>
                <w:szCs w:val="18"/>
                <w:lang w:val="en-US" w:eastAsia="zh-CN"/>
              </w:rPr>
            </w:pPr>
            <w:r>
              <w:rPr>
                <w:rFonts w:hint="default" w:ascii="Times New Roman" w:hAnsi="Times New Roman" w:eastAsia="宋体" w:cs="Times New Roman"/>
                <w:smallCaps w:val="0"/>
                <w:color w:val="auto"/>
                <w:spacing w:val="0"/>
                <w:kern w:val="0"/>
                <w:position w:val="0"/>
                <w:sz w:val="21"/>
                <w:szCs w:val="18"/>
                <w:lang w:val="en-US" w:eastAsia="zh-CN"/>
              </w:rPr>
              <w:t>备注：夜间不生产。</w:t>
            </w:r>
          </w:p>
          <w:p w14:paraId="3DB3DAE9">
            <w:pPr>
              <w:pStyle w:val="25"/>
              <w:keepNext w:val="0"/>
              <w:keepLines w:val="0"/>
              <w:pageBreakBefore w:val="0"/>
              <w:kinsoku/>
              <w:wordWrap/>
              <w:overflowPunct/>
              <w:topLinePunct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4、固废</w:t>
            </w:r>
          </w:p>
          <w:p w14:paraId="4AB1BB60">
            <w:pPr>
              <w:pStyle w:val="25"/>
              <w:keepNext w:val="0"/>
              <w:keepLines w:val="0"/>
              <w:pageBreakBefore w:val="0"/>
              <w:kinsoku/>
              <w:wordWrap/>
              <w:overflowPunct/>
              <w:topLinePunct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4.1固废产生情况</w:t>
            </w:r>
          </w:p>
          <w:p w14:paraId="705EB5BA">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lang w:eastAsia="zh-CN"/>
              </w:rPr>
            </w:pPr>
            <w:r>
              <w:rPr>
                <w:rFonts w:hint="default" w:ascii="Times New Roman" w:hAnsi="Times New Roman" w:eastAsia="宋体" w:cs="Times New Roman"/>
                <w:smallCaps w:val="0"/>
                <w:color w:val="auto"/>
                <w:spacing w:val="0"/>
                <w:kern w:val="0"/>
                <w:position w:val="0"/>
              </w:rPr>
              <w:t>本项目产生的废物主要包括：生活垃圾</w:t>
            </w:r>
            <w:r>
              <w:rPr>
                <w:rFonts w:hint="default" w:ascii="Times New Roman" w:hAnsi="Times New Roman" w:eastAsia="宋体" w:cs="Times New Roman"/>
                <w:smallCaps w:val="0"/>
                <w:color w:val="auto"/>
                <w:spacing w:val="0"/>
                <w:kern w:val="0"/>
                <w:position w:val="0"/>
                <w:lang w:val="en-US" w:eastAsia="zh-CN"/>
              </w:rPr>
              <w:t>、金属边角料S1、S2、废液压油S3、清洗废液S5</w:t>
            </w:r>
            <w:r>
              <w:rPr>
                <w:rFonts w:hint="eastAsia" w:eastAsia="宋体" w:cs="Times New Roman"/>
                <w:smallCaps w:val="0"/>
                <w:color w:val="auto"/>
                <w:spacing w:val="0"/>
                <w:kern w:val="0"/>
                <w:position w:val="0"/>
                <w:lang w:val="en-US" w:eastAsia="zh-CN"/>
              </w:rPr>
              <w:t>、</w:t>
            </w:r>
            <w:r>
              <w:rPr>
                <w:rFonts w:hint="default" w:ascii="Times New Roman" w:hAnsi="Times New Roman" w:eastAsia="宋体" w:cs="Times New Roman"/>
                <w:smallCaps w:val="0"/>
                <w:color w:val="auto"/>
                <w:spacing w:val="0"/>
                <w:kern w:val="0"/>
                <w:position w:val="0"/>
                <w:lang w:val="en-US" w:eastAsia="zh-CN"/>
              </w:rPr>
              <w:t>废包装桶S6</w:t>
            </w:r>
            <w:r>
              <w:rPr>
                <w:rFonts w:hint="eastAsia" w:eastAsia="宋体" w:cs="Times New Roman"/>
                <w:smallCaps w:val="0"/>
                <w:color w:val="auto"/>
                <w:spacing w:val="0"/>
                <w:kern w:val="0"/>
                <w:position w:val="0"/>
                <w:lang w:val="en-US" w:eastAsia="zh-CN"/>
              </w:rPr>
              <w:t>和切割集尘S7</w:t>
            </w:r>
            <w:r>
              <w:rPr>
                <w:rFonts w:hint="default" w:ascii="Times New Roman" w:hAnsi="Times New Roman" w:eastAsia="宋体" w:cs="Times New Roman"/>
                <w:smallCaps w:val="0"/>
                <w:color w:val="auto"/>
                <w:spacing w:val="0"/>
                <w:kern w:val="0"/>
                <w:position w:val="0"/>
              </w:rPr>
              <w:t>。</w:t>
            </w:r>
          </w:p>
          <w:p w14:paraId="7E43E2A9">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lang w:eastAsia="zh-CN"/>
              </w:rPr>
              <w:t>（</w:t>
            </w:r>
            <w:r>
              <w:rPr>
                <w:rFonts w:hint="default" w:ascii="Times New Roman" w:hAnsi="Times New Roman" w:eastAsia="宋体" w:cs="Times New Roman"/>
                <w:smallCaps w:val="0"/>
                <w:color w:val="auto"/>
                <w:spacing w:val="0"/>
                <w:kern w:val="0"/>
                <w:position w:val="0"/>
                <w:lang w:val="en-US" w:eastAsia="zh-CN"/>
              </w:rPr>
              <w:t>1</w:t>
            </w:r>
            <w:r>
              <w:rPr>
                <w:rFonts w:hint="default" w:ascii="Times New Roman" w:hAnsi="Times New Roman" w:eastAsia="宋体" w:cs="Times New Roman"/>
                <w:smallCaps w:val="0"/>
                <w:color w:val="auto"/>
                <w:spacing w:val="0"/>
                <w:kern w:val="0"/>
                <w:position w:val="0"/>
                <w:lang w:eastAsia="zh-CN"/>
              </w:rPr>
              <w:t>）</w:t>
            </w:r>
            <w:r>
              <w:rPr>
                <w:rFonts w:hint="default" w:ascii="Times New Roman" w:hAnsi="Times New Roman" w:eastAsia="宋体" w:cs="Times New Roman"/>
                <w:smallCaps w:val="0"/>
                <w:color w:val="auto"/>
                <w:spacing w:val="0"/>
                <w:kern w:val="0"/>
                <w:position w:val="0"/>
              </w:rPr>
              <w:t>生活垃圾</w:t>
            </w:r>
          </w:p>
          <w:p w14:paraId="51EE3375">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Cs w:val="24"/>
              </w:rPr>
            </w:pPr>
            <w:r>
              <w:rPr>
                <w:rFonts w:hint="default" w:ascii="Times New Roman" w:hAnsi="Times New Roman" w:eastAsia="宋体" w:cs="Times New Roman"/>
                <w:smallCaps w:val="0"/>
                <w:color w:val="auto"/>
                <w:spacing w:val="0"/>
                <w:kern w:val="0"/>
                <w:position w:val="0"/>
              </w:rPr>
              <w:t>本项目建成后新增员工</w:t>
            </w:r>
            <w:r>
              <w:rPr>
                <w:rFonts w:hint="default" w:ascii="Times New Roman" w:hAnsi="Times New Roman" w:eastAsia="宋体" w:cs="Times New Roman"/>
                <w:smallCaps w:val="0"/>
                <w:color w:val="auto"/>
                <w:spacing w:val="0"/>
                <w:kern w:val="0"/>
                <w:position w:val="0"/>
                <w:lang w:val="en-US" w:eastAsia="zh-CN"/>
              </w:rPr>
              <w:t>10</w:t>
            </w:r>
            <w:r>
              <w:rPr>
                <w:rFonts w:hint="default" w:ascii="Times New Roman" w:hAnsi="Times New Roman" w:eastAsia="宋体" w:cs="Times New Roman"/>
                <w:smallCaps w:val="0"/>
                <w:color w:val="auto"/>
                <w:spacing w:val="0"/>
                <w:kern w:val="0"/>
                <w:position w:val="0"/>
              </w:rPr>
              <w:t>人，按每人每天0.5kg计算，共产生生活垃圾</w:t>
            </w:r>
            <w:r>
              <w:rPr>
                <w:rFonts w:hint="default" w:ascii="Times New Roman" w:hAnsi="Times New Roman" w:eastAsia="宋体" w:cs="Times New Roman"/>
                <w:smallCaps w:val="0"/>
                <w:color w:val="auto"/>
                <w:spacing w:val="0"/>
                <w:kern w:val="0"/>
                <w:position w:val="0"/>
                <w:lang w:val="en-US" w:eastAsia="zh-CN"/>
              </w:rPr>
              <w:t>1.5</w:t>
            </w:r>
            <w:r>
              <w:rPr>
                <w:rFonts w:hint="default" w:ascii="Times New Roman" w:hAnsi="Times New Roman" w:eastAsia="宋体" w:cs="Times New Roman"/>
                <w:smallCaps w:val="0"/>
                <w:color w:val="auto"/>
                <w:spacing w:val="0"/>
                <w:kern w:val="0"/>
                <w:position w:val="0"/>
              </w:rPr>
              <w:t>t/a，由当地环卫部门统一收集处理。</w:t>
            </w:r>
          </w:p>
          <w:p w14:paraId="24A0D8B6">
            <w:pPr>
              <w:pStyle w:val="25"/>
              <w:keepNext w:val="0"/>
              <w:keepLines w:val="0"/>
              <w:pageBreakBefore w:val="0"/>
              <w:numPr>
                <w:ilvl w:val="0"/>
                <w:numId w:val="0"/>
              </w:numPr>
              <w:kinsoku/>
              <w:wordWrap/>
              <w:overflowPunct/>
              <w:topLinePunct w:val="0"/>
              <w:bidi w:val="0"/>
              <w:adjustRightInd w:val="0"/>
              <w:snapToGrid w:val="0"/>
              <w:spacing w:before="0" w:beforeLines="0" w:after="0" w:afterLines="0" w:line="440" w:lineRule="exact"/>
              <w:ind w:leftChars="200"/>
              <w:textAlignment w:val="auto"/>
              <w:rPr>
                <w:rFonts w:hint="default" w:ascii="Times New Roman" w:hAnsi="Times New Roman" w:eastAsia="宋体" w:cs="Times New Roman"/>
                <w:smallCaps w:val="0"/>
                <w:color w:val="auto"/>
                <w:spacing w:val="0"/>
                <w:kern w:val="0"/>
                <w:position w:val="0"/>
                <w:szCs w:val="24"/>
                <w:lang w:val="en-US" w:eastAsia="zh-CN"/>
              </w:rPr>
            </w:pPr>
            <w:r>
              <w:rPr>
                <w:rFonts w:hint="default" w:ascii="Times New Roman" w:hAnsi="Times New Roman" w:eastAsia="宋体" w:cs="Times New Roman"/>
                <w:smallCaps w:val="0"/>
                <w:color w:val="auto"/>
                <w:spacing w:val="0"/>
                <w:kern w:val="0"/>
                <w:position w:val="0"/>
                <w:szCs w:val="24"/>
                <w:lang w:val="en-US" w:eastAsia="zh-CN"/>
              </w:rPr>
              <w:t>（2）</w:t>
            </w:r>
            <w:r>
              <w:rPr>
                <w:rFonts w:hint="default" w:ascii="Times New Roman" w:hAnsi="Times New Roman" w:eastAsia="宋体" w:cs="Times New Roman"/>
                <w:smallCaps w:val="0"/>
                <w:color w:val="auto"/>
                <w:spacing w:val="0"/>
                <w:kern w:val="0"/>
                <w:position w:val="0"/>
                <w:lang w:val="en-US" w:eastAsia="zh-CN"/>
              </w:rPr>
              <w:t>金属边角料S1、S2</w:t>
            </w:r>
          </w:p>
          <w:p w14:paraId="1F377CFD">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Cs w:val="24"/>
                <w:lang w:val="en-US" w:eastAsia="zh-CN"/>
              </w:rPr>
            </w:pPr>
            <w:r>
              <w:rPr>
                <w:rFonts w:hint="default" w:ascii="Times New Roman" w:hAnsi="Times New Roman" w:eastAsia="宋体" w:cs="Times New Roman"/>
                <w:smallCaps w:val="0"/>
                <w:color w:val="auto"/>
                <w:spacing w:val="0"/>
                <w:kern w:val="0"/>
                <w:position w:val="0"/>
                <w:szCs w:val="24"/>
                <w:lang w:val="en-US" w:eastAsia="zh-CN"/>
              </w:rPr>
              <w:t>本项目切割、剪板工序过程有少量金属边角料产生，根据建设单位提供资料，金属边角料产生量0.1t/a，外售综合利用。</w:t>
            </w:r>
          </w:p>
          <w:p w14:paraId="5CCB5F81">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szCs w:val="24"/>
              </w:rPr>
            </w:pPr>
            <w:r>
              <w:rPr>
                <w:rFonts w:hint="default" w:ascii="Times New Roman" w:hAnsi="Times New Roman" w:eastAsia="宋体" w:cs="Times New Roman"/>
                <w:smallCaps w:val="0"/>
                <w:color w:val="auto"/>
                <w:spacing w:val="0"/>
                <w:kern w:val="0"/>
                <w:position w:val="0"/>
                <w:szCs w:val="24"/>
                <w:lang w:val="en-US" w:eastAsia="zh-CN"/>
              </w:rPr>
              <w:t>（3）</w:t>
            </w:r>
            <w:r>
              <w:rPr>
                <w:rFonts w:hint="default" w:ascii="Times New Roman" w:hAnsi="Times New Roman" w:eastAsia="宋体" w:cs="Times New Roman"/>
                <w:smallCaps w:val="0"/>
                <w:color w:val="auto"/>
                <w:spacing w:val="0"/>
                <w:lang w:val="en-US" w:eastAsia="zh-CN"/>
              </w:rPr>
              <w:t>焊渣S3</w:t>
            </w:r>
          </w:p>
          <w:p w14:paraId="5CCB4A5A">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 w:val="0"/>
                <w:bCs/>
                <w:smallCaps w:val="0"/>
                <w:color w:val="auto"/>
                <w:spacing w:val="0"/>
                <w:kern w:val="0"/>
                <w:sz w:val="24"/>
                <w:lang w:val="en-US" w:eastAsia="zh-CN"/>
              </w:rPr>
            </w:pPr>
            <w:r>
              <w:rPr>
                <w:rFonts w:hint="default" w:ascii="Times New Roman" w:hAnsi="Times New Roman" w:eastAsia="宋体" w:cs="Times New Roman"/>
                <w:b w:val="0"/>
                <w:bCs/>
                <w:smallCaps w:val="0"/>
                <w:color w:val="auto"/>
                <w:spacing w:val="0"/>
                <w:kern w:val="0"/>
                <w:sz w:val="24"/>
                <w:lang w:val="en-US" w:eastAsia="zh-CN"/>
              </w:rPr>
              <w:t>本项目焊接工序有少量焊渣产生，根据物料平衡，因此估算本项目焊渣的产生量约为0.0128t/a</w:t>
            </w:r>
            <w:r>
              <w:rPr>
                <w:rFonts w:hint="default" w:ascii="Times New Roman" w:hAnsi="Times New Roman" w:eastAsia="宋体" w:cs="Times New Roman"/>
                <w:smallCaps w:val="0"/>
                <w:color w:val="auto"/>
                <w:spacing w:val="0"/>
                <w:lang w:val="en-US" w:eastAsia="zh-CN"/>
              </w:rPr>
              <w:t>，外售综合利用</w:t>
            </w:r>
            <w:r>
              <w:rPr>
                <w:rFonts w:hint="default" w:ascii="Times New Roman" w:hAnsi="Times New Roman" w:eastAsia="宋体" w:cs="Times New Roman"/>
                <w:b w:val="0"/>
                <w:bCs/>
                <w:smallCaps w:val="0"/>
                <w:color w:val="auto"/>
                <w:spacing w:val="0"/>
                <w:kern w:val="0"/>
                <w:sz w:val="24"/>
                <w:lang w:val="en-US" w:eastAsia="zh-CN"/>
              </w:rPr>
              <w:t>。</w:t>
            </w:r>
          </w:p>
          <w:p w14:paraId="2677DB86">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Cs w:val="24"/>
                <w:lang w:val="en-US" w:eastAsia="zh-CN"/>
              </w:rPr>
            </w:pPr>
            <w:r>
              <w:rPr>
                <w:rFonts w:hint="default" w:ascii="Times New Roman" w:hAnsi="Times New Roman" w:eastAsia="宋体" w:cs="Times New Roman"/>
                <w:smallCaps w:val="0"/>
                <w:color w:val="auto"/>
                <w:spacing w:val="0"/>
                <w:kern w:val="0"/>
                <w:position w:val="0"/>
                <w:szCs w:val="24"/>
                <w:lang w:val="en-US" w:eastAsia="zh-CN"/>
              </w:rPr>
              <w:t>（4）废液压油S4</w:t>
            </w:r>
          </w:p>
          <w:p w14:paraId="790395FD">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smallCaps w:val="0"/>
                <w:color w:val="auto"/>
                <w:spacing w:val="0"/>
                <w:sz w:val="24"/>
                <w:lang w:val="en-US" w:eastAsia="zh-CN"/>
              </w:rPr>
            </w:pPr>
            <w:r>
              <w:rPr>
                <w:rFonts w:hint="default" w:ascii="Times New Roman" w:hAnsi="Times New Roman" w:eastAsia="宋体" w:cs="Times New Roman"/>
                <w:bCs/>
                <w:smallCaps w:val="0"/>
                <w:color w:val="auto"/>
                <w:spacing w:val="0"/>
                <w:sz w:val="24"/>
                <w:lang w:val="en-US" w:eastAsia="zh-CN"/>
              </w:rPr>
              <w:t>冲压工段使用液压油，根据建设提供资料，本项目液压油的用量约为0.5/a，废液压油混入废不锈钢，预计废液压油产生量约为0.3t/a</w:t>
            </w:r>
            <w:r>
              <w:rPr>
                <w:rFonts w:hint="default" w:ascii="Times New Roman" w:hAnsi="Times New Roman" w:eastAsia="宋体" w:cs="Times New Roman"/>
                <w:smallCaps w:val="0"/>
                <w:color w:val="auto"/>
                <w:spacing w:val="0"/>
                <w:szCs w:val="24"/>
              </w:rPr>
              <w:t>，收集后委托有资质单位处置</w:t>
            </w:r>
            <w:r>
              <w:rPr>
                <w:rFonts w:hint="default" w:ascii="Times New Roman" w:hAnsi="Times New Roman" w:eastAsia="宋体" w:cs="Times New Roman"/>
                <w:bCs/>
                <w:smallCaps w:val="0"/>
                <w:color w:val="auto"/>
                <w:spacing w:val="0"/>
                <w:sz w:val="24"/>
                <w:lang w:val="en-US" w:eastAsia="zh-CN"/>
              </w:rPr>
              <w:t>。</w:t>
            </w:r>
          </w:p>
          <w:p w14:paraId="41E7BAE9">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szCs w:val="24"/>
                <w:lang w:val="en-US" w:eastAsia="zh-CN"/>
              </w:rPr>
            </w:pPr>
            <w:r>
              <w:rPr>
                <w:rFonts w:hint="default" w:ascii="Times New Roman" w:hAnsi="Times New Roman" w:eastAsia="宋体" w:cs="Times New Roman"/>
                <w:smallCaps w:val="0"/>
                <w:color w:val="auto"/>
                <w:spacing w:val="0"/>
                <w:kern w:val="0"/>
                <w:position w:val="0"/>
                <w:szCs w:val="24"/>
                <w:lang w:val="en-US" w:eastAsia="zh-CN"/>
              </w:rPr>
              <w:t>（5）清洗废液S5</w:t>
            </w:r>
          </w:p>
          <w:p w14:paraId="4FD5D8E6">
            <w:pPr>
              <w:pStyle w:val="25"/>
              <w:keepNext w:val="0"/>
              <w:keepLines w:val="0"/>
              <w:pageBreakBefore w:val="0"/>
              <w:widowControl w:val="0"/>
              <w:numPr>
                <w:ilvl w:val="0"/>
                <w:numId w:val="0"/>
              </w:numPr>
              <w:kinsoku/>
              <w:wordWrap/>
              <w:overflowPunct/>
              <w:topLinePunct w:val="0"/>
              <w:bidi w:val="0"/>
              <w:adjustRightInd w:val="0"/>
              <w:snapToGrid w:val="0"/>
              <w:spacing w:before="0" w:beforeLines="0" w:after="0" w:afterLines="0"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本项目组装后委外喷塑，部分委外喷塑件表面积灰，使用清洗设备进行清洗擦拭，清洗机1000mm*500mm*500mm，用水量按80%容积计，半个月更新一次，则自来水水量为4.8t/a，预计产生清洗废液4.8t/a，收集后作为危险废物委托有资质单位处理。</w:t>
            </w:r>
          </w:p>
          <w:p w14:paraId="78F1C877">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smallCaps w:val="0"/>
                <w:color w:val="auto"/>
                <w:spacing w:val="0"/>
                <w:sz w:val="24"/>
                <w:lang w:val="en-US" w:eastAsia="zh-CN"/>
              </w:rPr>
            </w:pPr>
            <w:r>
              <w:rPr>
                <w:rFonts w:hint="default" w:ascii="Times New Roman" w:hAnsi="Times New Roman" w:eastAsia="宋体" w:cs="Times New Roman"/>
                <w:smallCaps w:val="0"/>
                <w:color w:val="auto"/>
                <w:spacing w:val="0"/>
                <w:kern w:val="0"/>
                <w:position w:val="0"/>
                <w:szCs w:val="24"/>
                <w:lang w:val="en-US" w:eastAsia="zh-CN"/>
              </w:rPr>
              <w:t>（6）</w:t>
            </w:r>
            <w:r>
              <w:rPr>
                <w:rFonts w:hint="default" w:ascii="Times New Roman" w:hAnsi="Times New Roman" w:eastAsia="宋体" w:cs="Times New Roman"/>
                <w:smallCaps w:val="0"/>
                <w:color w:val="auto"/>
                <w:spacing w:val="0"/>
                <w:lang w:val="en-US" w:eastAsia="zh-CN"/>
              </w:rPr>
              <w:t>废包装桶S</w:t>
            </w:r>
            <w:r>
              <w:rPr>
                <w:rFonts w:hint="eastAsia" w:eastAsia="宋体" w:cs="Times New Roman"/>
                <w:smallCaps w:val="0"/>
                <w:color w:val="auto"/>
                <w:spacing w:val="0"/>
                <w:lang w:val="en-US" w:eastAsia="zh-CN"/>
              </w:rPr>
              <w:t>6</w:t>
            </w:r>
          </w:p>
          <w:p w14:paraId="44AF55D6">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smallCaps w:val="0"/>
                <w:color w:val="auto"/>
                <w:spacing w:val="0"/>
                <w:sz w:val="24"/>
                <w:lang w:val="en-US" w:eastAsia="zh-CN"/>
              </w:rPr>
            </w:pPr>
            <w:r>
              <w:rPr>
                <w:rFonts w:hint="default" w:ascii="Times New Roman" w:hAnsi="Times New Roman" w:eastAsia="宋体" w:cs="Times New Roman"/>
                <w:bCs/>
                <w:smallCaps w:val="0"/>
                <w:color w:val="auto"/>
                <w:spacing w:val="0"/>
                <w:sz w:val="24"/>
                <w:lang w:val="en-US" w:eastAsia="zh-CN"/>
              </w:rPr>
              <w:t>液压油和UV油墨等原辅料使用过程产生，根据建设单位提供资料，液压油桶产生量1只/年，UV油墨桶27桶/年。液压油桶每只桶按10千克/只计，UV油墨桶每只桶按1kg/只计，则废包装桶产生量约为0.037t/a</w:t>
            </w:r>
            <w:r>
              <w:rPr>
                <w:rFonts w:hint="default" w:ascii="Times New Roman" w:hAnsi="Times New Roman" w:eastAsia="宋体" w:cs="Times New Roman"/>
                <w:smallCaps w:val="0"/>
                <w:color w:val="auto"/>
                <w:spacing w:val="0"/>
                <w:szCs w:val="24"/>
              </w:rPr>
              <w:t>，收集后委托有资质单位处置</w:t>
            </w:r>
            <w:r>
              <w:rPr>
                <w:rFonts w:hint="default" w:ascii="Times New Roman" w:hAnsi="Times New Roman" w:eastAsia="宋体" w:cs="Times New Roman"/>
                <w:bCs/>
                <w:smallCaps w:val="0"/>
                <w:color w:val="auto"/>
                <w:spacing w:val="0"/>
                <w:sz w:val="24"/>
                <w:lang w:val="en-US" w:eastAsia="zh-CN"/>
              </w:rPr>
              <w:t>。</w:t>
            </w:r>
          </w:p>
          <w:p w14:paraId="03E1B14E">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Cs/>
                <w:smallCaps w:val="0"/>
                <w:color w:val="auto"/>
                <w:spacing w:val="0"/>
                <w:sz w:val="24"/>
                <w:lang w:val="en-US" w:eastAsia="zh-CN"/>
              </w:rPr>
            </w:pPr>
            <w:r>
              <w:rPr>
                <w:rFonts w:hint="eastAsia" w:eastAsia="宋体" w:cs="Times New Roman"/>
                <w:bCs/>
                <w:smallCaps w:val="0"/>
                <w:color w:val="auto"/>
                <w:spacing w:val="0"/>
                <w:sz w:val="24"/>
                <w:lang w:val="en-US" w:eastAsia="zh-CN"/>
              </w:rPr>
              <w:t>（7）切割集尘S7</w:t>
            </w:r>
          </w:p>
          <w:p w14:paraId="7E386D0A">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b w:val="0"/>
                <w:bCs/>
                <w:smallCaps w:val="0"/>
                <w:color w:val="auto"/>
                <w:spacing w:val="0"/>
                <w:kern w:val="0"/>
                <w:sz w:val="24"/>
                <w:lang w:val="en-US" w:eastAsia="zh-CN"/>
              </w:rPr>
            </w:pPr>
            <w:r>
              <w:rPr>
                <w:rStyle w:val="20"/>
                <w:rFonts w:hint="eastAsia" w:eastAsia="宋体" w:cs="Times New Roman"/>
                <w:b w:val="0"/>
                <w:bCs w:val="0"/>
                <w:smallCaps w:val="0"/>
                <w:color w:val="auto"/>
                <w:spacing w:val="0"/>
                <w:lang w:val="en-US" w:eastAsia="zh-CN"/>
              </w:rPr>
              <w:t>切割废气经除尘器处理后，产生切割集尘S7，</w:t>
            </w:r>
            <w:r>
              <w:rPr>
                <w:rFonts w:hint="default" w:ascii="Times New Roman" w:hAnsi="Times New Roman" w:eastAsia="宋体" w:cs="Times New Roman"/>
                <w:b w:val="0"/>
                <w:bCs/>
                <w:smallCaps w:val="0"/>
                <w:color w:val="auto"/>
                <w:spacing w:val="0"/>
                <w:kern w:val="0"/>
                <w:sz w:val="24"/>
                <w:lang w:val="en-US" w:eastAsia="zh-CN"/>
              </w:rPr>
              <w:t>根据物料平衡，因此估算本项目</w:t>
            </w:r>
            <w:r>
              <w:rPr>
                <w:rFonts w:hint="eastAsia" w:eastAsia="宋体" w:cs="Times New Roman"/>
                <w:b w:val="0"/>
                <w:bCs/>
                <w:smallCaps w:val="0"/>
                <w:color w:val="auto"/>
                <w:spacing w:val="0"/>
                <w:kern w:val="0"/>
                <w:sz w:val="24"/>
                <w:lang w:val="en-US" w:eastAsia="zh-CN"/>
              </w:rPr>
              <w:t>切割集尘</w:t>
            </w:r>
            <w:r>
              <w:rPr>
                <w:rFonts w:hint="default" w:ascii="Times New Roman" w:hAnsi="Times New Roman" w:eastAsia="宋体" w:cs="Times New Roman"/>
                <w:b w:val="0"/>
                <w:bCs/>
                <w:smallCaps w:val="0"/>
                <w:color w:val="auto"/>
                <w:spacing w:val="0"/>
                <w:kern w:val="0"/>
                <w:sz w:val="24"/>
                <w:lang w:val="en-US" w:eastAsia="zh-CN"/>
              </w:rPr>
              <w:t>的产生量约为</w:t>
            </w:r>
            <w:r>
              <w:rPr>
                <w:rFonts w:hint="eastAsia" w:eastAsia="宋体" w:cs="Times New Roman"/>
                <w:b w:val="0"/>
                <w:bCs/>
                <w:smallCaps w:val="0"/>
                <w:color w:val="auto"/>
                <w:spacing w:val="0"/>
                <w:kern w:val="0"/>
                <w:sz w:val="24"/>
                <w:lang w:val="en-US" w:eastAsia="zh-CN"/>
              </w:rPr>
              <w:t>0.0704</w:t>
            </w:r>
            <w:r>
              <w:rPr>
                <w:rFonts w:hint="default" w:ascii="Times New Roman" w:hAnsi="Times New Roman" w:eastAsia="宋体" w:cs="Times New Roman"/>
                <w:b w:val="0"/>
                <w:bCs/>
                <w:smallCaps w:val="0"/>
                <w:color w:val="auto"/>
                <w:spacing w:val="0"/>
                <w:kern w:val="0"/>
                <w:sz w:val="24"/>
                <w:lang w:val="en-US" w:eastAsia="zh-CN"/>
              </w:rPr>
              <w:t>t/a</w:t>
            </w:r>
            <w:r>
              <w:rPr>
                <w:rFonts w:hint="default" w:ascii="Times New Roman" w:hAnsi="Times New Roman" w:eastAsia="宋体" w:cs="Times New Roman"/>
                <w:smallCaps w:val="0"/>
                <w:color w:val="auto"/>
                <w:spacing w:val="0"/>
                <w:lang w:val="en-US" w:eastAsia="zh-CN"/>
              </w:rPr>
              <w:t>，外售综合利用</w:t>
            </w:r>
            <w:r>
              <w:rPr>
                <w:rFonts w:hint="default" w:ascii="Times New Roman" w:hAnsi="Times New Roman" w:eastAsia="宋体" w:cs="Times New Roman"/>
                <w:b w:val="0"/>
                <w:bCs/>
                <w:smallCaps w:val="0"/>
                <w:color w:val="auto"/>
                <w:spacing w:val="0"/>
                <w:kern w:val="0"/>
                <w:sz w:val="24"/>
                <w:lang w:val="en-US" w:eastAsia="zh-CN"/>
              </w:rPr>
              <w:t>。</w:t>
            </w:r>
          </w:p>
          <w:p w14:paraId="7F83F90B">
            <w:pPr>
              <w:pStyle w:val="25"/>
              <w:keepNext w:val="0"/>
              <w:keepLines w:val="0"/>
              <w:pageBreakBefore w:val="0"/>
              <w:kinsoku/>
              <w:wordWrap/>
              <w:overflowPunct/>
              <w:topLinePunct w:val="0"/>
              <w:bidi w:val="0"/>
              <w:adjustRightInd w:val="0"/>
              <w:snapToGrid w:val="0"/>
              <w:spacing w:before="0" w:beforeLines="0" w:after="0" w:afterLines="0" w:line="440" w:lineRule="exact"/>
              <w:ind w:firstLine="502"/>
              <w:textAlignment w:val="auto"/>
              <w:rPr>
                <w:rFonts w:hint="default" w:ascii="Times New Roman" w:hAnsi="Times New Roman" w:eastAsia="宋体" w:cs="Times New Roman"/>
                <w:b/>
                <w:bCs w:val="0"/>
                <w:smallCaps w:val="0"/>
                <w:color w:val="auto"/>
                <w:spacing w:val="0"/>
                <w:kern w:val="0"/>
                <w:position w:val="0"/>
              </w:rPr>
            </w:pPr>
            <w:r>
              <w:rPr>
                <w:rFonts w:hint="default" w:ascii="Times New Roman" w:hAnsi="Times New Roman" w:eastAsia="宋体" w:cs="Times New Roman"/>
                <w:b/>
                <w:bCs w:val="0"/>
                <w:smallCaps w:val="0"/>
                <w:color w:val="auto"/>
                <w:spacing w:val="0"/>
                <w:kern w:val="0"/>
                <w:position w:val="0"/>
              </w:rPr>
              <w:t>4.2固体废物属性判定</w:t>
            </w:r>
          </w:p>
          <w:p w14:paraId="3B9DF01A">
            <w:pPr>
              <w:pStyle w:val="25"/>
              <w:keepNext w:val="0"/>
              <w:keepLines w:val="0"/>
              <w:pageBreakBefore w:val="0"/>
              <w:kinsoku/>
              <w:wordWrap/>
              <w:overflowPunct/>
              <w:topLinePunct w:val="0"/>
              <w:bidi w:val="0"/>
              <w:adjustRightInd w:val="0"/>
              <w:snapToGrid w:val="0"/>
              <w:spacing w:before="0" w:beforeLines="0" w:after="0" w:afterLines="0" w:line="440" w:lineRule="exact"/>
              <w:ind w:firstLine="500"/>
              <w:textAlignment w:val="auto"/>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根据《中华人民共和国固体废物污染环境防治法》、《固体废物鉴别标准通则》（GB34330-2017）和《建设项目危险废物环境影响评价指南》（公告2017年第43号）的规定，判断建设项目生产过程中产生的物质是否属于固体废物，判定依据及结果见下表。</w:t>
            </w:r>
          </w:p>
          <w:p w14:paraId="5EDE5572">
            <w:pPr>
              <w:adjustRightInd w:val="0"/>
              <w:snapToGrid w:val="0"/>
              <w:spacing w:before="60" w:after="60" w:line="360" w:lineRule="auto"/>
              <w:rPr>
                <w:rFonts w:hint="default" w:ascii="Times New Roman" w:hAnsi="Times New Roman" w:eastAsia="宋体" w:cs="Times New Roman"/>
                <w:b/>
                <w:smallCaps w:val="0"/>
                <w:color w:val="auto"/>
                <w:spacing w:val="0"/>
                <w:kern w:val="0"/>
                <w:position w:val="0"/>
                <w:sz w:val="28"/>
                <w:szCs w:val="28"/>
                <w:vertAlign w:val="baseline"/>
              </w:rPr>
            </w:pPr>
          </w:p>
          <w:p w14:paraId="62D3F856">
            <w:pPr>
              <w:adjustRightInd w:val="0"/>
              <w:snapToGrid w:val="0"/>
              <w:spacing w:before="60" w:after="60" w:line="360" w:lineRule="auto"/>
              <w:rPr>
                <w:rFonts w:hint="default" w:ascii="Times New Roman" w:hAnsi="Times New Roman" w:eastAsia="宋体" w:cs="Times New Roman"/>
                <w:b/>
                <w:smallCaps w:val="0"/>
                <w:color w:val="auto"/>
                <w:spacing w:val="0"/>
                <w:kern w:val="0"/>
                <w:position w:val="0"/>
                <w:sz w:val="28"/>
                <w:szCs w:val="28"/>
                <w:vertAlign w:val="baseline"/>
              </w:rPr>
            </w:pPr>
          </w:p>
          <w:p w14:paraId="07A90E74">
            <w:pPr>
              <w:adjustRightInd w:val="0"/>
              <w:snapToGrid w:val="0"/>
              <w:spacing w:before="60" w:after="60" w:line="360" w:lineRule="auto"/>
              <w:rPr>
                <w:rFonts w:hint="default" w:ascii="Times New Roman" w:hAnsi="Times New Roman" w:eastAsia="宋体" w:cs="Times New Roman"/>
                <w:b/>
                <w:smallCaps w:val="0"/>
                <w:color w:val="auto"/>
                <w:spacing w:val="0"/>
                <w:kern w:val="0"/>
                <w:position w:val="0"/>
                <w:sz w:val="28"/>
                <w:szCs w:val="28"/>
                <w:vertAlign w:val="baseline"/>
              </w:rPr>
            </w:pPr>
          </w:p>
          <w:p w14:paraId="3E73CC80">
            <w:pPr>
              <w:adjustRightInd w:val="0"/>
              <w:snapToGrid w:val="0"/>
              <w:spacing w:before="60" w:after="60" w:line="360" w:lineRule="auto"/>
              <w:rPr>
                <w:rFonts w:hint="default" w:ascii="Times New Roman" w:hAnsi="Times New Roman" w:eastAsia="宋体" w:cs="Times New Roman"/>
                <w:b/>
                <w:smallCaps w:val="0"/>
                <w:color w:val="auto"/>
                <w:spacing w:val="0"/>
                <w:kern w:val="0"/>
                <w:position w:val="0"/>
                <w:sz w:val="28"/>
                <w:szCs w:val="28"/>
                <w:vertAlign w:val="baseline"/>
              </w:rPr>
            </w:pPr>
          </w:p>
          <w:p w14:paraId="70774EA2">
            <w:pPr>
              <w:adjustRightInd w:val="0"/>
              <w:snapToGrid w:val="0"/>
              <w:spacing w:before="60" w:after="60" w:line="360" w:lineRule="auto"/>
              <w:rPr>
                <w:rFonts w:hint="default" w:ascii="Times New Roman" w:hAnsi="Times New Roman" w:eastAsia="宋体" w:cs="Times New Roman"/>
                <w:b/>
                <w:smallCaps w:val="0"/>
                <w:color w:val="auto"/>
                <w:spacing w:val="0"/>
                <w:kern w:val="0"/>
                <w:position w:val="0"/>
                <w:sz w:val="28"/>
                <w:szCs w:val="28"/>
                <w:vertAlign w:val="baseline"/>
              </w:rPr>
            </w:pPr>
          </w:p>
        </w:tc>
      </w:tr>
    </w:tbl>
    <w:p w14:paraId="436D3CA3">
      <w:pPr>
        <w:adjustRightInd w:val="0"/>
        <w:snapToGrid w:val="0"/>
        <w:spacing w:before="60" w:after="60" w:line="360" w:lineRule="auto"/>
        <w:ind w:firstLine="582"/>
        <w:rPr>
          <w:rFonts w:hint="default" w:ascii="Times New Roman" w:hAnsi="Times New Roman" w:eastAsia="宋体" w:cs="Times New Roman"/>
          <w:b/>
          <w:smallCaps w:val="0"/>
          <w:color w:val="auto"/>
          <w:spacing w:val="0"/>
          <w:kern w:val="0"/>
          <w:positio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7"/>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Layout w:type="fixed"/>
        <w:tblCellMar>
          <w:top w:w="0" w:type="dxa"/>
          <w:left w:w="108" w:type="dxa"/>
          <w:bottom w:w="0" w:type="dxa"/>
          <w:right w:w="108" w:type="dxa"/>
        </w:tblCellMar>
      </w:tblPr>
      <w:tblGrid>
        <w:gridCol w:w="534"/>
        <w:gridCol w:w="12694"/>
      </w:tblGrid>
      <w:tr w14:paraId="63204392">
        <w:tblPrEx>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CellMar>
            <w:top w:w="0" w:type="dxa"/>
            <w:left w:w="108" w:type="dxa"/>
            <w:bottom w:w="0" w:type="dxa"/>
            <w:right w:w="108" w:type="dxa"/>
          </w:tblCellMar>
        </w:tblPrEx>
        <w:tc>
          <w:tcPr>
            <w:tcW w:w="202" w:type="pct"/>
            <w:tcBorders>
              <w:tl2br w:val="nil"/>
              <w:tr2bl w:val="nil"/>
            </w:tcBorders>
            <w:noWrap w:val="0"/>
            <w:vAlign w:val="top"/>
          </w:tcPr>
          <w:p w14:paraId="5FBA3170">
            <w:pPr>
              <w:adjustRightInd w:val="0"/>
              <w:snapToGrid w:val="0"/>
              <w:spacing w:before="60" w:after="60" w:line="360" w:lineRule="auto"/>
              <w:rPr>
                <w:rFonts w:hint="default" w:ascii="Times New Roman" w:hAnsi="Times New Roman" w:eastAsia="宋体" w:cs="Times New Roman"/>
                <w:b/>
                <w:smallCaps w:val="0"/>
                <w:color w:val="auto"/>
                <w:spacing w:val="0"/>
                <w:kern w:val="0"/>
                <w:position w:val="0"/>
                <w:sz w:val="28"/>
                <w:szCs w:val="28"/>
              </w:rPr>
            </w:pPr>
          </w:p>
        </w:tc>
        <w:tc>
          <w:tcPr>
            <w:tcW w:w="4798" w:type="pct"/>
            <w:tcBorders>
              <w:tl2br w:val="nil"/>
              <w:tr2bl w:val="nil"/>
            </w:tcBorders>
            <w:noWrap w:val="0"/>
            <w:vAlign w:val="top"/>
          </w:tcPr>
          <w:p w14:paraId="4D24E365">
            <w:pPr>
              <w:keepNext w:val="0"/>
              <w:keepLines w:val="0"/>
              <w:pageBreakBefore w:val="0"/>
              <w:widowControl w:val="0"/>
              <w:tabs>
                <w:tab w:val="center" w:pos="4727"/>
                <w:tab w:val="left" w:pos="8213"/>
                <w:tab w:val="left" w:pos="8719"/>
              </w:tabs>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结合生产工艺流程及生产运营过程中的副产物产生情况，根据《固体废物鉴别标准通则》（GB34330-2017）的规定，判断其是否属于固体废物，给出判定依据及结果，见表4-</w:t>
            </w:r>
            <w:r>
              <w:rPr>
                <w:rFonts w:hint="default" w:ascii="Times New Roman" w:hAnsi="Times New Roman" w:eastAsia="宋体" w:cs="Times New Roman"/>
                <w:smallCaps w:val="0"/>
                <w:color w:val="auto"/>
                <w:spacing w:val="0"/>
                <w:kern w:val="0"/>
                <w:position w:val="0"/>
                <w:sz w:val="24"/>
                <w:lang w:val="en-US" w:eastAsia="zh-CN"/>
              </w:rPr>
              <w:t>14</w:t>
            </w:r>
            <w:r>
              <w:rPr>
                <w:rFonts w:hint="default" w:ascii="Times New Roman" w:hAnsi="Times New Roman" w:eastAsia="宋体" w:cs="Times New Roman"/>
                <w:smallCaps w:val="0"/>
                <w:color w:val="auto"/>
                <w:spacing w:val="0"/>
                <w:kern w:val="0"/>
                <w:position w:val="0"/>
                <w:sz w:val="24"/>
              </w:rPr>
              <w:t>。</w:t>
            </w:r>
          </w:p>
          <w:p w14:paraId="7A0F70AE">
            <w:pPr>
              <w:keepNext w:val="0"/>
              <w:keepLines w:val="0"/>
              <w:pageBreakBefore w:val="0"/>
              <w:widowControl w:val="0"/>
              <w:tabs>
                <w:tab w:val="left" w:pos="166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smallCaps w:val="0"/>
                <w:color w:val="auto"/>
                <w:spacing w:val="0"/>
                <w:kern w:val="0"/>
                <w:position w:val="0"/>
                <w:sz w:val="21"/>
                <w:szCs w:val="22"/>
              </w:rPr>
            </w:pPr>
            <w:r>
              <w:rPr>
                <w:rFonts w:hint="default" w:ascii="Times New Roman" w:hAnsi="Times New Roman" w:eastAsia="宋体" w:cs="Times New Roman"/>
                <w:b/>
                <w:smallCaps w:val="0"/>
                <w:color w:val="auto"/>
                <w:spacing w:val="0"/>
                <w:kern w:val="0"/>
                <w:position w:val="0"/>
                <w:sz w:val="21"/>
                <w:szCs w:val="22"/>
              </w:rPr>
              <w:t>4-</w:t>
            </w:r>
            <w:r>
              <w:rPr>
                <w:rFonts w:hint="default" w:ascii="Times New Roman" w:hAnsi="Times New Roman" w:eastAsia="宋体" w:cs="Times New Roman"/>
                <w:b/>
                <w:smallCaps w:val="0"/>
                <w:color w:val="auto"/>
                <w:spacing w:val="0"/>
                <w:kern w:val="0"/>
                <w:position w:val="0"/>
                <w:sz w:val="21"/>
                <w:szCs w:val="22"/>
                <w:lang w:val="en-US" w:eastAsia="zh-CN"/>
              </w:rPr>
              <w:t>14</w:t>
            </w:r>
            <w:r>
              <w:rPr>
                <w:rFonts w:hint="default" w:ascii="Times New Roman" w:hAnsi="Times New Roman" w:eastAsia="宋体" w:cs="Times New Roman"/>
                <w:b/>
                <w:smallCaps w:val="0"/>
                <w:color w:val="auto"/>
                <w:spacing w:val="0"/>
                <w:kern w:val="0"/>
                <w:position w:val="0"/>
                <w:sz w:val="21"/>
                <w:szCs w:val="22"/>
              </w:rPr>
              <w:t>本项目固废属性判定表</w:t>
            </w:r>
          </w:p>
          <w:tbl>
            <w:tblPr>
              <w:tblStyle w:val="1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91"/>
              <w:gridCol w:w="1343"/>
              <w:gridCol w:w="1140"/>
              <w:gridCol w:w="1035"/>
              <w:gridCol w:w="1965"/>
              <w:gridCol w:w="1260"/>
              <w:gridCol w:w="1815"/>
              <w:gridCol w:w="1020"/>
              <w:gridCol w:w="2309"/>
            </w:tblGrid>
            <w:tr w14:paraId="1F0748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vMerge w:val="restart"/>
                  <w:noWrap w:val="0"/>
                  <w:vAlign w:val="center"/>
                </w:tcPr>
                <w:p w14:paraId="6F550717">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序号</w:t>
                  </w:r>
                </w:p>
              </w:tc>
              <w:tc>
                <w:tcPr>
                  <w:tcW w:w="1343" w:type="dxa"/>
                  <w:vMerge w:val="restart"/>
                  <w:noWrap w:val="0"/>
                  <w:vAlign w:val="center"/>
                </w:tcPr>
                <w:p w14:paraId="56E5F9ED">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副产物名称</w:t>
                  </w:r>
                </w:p>
              </w:tc>
              <w:tc>
                <w:tcPr>
                  <w:tcW w:w="1140" w:type="dxa"/>
                  <w:vMerge w:val="restart"/>
                  <w:noWrap w:val="0"/>
                  <w:vAlign w:val="center"/>
                </w:tcPr>
                <w:p w14:paraId="01C70CA9">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产生工序</w:t>
                  </w:r>
                </w:p>
              </w:tc>
              <w:tc>
                <w:tcPr>
                  <w:tcW w:w="1035" w:type="dxa"/>
                  <w:vMerge w:val="restart"/>
                  <w:noWrap w:val="0"/>
                  <w:vAlign w:val="center"/>
                </w:tcPr>
                <w:p w14:paraId="488C1AD6">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形态</w:t>
                  </w:r>
                </w:p>
              </w:tc>
              <w:tc>
                <w:tcPr>
                  <w:tcW w:w="1965" w:type="dxa"/>
                  <w:vMerge w:val="restart"/>
                  <w:noWrap w:val="0"/>
                  <w:vAlign w:val="center"/>
                </w:tcPr>
                <w:p w14:paraId="3D256F5F">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主要成分</w:t>
                  </w:r>
                </w:p>
              </w:tc>
              <w:tc>
                <w:tcPr>
                  <w:tcW w:w="1260" w:type="dxa"/>
                  <w:vMerge w:val="restart"/>
                  <w:noWrap w:val="0"/>
                  <w:vAlign w:val="center"/>
                </w:tcPr>
                <w:p w14:paraId="31C8E660">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预测产生量（t/a）</w:t>
                  </w:r>
                </w:p>
              </w:tc>
              <w:tc>
                <w:tcPr>
                  <w:tcW w:w="5144" w:type="dxa"/>
                  <w:gridSpan w:val="3"/>
                  <w:noWrap w:val="0"/>
                  <w:vAlign w:val="center"/>
                </w:tcPr>
                <w:p w14:paraId="6810BAC2">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种类判别</w:t>
                  </w:r>
                </w:p>
              </w:tc>
            </w:tr>
            <w:tr w14:paraId="5E1993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vMerge w:val="continue"/>
                  <w:noWrap w:val="0"/>
                  <w:vAlign w:val="center"/>
                </w:tcPr>
                <w:p w14:paraId="48437B8E">
                  <w:pPr>
                    <w:spacing w:line="240" w:lineRule="exact"/>
                    <w:jc w:val="center"/>
                    <w:rPr>
                      <w:rFonts w:hint="default" w:ascii="Times New Roman" w:hAnsi="Times New Roman" w:eastAsia="宋体" w:cs="Times New Roman"/>
                      <w:b/>
                      <w:bCs/>
                      <w:smallCaps w:val="0"/>
                      <w:color w:val="auto"/>
                      <w:spacing w:val="0"/>
                      <w:kern w:val="0"/>
                      <w:position w:val="0"/>
                      <w:szCs w:val="21"/>
                    </w:rPr>
                  </w:pPr>
                </w:p>
              </w:tc>
              <w:tc>
                <w:tcPr>
                  <w:tcW w:w="1343" w:type="dxa"/>
                  <w:vMerge w:val="continue"/>
                  <w:noWrap w:val="0"/>
                  <w:vAlign w:val="center"/>
                </w:tcPr>
                <w:p w14:paraId="272CB012">
                  <w:pPr>
                    <w:spacing w:line="240" w:lineRule="exact"/>
                    <w:jc w:val="center"/>
                    <w:rPr>
                      <w:rFonts w:hint="default" w:ascii="Times New Roman" w:hAnsi="Times New Roman" w:eastAsia="宋体" w:cs="Times New Roman"/>
                      <w:b/>
                      <w:bCs/>
                      <w:smallCaps w:val="0"/>
                      <w:color w:val="auto"/>
                      <w:spacing w:val="0"/>
                      <w:kern w:val="0"/>
                      <w:position w:val="0"/>
                      <w:szCs w:val="21"/>
                    </w:rPr>
                  </w:pPr>
                </w:p>
              </w:tc>
              <w:tc>
                <w:tcPr>
                  <w:tcW w:w="1140" w:type="dxa"/>
                  <w:vMerge w:val="continue"/>
                  <w:noWrap w:val="0"/>
                  <w:vAlign w:val="center"/>
                </w:tcPr>
                <w:p w14:paraId="2531A662">
                  <w:pPr>
                    <w:spacing w:line="240" w:lineRule="exact"/>
                    <w:jc w:val="center"/>
                    <w:rPr>
                      <w:rFonts w:hint="default" w:ascii="Times New Roman" w:hAnsi="Times New Roman" w:eastAsia="宋体" w:cs="Times New Roman"/>
                      <w:b/>
                      <w:bCs/>
                      <w:smallCaps w:val="0"/>
                      <w:color w:val="auto"/>
                      <w:spacing w:val="0"/>
                      <w:kern w:val="0"/>
                      <w:position w:val="0"/>
                      <w:szCs w:val="21"/>
                    </w:rPr>
                  </w:pPr>
                </w:p>
              </w:tc>
              <w:tc>
                <w:tcPr>
                  <w:tcW w:w="1035" w:type="dxa"/>
                  <w:vMerge w:val="continue"/>
                  <w:noWrap w:val="0"/>
                  <w:vAlign w:val="center"/>
                </w:tcPr>
                <w:p w14:paraId="7FE8D0B1">
                  <w:pPr>
                    <w:spacing w:line="240" w:lineRule="exact"/>
                    <w:jc w:val="center"/>
                    <w:rPr>
                      <w:rFonts w:hint="default" w:ascii="Times New Roman" w:hAnsi="Times New Roman" w:eastAsia="宋体" w:cs="Times New Roman"/>
                      <w:b/>
                      <w:bCs/>
                      <w:smallCaps w:val="0"/>
                      <w:color w:val="auto"/>
                      <w:spacing w:val="0"/>
                      <w:kern w:val="0"/>
                      <w:position w:val="0"/>
                      <w:szCs w:val="21"/>
                    </w:rPr>
                  </w:pPr>
                </w:p>
              </w:tc>
              <w:tc>
                <w:tcPr>
                  <w:tcW w:w="1965" w:type="dxa"/>
                  <w:vMerge w:val="continue"/>
                  <w:noWrap w:val="0"/>
                  <w:vAlign w:val="center"/>
                </w:tcPr>
                <w:p w14:paraId="73FE0EA0">
                  <w:pPr>
                    <w:spacing w:line="240" w:lineRule="exact"/>
                    <w:jc w:val="center"/>
                    <w:rPr>
                      <w:rFonts w:hint="default" w:ascii="Times New Roman" w:hAnsi="Times New Roman" w:eastAsia="宋体" w:cs="Times New Roman"/>
                      <w:b/>
                      <w:bCs/>
                      <w:smallCaps w:val="0"/>
                      <w:color w:val="auto"/>
                      <w:spacing w:val="0"/>
                      <w:kern w:val="0"/>
                      <w:position w:val="0"/>
                      <w:szCs w:val="21"/>
                    </w:rPr>
                  </w:pPr>
                </w:p>
              </w:tc>
              <w:tc>
                <w:tcPr>
                  <w:tcW w:w="1260" w:type="dxa"/>
                  <w:vMerge w:val="continue"/>
                  <w:noWrap w:val="0"/>
                  <w:vAlign w:val="center"/>
                </w:tcPr>
                <w:p w14:paraId="7BE45760">
                  <w:pPr>
                    <w:spacing w:line="240" w:lineRule="exact"/>
                    <w:jc w:val="center"/>
                    <w:rPr>
                      <w:rFonts w:hint="default" w:ascii="Times New Roman" w:hAnsi="Times New Roman" w:eastAsia="宋体" w:cs="Times New Roman"/>
                      <w:b/>
                      <w:bCs/>
                      <w:smallCaps w:val="0"/>
                      <w:color w:val="auto"/>
                      <w:spacing w:val="0"/>
                      <w:kern w:val="0"/>
                      <w:position w:val="0"/>
                      <w:szCs w:val="21"/>
                    </w:rPr>
                  </w:pPr>
                </w:p>
              </w:tc>
              <w:tc>
                <w:tcPr>
                  <w:tcW w:w="1815" w:type="dxa"/>
                  <w:noWrap w:val="0"/>
                  <w:vAlign w:val="center"/>
                </w:tcPr>
                <w:p w14:paraId="5D13B589">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固体废物</w:t>
                  </w:r>
                </w:p>
              </w:tc>
              <w:tc>
                <w:tcPr>
                  <w:tcW w:w="1020" w:type="dxa"/>
                  <w:noWrap w:val="0"/>
                  <w:vAlign w:val="center"/>
                </w:tcPr>
                <w:p w14:paraId="0C111994">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副产品</w:t>
                  </w:r>
                </w:p>
              </w:tc>
              <w:tc>
                <w:tcPr>
                  <w:tcW w:w="2309" w:type="dxa"/>
                  <w:noWrap w:val="0"/>
                  <w:vAlign w:val="center"/>
                </w:tcPr>
                <w:p w14:paraId="3CDBF176">
                  <w:pPr>
                    <w:spacing w:line="240" w:lineRule="exact"/>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判定依据</w:t>
                  </w:r>
                </w:p>
              </w:tc>
            </w:tr>
            <w:tr w14:paraId="1B7E0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noWrap w:val="0"/>
                  <w:vAlign w:val="center"/>
                </w:tcPr>
                <w:p w14:paraId="7DE98BDE">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1</w:t>
                  </w:r>
                </w:p>
              </w:tc>
              <w:tc>
                <w:tcPr>
                  <w:tcW w:w="1343" w:type="dxa"/>
                  <w:noWrap w:val="0"/>
                  <w:vAlign w:val="center"/>
                </w:tcPr>
                <w:p w14:paraId="0BDF64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生活垃圾</w:t>
                  </w:r>
                </w:p>
              </w:tc>
              <w:tc>
                <w:tcPr>
                  <w:tcW w:w="1140" w:type="dxa"/>
                  <w:noWrap w:val="0"/>
                  <w:vAlign w:val="center"/>
                </w:tcPr>
                <w:p w14:paraId="2FE1AB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办公、生活</w:t>
                  </w:r>
                </w:p>
              </w:tc>
              <w:tc>
                <w:tcPr>
                  <w:tcW w:w="1035" w:type="dxa"/>
                  <w:noWrap w:val="0"/>
                  <w:vAlign w:val="center"/>
                </w:tcPr>
                <w:p w14:paraId="1B095279">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固态</w:t>
                  </w:r>
                </w:p>
              </w:tc>
              <w:tc>
                <w:tcPr>
                  <w:tcW w:w="1965" w:type="dxa"/>
                  <w:noWrap w:val="0"/>
                  <w:vAlign w:val="center"/>
                </w:tcPr>
                <w:p w14:paraId="43C239EC">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纸张</w:t>
                  </w:r>
                </w:p>
              </w:tc>
              <w:tc>
                <w:tcPr>
                  <w:tcW w:w="1260" w:type="dxa"/>
                  <w:noWrap w:val="0"/>
                  <w:vAlign w:val="center"/>
                </w:tcPr>
                <w:p w14:paraId="22635D88">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1.5</w:t>
                  </w:r>
                </w:p>
              </w:tc>
              <w:tc>
                <w:tcPr>
                  <w:tcW w:w="1815" w:type="dxa"/>
                  <w:noWrap w:val="0"/>
                  <w:vAlign w:val="center"/>
                </w:tcPr>
                <w:p w14:paraId="2B6AED3C">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1020" w:type="dxa"/>
                  <w:noWrap w:val="0"/>
                  <w:vAlign w:val="center"/>
                </w:tcPr>
                <w:p w14:paraId="58669321">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2309" w:type="dxa"/>
                  <w:vMerge w:val="restart"/>
                  <w:noWrap w:val="0"/>
                  <w:vAlign w:val="center"/>
                </w:tcPr>
                <w:p w14:paraId="55B9E7D1">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《固体废物鉴别标准通则》（GB34330-2017）</w:t>
                  </w:r>
                </w:p>
              </w:tc>
            </w:tr>
            <w:tr w14:paraId="53E5C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noWrap w:val="0"/>
                  <w:vAlign w:val="center"/>
                </w:tcPr>
                <w:p w14:paraId="0A1B867B">
                  <w:pPr>
                    <w:spacing w:line="24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2</w:t>
                  </w:r>
                </w:p>
              </w:tc>
              <w:tc>
                <w:tcPr>
                  <w:tcW w:w="1343" w:type="dxa"/>
                  <w:noWrap w:val="0"/>
                  <w:vAlign w:val="center"/>
                </w:tcPr>
                <w:p w14:paraId="76412E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金属边角料</w:t>
                  </w:r>
                </w:p>
              </w:tc>
              <w:tc>
                <w:tcPr>
                  <w:tcW w:w="1140" w:type="dxa"/>
                  <w:noWrap w:val="0"/>
                  <w:vAlign w:val="center"/>
                </w:tcPr>
                <w:p w14:paraId="44ADA9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切割、剪切</w:t>
                  </w:r>
                </w:p>
              </w:tc>
              <w:tc>
                <w:tcPr>
                  <w:tcW w:w="1035" w:type="dxa"/>
                  <w:noWrap w:val="0"/>
                  <w:vAlign w:val="center"/>
                </w:tcPr>
                <w:p w14:paraId="009F6C7A">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固态</w:t>
                  </w:r>
                </w:p>
              </w:tc>
              <w:tc>
                <w:tcPr>
                  <w:tcW w:w="1965" w:type="dxa"/>
                  <w:noWrap w:val="0"/>
                  <w:vAlign w:val="center"/>
                </w:tcPr>
                <w:p w14:paraId="62F8B670">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不锈钢等</w:t>
                  </w:r>
                </w:p>
              </w:tc>
              <w:tc>
                <w:tcPr>
                  <w:tcW w:w="1260" w:type="dxa"/>
                  <w:noWrap w:val="0"/>
                  <w:vAlign w:val="center"/>
                </w:tcPr>
                <w:p w14:paraId="2918100A">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0.1</w:t>
                  </w:r>
                </w:p>
              </w:tc>
              <w:tc>
                <w:tcPr>
                  <w:tcW w:w="1815" w:type="dxa"/>
                  <w:noWrap w:val="0"/>
                  <w:vAlign w:val="center"/>
                </w:tcPr>
                <w:p w14:paraId="05041AC9">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1020" w:type="dxa"/>
                  <w:noWrap w:val="0"/>
                  <w:vAlign w:val="center"/>
                </w:tcPr>
                <w:p w14:paraId="71673FB1">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2309" w:type="dxa"/>
                  <w:vMerge w:val="continue"/>
                  <w:noWrap w:val="0"/>
                  <w:vAlign w:val="center"/>
                </w:tcPr>
                <w:p w14:paraId="3EBD886B">
                  <w:pPr>
                    <w:spacing w:line="240" w:lineRule="exact"/>
                    <w:jc w:val="center"/>
                    <w:rPr>
                      <w:rFonts w:hint="default" w:ascii="Times New Roman" w:hAnsi="Times New Roman" w:eastAsia="宋体" w:cs="Times New Roman"/>
                      <w:smallCaps w:val="0"/>
                      <w:color w:val="auto"/>
                      <w:spacing w:val="0"/>
                      <w:kern w:val="0"/>
                      <w:position w:val="0"/>
                      <w:szCs w:val="21"/>
                    </w:rPr>
                  </w:pPr>
                </w:p>
              </w:tc>
            </w:tr>
            <w:tr w14:paraId="27BA95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noWrap w:val="0"/>
                  <w:vAlign w:val="center"/>
                </w:tcPr>
                <w:p w14:paraId="3D39A5CD">
                  <w:pPr>
                    <w:spacing w:line="24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3</w:t>
                  </w:r>
                </w:p>
              </w:tc>
              <w:tc>
                <w:tcPr>
                  <w:tcW w:w="1343" w:type="dxa"/>
                  <w:noWrap w:val="0"/>
                  <w:vAlign w:val="center"/>
                </w:tcPr>
                <w:p w14:paraId="4A6BCE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焊渣</w:t>
                  </w:r>
                </w:p>
              </w:tc>
              <w:tc>
                <w:tcPr>
                  <w:tcW w:w="1140" w:type="dxa"/>
                  <w:noWrap w:val="0"/>
                  <w:vAlign w:val="center"/>
                </w:tcPr>
                <w:p w14:paraId="545959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焊接</w:t>
                  </w:r>
                </w:p>
              </w:tc>
              <w:tc>
                <w:tcPr>
                  <w:tcW w:w="1035" w:type="dxa"/>
                  <w:noWrap w:val="0"/>
                  <w:vAlign w:val="center"/>
                </w:tcPr>
                <w:p w14:paraId="7BF3E874">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固态</w:t>
                  </w:r>
                </w:p>
              </w:tc>
              <w:tc>
                <w:tcPr>
                  <w:tcW w:w="1965" w:type="dxa"/>
                  <w:noWrap w:val="0"/>
                  <w:vAlign w:val="center"/>
                </w:tcPr>
                <w:p w14:paraId="14D3B461">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不锈钢渣等</w:t>
                  </w:r>
                </w:p>
              </w:tc>
              <w:tc>
                <w:tcPr>
                  <w:tcW w:w="1260" w:type="dxa"/>
                  <w:noWrap w:val="0"/>
                  <w:vAlign w:val="center"/>
                </w:tcPr>
                <w:p w14:paraId="1F9A4D8B">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0.0128</w:t>
                  </w:r>
                </w:p>
              </w:tc>
              <w:tc>
                <w:tcPr>
                  <w:tcW w:w="1815" w:type="dxa"/>
                  <w:noWrap w:val="0"/>
                  <w:vAlign w:val="center"/>
                </w:tcPr>
                <w:p w14:paraId="56C928F1">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1020" w:type="dxa"/>
                  <w:noWrap w:val="0"/>
                  <w:vAlign w:val="center"/>
                </w:tcPr>
                <w:p w14:paraId="761A0AD2">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2309" w:type="dxa"/>
                  <w:vMerge w:val="continue"/>
                  <w:noWrap w:val="0"/>
                  <w:vAlign w:val="center"/>
                </w:tcPr>
                <w:p w14:paraId="29F141AF">
                  <w:pPr>
                    <w:spacing w:line="240" w:lineRule="exact"/>
                    <w:jc w:val="center"/>
                    <w:rPr>
                      <w:rFonts w:hint="default" w:ascii="Times New Roman" w:hAnsi="Times New Roman" w:eastAsia="宋体" w:cs="Times New Roman"/>
                      <w:smallCaps w:val="0"/>
                      <w:color w:val="auto"/>
                      <w:spacing w:val="0"/>
                      <w:kern w:val="0"/>
                      <w:position w:val="0"/>
                      <w:szCs w:val="21"/>
                    </w:rPr>
                  </w:pPr>
                </w:p>
              </w:tc>
            </w:tr>
            <w:tr w14:paraId="766AEB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shd w:val="clear" w:color="auto" w:fill="auto"/>
                  <w:noWrap w:val="0"/>
                  <w:vAlign w:val="center"/>
                </w:tcPr>
                <w:p w14:paraId="44C6A072">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4</w:t>
                  </w:r>
                </w:p>
              </w:tc>
              <w:tc>
                <w:tcPr>
                  <w:tcW w:w="1343" w:type="dxa"/>
                  <w:noWrap w:val="0"/>
                  <w:vAlign w:val="center"/>
                </w:tcPr>
                <w:p w14:paraId="0442854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eastAsia" w:cs="Times New Roman"/>
                      <w:smallCaps w:val="0"/>
                      <w:color w:val="auto"/>
                      <w:spacing w:val="0"/>
                      <w:kern w:val="0"/>
                      <w:position w:val="0"/>
                      <w:sz w:val="21"/>
                      <w:szCs w:val="21"/>
                      <w:lang w:val="en-US" w:eastAsia="zh-CN"/>
                    </w:rPr>
                    <w:t>切割集尘</w:t>
                  </w:r>
                </w:p>
              </w:tc>
              <w:tc>
                <w:tcPr>
                  <w:tcW w:w="1140" w:type="dxa"/>
                  <w:noWrap w:val="0"/>
                  <w:vAlign w:val="center"/>
                </w:tcPr>
                <w:p w14:paraId="56A3CD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eastAsia" w:cs="Times New Roman"/>
                      <w:smallCaps w:val="0"/>
                      <w:color w:val="auto"/>
                      <w:spacing w:val="0"/>
                      <w:kern w:val="0"/>
                      <w:position w:val="0"/>
                      <w:sz w:val="21"/>
                      <w:szCs w:val="21"/>
                      <w:lang w:val="en-US" w:eastAsia="zh-CN"/>
                    </w:rPr>
                    <w:t>切割</w:t>
                  </w:r>
                </w:p>
              </w:tc>
              <w:tc>
                <w:tcPr>
                  <w:tcW w:w="1035" w:type="dxa"/>
                  <w:noWrap w:val="0"/>
                  <w:vAlign w:val="center"/>
                </w:tcPr>
                <w:p w14:paraId="70E23D3F">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固态</w:t>
                  </w:r>
                </w:p>
              </w:tc>
              <w:tc>
                <w:tcPr>
                  <w:tcW w:w="1965" w:type="dxa"/>
                  <w:noWrap w:val="0"/>
                  <w:vAlign w:val="center"/>
                </w:tcPr>
                <w:p w14:paraId="1491F036">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不锈钢等</w:t>
                  </w:r>
                </w:p>
              </w:tc>
              <w:tc>
                <w:tcPr>
                  <w:tcW w:w="1260" w:type="dxa"/>
                  <w:noWrap w:val="0"/>
                  <w:vAlign w:val="center"/>
                </w:tcPr>
                <w:p w14:paraId="04E2E851">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0.0704</w:t>
                  </w:r>
                </w:p>
              </w:tc>
              <w:tc>
                <w:tcPr>
                  <w:tcW w:w="1815" w:type="dxa"/>
                  <w:shd w:val="clear" w:color="auto" w:fill="auto"/>
                  <w:noWrap w:val="0"/>
                  <w:vAlign w:val="center"/>
                </w:tcPr>
                <w:p w14:paraId="08ED726A">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rPr>
                    <w:t>√</w:t>
                  </w:r>
                </w:p>
              </w:tc>
              <w:tc>
                <w:tcPr>
                  <w:tcW w:w="1020" w:type="dxa"/>
                  <w:shd w:val="clear" w:color="auto" w:fill="auto"/>
                  <w:noWrap w:val="0"/>
                  <w:vAlign w:val="center"/>
                </w:tcPr>
                <w:p w14:paraId="2B475BBB">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rPr>
                    <w:t>/</w:t>
                  </w:r>
                </w:p>
              </w:tc>
              <w:tc>
                <w:tcPr>
                  <w:tcW w:w="2309" w:type="dxa"/>
                  <w:vMerge w:val="continue"/>
                  <w:noWrap w:val="0"/>
                  <w:vAlign w:val="center"/>
                </w:tcPr>
                <w:p w14:paraId="59D47066">
                  <w:pPr>
                    <w:spacing w:line="240" w:lineRule="exact"/>
                    <w:jc w:val="center"/>
                    <w:rPr>
                      <w:rFonts w:hint="default" w:ascii="Times New Roman" w:hAnsi="Times New Roman" w:eastAsia="宋体" w:cs="Times New Roman"/>
                      <w:smallCaps w:val="0"/>
                      <w:color w:val="auto"/>
                      <w:spacing w:val="0"/>
                      <w:kern w:val="0"/>
                      <w:position w:val="0"/>
                      <w:szCs w:val="21"/>
                    </w:rPr>
                  </w:pPr>
                </w:p>
              </w:tc>
            </w:tr>
            <w:tr w14:paraId="7A7A77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shd w:val="clear" w:color="auto" w:fill="auto"/>
                  <w:noWrap w:val="0"/>
                  <w:vAlign w:val="center"/>
                </w:tcPr>
                <w:p w14:paraId="2DB6E836">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5</w:t>
                  </w:r>
                </w:p>
              </w:tc>
              <w:tc>
                <w:tcPr>
                  <w:tcW w:w="1343" w:type="dxa"/>
                  <w:noWrap w:val="0"/>
                  <w:vAlign w:val="center"/>
                </w:tcPr>
                <w:p w14:paraId="26259B9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废液压油</w:t>
                  </w:r>
                </w:p>
              </w:tc>
              <w:tc>
                <w:tcPr>
                  <w:tcW w:w="1140" w:type="dxa"/>
                  <w:noWrap w:val="0"/>
                  <w:vAlign w:val="center"/>
                </w:tcPr>
                <w:p w14:paraId="64B861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冲压</w:t>
                  </w:r>
                </w:p>
              </w:tc>
              <w:tc>
                <w:tcPr>
                  <w:tcW w:w="1035" w:type="dxa"/>
                  <w:noWrap w:val="0"/>
                  <w:vAlign w:val="center"/>
                </w:tcPr>
                <w:p w14:paraId="29CC9557">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液态</w:t>
                  </w:r>
                </w:p>
              </w:tc>
              <w:tc>
                <w:tcPr>
                  <w:tcW w:w="1965" w:type="dxa"/>
                  <w:noWrap w:val="0"/>
                  <w:vAlign w:val="center"/>
                </w:tcPr>
                <w:p w14:paraId="22D5F581">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液压油</w:t>
                  </w:r>
                </w:p>
              </w:tc>
              <w:tc>
                <w:tcPr>
                  <w:tcW w:w="1260" w:type="dxa"/>
                  <w:noWrap w:val="0"/>
                  <w:vAlign w:val="center"/>
                </w:tcPr>
                <w:p w14:paraId="5AA796C6">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0.3</w:t>
                  </w:r>
                </w:p>
              </w:tc>
              <w:tc>
                <w:tcPr>
                  <w:tcW w:w="1815" w:type="dxa"/>
                  <w:noWrap w:val="0"/>
                  <w:vAlign w:val="center"/>
                </w:tcPr>
                <w:p w14:paraId="50D9B601">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1020" w:type="dxa"/>
                  <w:noWrap w:val="0"/>
                  <w:vAlign w:val="center"/>
                </w:tcPr>
                <w:p w14:paraId="1F79CA1B">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2309" w:type="dxa"/>
                  <w:vMerge w:val="continue"/>
                  <w:noWrap w:val="0"/>
                  <w:vAlign w:val="center"/>
                </w:tcPr>
                <w:p w14:paraId="29B6C546">
                  <w:pPr>
                    <w:spacing w:line="240" w:lineRule="exact"/>
                    <w:jc w:val="center"/>
                    <w:rPr>
                      <w:rFonts w:hint="default" w:ascii="Times New Roman" w:hAnsi="Times New Roman" w:eastAsia="宋体" w:cs="Times New Roman"/>
                      <w:smallCaps w:val="0"/>
                      <w:color w:val="auto"/>
                      <w:spacing w:val="0"/>
                      <w:kern w:val="0"/>
                      <w:position w:val="0"/>
                      <w:szCs w:val="21"/>
                    </w:rPr>
                  </w:pPr>
                </w:p>
              </w:tc>
            </w:tr>
            <w:tr w14:paraId="2B9AB0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shd w:val="clear" w:color="auto" w:fill="auto"/>
                  <w:noWrap w:val="0"/>
                  <w:vAlign w:val="center"/>
                </w:tcPr>
                <w:p w14:paraId="34C2A4BF">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6</w:t>
                  </w:r>
                </w:p>
              </w:tc>
              <w:tc>
                <w:tcPr>
                  <w:tcW w:w="1343" w:type="dxa"/>
                  <w:noWrap w:val="0"/>
                  <w:vAlign w:val="center"/>
                </w:tcPr>
                <w:p w14:paraId="3BF53B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清洗废液</w:t>
                  </w:r>
                </w:p>
              </w:tc>
              <w:tc>
                <w:tcPr>
                  <w:tcW w:w="1140" w:type="dxa"/>
                  <w:noWrap w:val="0"/>
                  <w:vAlign w:val="center"/>
                </w:tcPr>
                <w:p w14:paraId="4C1FC46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清洗</w:t>
                  </w:r>
                </w:p>
              </w:tc>
              <w:tc>
                <w:tcPr>
                  <w:tcW w:w="1035" w:type="dxa"/>
                  <w:noWrap w:val="0"/>
                  <w:vAlign w:val="center"/>
                </w:tcPr>
                <w:p w14:paraId="59EAC1D1">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液态</w:t>
                  </w:r>
                </w:p>
              </w:tc>
              <w:tc>
                <w:tcPr>
                  <w:tcW w:w="1965" w:type="dxa"/>
                  <w:noWrap w:val="0"/>
                  <w:vAlign w:val="center"/>
                </w:tcPr>
                <w:p w14:paraId="777111B1">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水、灰尘及其他有机成分</w:t>
                  </w:r>
                </w:p>
              </w:tc>
              <w:tc>
                <w:tcPr>
                  <w:tcW w:w="1260" w:type="dxa"/>
                  <w:noWrap w:val="0"/>
                  <w:vAlign w:val="center"/>
                </w:tcPr>
                <w:p w14:paraId="603D0642">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4.8</w:t>
                  </w:r>
                </w:p>
              </w:tc>
              <w:tc>
                <w:tcPr>
                  <w:tcW w:w="1815" w:type="dxa"/>
                  <w:noWrap w:val="0"/>
                  <w:vAlign w:val="center"/>
                </w:tcPr>
                <w:p w14:paraId="0D19E27A">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1020" w:type="dxa"/>
                  <w:noWrap w:val="0"/>
                  <w:vAlign w:val="center"/>
                </w:tcPr>
                <w:p w14:paraId="6EAED553">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2309" w:type="dxa"/>
                  <w:vMerge w:val="continue"/>
                  <w:noWrap w:val="0"/>
                  <w:vAlign w:val="center"/>
                </w:tcPr>
                <w:p w14:paraId="6D710BDE">
                  <w:pPr>
                    <w:spacing w:line="240" w:lineRule="exact"/>
                    <w:jc w:val="center"/>
                    <w:rPr>
                      <w:rFonts w:hint="default" w:ascii="Times New Roman" w:hAnsi="Times New Roman" w:eastAsia="宋体" w:cs="Times New Roman"/>
                      <w:smallCaps w:val="0"/>
                      <w:color w:val="auto"/>
                      <w:spacing w:val="0"/>
                      <w:kern w:val="0"/>
                      <w:position w:val="0"/>
                      <w:szCs w:val="21"/>
                    </w:rPr>
                  </w:pPr>
                </w:p>
              </w:tc>
            </w:tr>
            <w:tr w14:paraId="189D56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1" w:type="dxa"/>
                  <w:noWrap w:val="0"/>
                  <w:vAlign w:val="center"/>
                </w:tcPr>
                <w:p w14:paraId="1397A8D9">
                  <w:pPr>
                    <w:spacing w:line="240" w:lineRule="exact"/>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7</w:t>
                  </w:r>
                </w:p>
              </w:tc>
              <w:tc>
                <w:tcPr>
                  <w:tcW w:w="1343" w:type="dxa"/>
                  <w:noWrap w:val="0"/>
                  <w:vAlign w:val="center"/>
                </w:tcPr>
                <w:p w14:paraId="73EE1A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废包装桶</w:t>
                  </w:r>
                </w:p>
              </w:tc>
              <w:tc>
                <w:tcPr>
                  <w:tcW w:w="1140" w:type="dxa"/>
                  <w:noWrap w:val="0"/>
                  <w:vAlign w:val="center"/>
                </w:tcPr>
                <w:p w14:paraId="11B88D0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原料使用</w:t>
                  </w:r>
                </w:p>
              </w:tc>
              <w:tc>
                <w:tcPr>
                  <w:tcW w:w="1035" w:type="dxa"/>
                  <w:noWrap w:val="0"/>
                  <w:vAlign w:val="center"/>
                </w:tcPr>
                <w:p w14:paraId="4CC5B9BF">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半固态</w:t>
                  </w:r>
                </w:p>
              </w:tc>
              <w:tc>
                <w:tcPr>
                  <w:tcW w:w="1965" w:type="dxa"/>
                  <w:noWrap w:val="0"/>
                  <w:vAlign w:val="center"/>
                </w:tcPr>
                <w:p w14:paraId="0B4CD7E2">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包装桶及沾染的液压油、UV油墨</w:t>
                  </w:r>
                </w:p>
              </w:tc>
              <w:tc>
                <w:tcPr>
                  <w:tcW w:w="1260" w:type="dxa"/>
                  <w:noWrap w:val="0"/>
                  <w:vAlign w:val="center"/>
                </w:tcPr>
                <w:p w14:paraId="01AE5FD2">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0.037</w:t>
                  </w:r>
                </w:p>
              </w:tc>
              <w:tc>
                <w:tcPr>
                  <w:tcW w:w="1815" w:type="dxa"/>
                  <w:noWrap w:val="0"/>
                  <w:vAlign w:val="center"/>
                </w:tcPr>
                <w:p w14:paraId="24904110">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1020" w:type="dxa"/>
                  <w:noWrap w:val="0"/>
                  <w:vAlign w:val="center"/>
                </w:tcPr>
                <w:p w14:paraId="31890FC7">
                  <w:pPr>
                    <w:spacing w:line="240" w:lineRule="exact"/>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w:t>
                  </w:r>
                </w:p>
              </w:tc>
              <w:tc>
                <w:tcPr>
                  <w:tcW w:w="2309" w:type="dxa"/>
                  <w:vMerge w:val="continue"/>
                  <w:noWrap w:val="0"/>
                  <w:vAlign w:val="center"/>
                </w:tcPr>
                <w:p w14:paraId="4C524A55">
                  <w:pPr>
                    <w:spacing w:line="240" w:lineRule="exact"/>
                    <w:jc w:val="center"/>
                    <w:rPr>
                      <w:rFonts w:hint="default" w:ascii="Times New Roman" w:hAnsi="Times New Roman" w:eastAsia="宋体" w:cs="Times New Roman"/>
                      <w:smallCaps w:val="0"/>
                      <w:color w:val="auto"/>
                      <w:spacing w:val="0"/>
                      <w:kern w:val="0"/>
                      <w:position w:val="0"/>
                      <w:szCs w:val="21"/>
                    </w:rPr>
                  </w:pPr>
                </w:p>
              </w:tc>
            </w:tr>
          </w:tbl>
          <w:p w14:paraId="6EF64FD5">
            <w:pPr>
              <w:tabs>
                <w:tab w:val="center" w:pos="4727"/>
                <w:tab w:val="left" w:pos="8213"/>
                <w:tab w:val="left" w:pos="8719"/>
              </w:tabs>
              <w:adjustRightInd w:val="0"/>
              <w:snapToGrid w:val="0"/>
              <w:spacing w:line="440" w:lineRule="exact"/>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本项目营运期产生的固体废物的名称、类别、属性和数量等情况见表4-</w:t>
            </w:r>
            <w:r>
              <w:rPr>
                <w:rFonts w:hint="default" w:ascii="Times New Roman" w:hAnsi="Times New Roman" w:eastAsia="宋体" w:cs="Times New Roman"/>
                <w:smallCaps w:val="0"/>
                <w:color w:val="auto"/>
                <w:spacing w:val="0"/>
                <w:kern w:val="0"/>
                <w:position w:val="0"/>
                <w:sz w:val="24"/>
                <w:lang w:val="en-US" w:eastAsia="zh-CN"/>
              </w:rPr>
              <w:t>15</w:t>
            </w:r>
            <w:r>
              <w:rPr>
                <w:rFonts w:hint="default" w:ascii="Times New Roman" w:hAnsi="Times New Roman" w:eastAsia="宋体" w:cs="Times New Roman"/>
                <w:smallCaps w:val="0"/>
                <w:color w:val="auto"/>
                <w:spacing w:val="0"/>
                <w:kern w:val="0"/>
                <w:position w:val="0"/>
                <w:sz w:val="24"/>
              </w:rPr>
              <w:t>。</w:t>
            </w:r>
          </w:p>
          <w:p w14:paraId="0A9014EF">
            <w:pPr>
              <w:pStyle w:val="43"/>
              <w:ind w:firstLine="482"/>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b/>
                <w:smallCaps w:val="0"/>
                <w:color w:val="auto"/>
                <w:spacing w:val="0"/>
                <w:kern w:val="0"/>
                <w:position w:val="0"/>
                <w:sz w:val="21"/>
                <w:szCs w:val="22"/>
                <w:lang w:val="en-US" w:eastAsia="zh-CN" w:bidi="ar-SA"/>
              </w:rPr>
              <w:t>表4-15本项目营运期固体废物分析结果汇总表</w:t>
            </w:r>
          </w:p>
          <w:tbl>
            <w:tblPr>
              <w:tblStyle w:val="17"/>
              <w:tblW w:w="5000" w:type="pct"/>
              <w:jc w:val="center"/>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Layout w:type="fixed"/>
              <w:tblCellMar>
                <w:top w:w="0" w:type="dxa"/>
                <w:left w:w="108" w:type="dxa"/>
                <w:bottom w:w="0" w:type="dxa"/>
                <w:right w:w="108" w:type="dxa"/>
              </w:tblCellMar>
            </w:tblPr>
            <w:tblGrid>
              <w:gridCol w:w="624"/>
              <w:gridCol w:w="1510"/>
              <w:gridCol w:w="776"/>
              <w:gridCol w:w="1515"/>
              <w:gridCol w:w="886"/>
              <w:gridCol w:w="2114"/>
              <w:gridCol w:w="1148"/>
              <w:gridCol w:w="750"/>
              <w:gridCol w:w="838"/>
              <w:gridCol w:w="1402"/>
              <w:gridCol w:w="905"/>
            </w:tblGrid>
            <w:tr w14:paraId="3FB48A2E">
              <w:tblPrEx>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noWrap w:val="0"/>
                  <w:vAlign w:val="center"/>
                </w:tcPr>
                <w:p w14:paraId="54BDB7B3">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序号</w:t>
                  </w:r>
                </w:p>
              </w:tc>
              <w:tc>
                <w:tcPr>
                  <w:tcW w:w="605" w:type="pct"/>
                  <w:tcBorders>
                    <w:tl2br w:val="nil"/>
                    <w:tr2bl w:val="nil"/>
                  </w:tcBorders>
                  <w:noWrap w:val="0"/>
                  <w:vAlign w:val="center"/>
                </w:tcPr>
                <w:p w14:paraId="6FAB1721">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固废名称</w:t>
                  </w:r>
                </w:p>
              </w:tc>
              <w:tc>
                <w:tcPr>
                  <w:tcW w:w="311" w:type="pct"/>
                  <w:tcBorders>
                    <w:tl2br w:val="nil"/>
                    <w:tr2bl w:val="nil"/>
                  </w:tcBorders>
                  <w:noWrap w:val="0"/>
                  <w:vAlign w:val="center"/>
                </w:tcPr>
                <w:p w14:paraId="01A69759">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属性</w:t>
                  </w:r>
                </w:p>
              </w:tc>
              <w:tc>
                <w:tcPr>
                  <w:tcW w:w="607" w:type="pct"/>
                  <w:tcBorders>
                    <w:tl2br w:val="nil"/>
                    <w:tr2bl w:val="nil"/>
                  </w:tcBorders>
                  <w:noWrap w:val="0"/>
                  <w:vAlign w:val="center"/>
                </w:tcPr>
                <w:p w14:paraId="23DFF371">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产生工序</w:t>
                  </w:r>
                </w:p>
              </w:tc>
              <w:tc>
                <w:tcPr>
                  <w:tcW w:w="355" w:type="pct"/>
                  <w:tcBorders>
                    <w:tl2br w:val="nil"/>
                    <w:tr2bl w:val="nil"/>
                  </w:tcBorders>
                  <w:noWrap w:val="0"/>
                  <w:vAlign w:val="center"/>
                </w:tcPr>
                <w:p w14:paraId="7DE95B82">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形态</w:t>
                  </w:r>
                </w:p>
              </w:tc>
              <w:tc>
                <w:tcPr>
                  <w:tcW w:w="847" w:type="pct"/>
                  <w:tcBorders>
                    <w:tl2br w:val="nil"/>
                    <w:tr2bl w:val="nil"/>
                  </w:tcBorders>
                  <w:noWrap w:val="0"/>
                  <w:vAlign w:val="center"/>
                </w:tcPr>
                <w:p w14:paraId="669CB55D">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主要成分</w:t>
                  </w:r>
                </w:p>
              </w:tc>
              <w:tc>
                <w:tcPr>
                  <w:tcW w:w="460" w:type="pct"/>
                  <w:tcBorders>
                    <w:tl2br w:val="nil"/>
                    <w:tr2bl w:val="nil"/>
                  </w:tcBorders>
                  <w:noWrap w:val="0"/>
                  <w:vAlign w:val="center"/>
                </w:tcPr>
                <w:p w14:paraId="7DE3D158">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危险特性鉴别方法</w:t>
                  </w:r>
                </w:p>
              </w:tc>
              <w:tc>
                <w:tcPr>
                  <w:tcW w:w="300" w:type="pct"/>
                  <w:tcBorders>
                    <w:tl2br w:val="nil"/>
                    <w:tr2bl w:val="nil"/>
                  </w:tcBorders>
                  <w:noWrap w:val="0"/>
                  <w:vAlign w:val="center"/>
                </w:tcPr>
                <w:p w14:paraId="6953F38F">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危险特性</w:t>
                  </w:r>
                </w:p>
              </w:tc>
              <w:tc>
                <w:tcPr>
                  <w:tcW w:w="336" w:type="pct"/>
                  <w:tcBorders>
                    <w:tl2br w:val="nil"/>
                    <w:tr2bl w:val="nil"/>
                  </w:tcBorders>
                  <w:noWrap w:val="0"/>
                  <w:vAlign w:val="center"/>
                </w:tcPr>
                <w:p w14:paraId="10A70E8D">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废物类别</w:t>
                  </w:r>
                </w:p>
              </w:tc>
              <w:tc>
                <w:tcPr>
                  <w:tcW w:w="562" w:type="pct"/>
                  <w:tcBorders>
                    <w:tl2br w:val="nil"/>
                    <w:tr2bl w:val="nil"/>
                  </w:tcBorders>
                  <w:noWrap w:val="0"/>
                  <w:vAlign w:val="center"/>
                </w:tcPr>
                <w:p w14:paraId="7FF73CB9">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废物代码</w:t>
                  </w:r>
                </w:p>
              </w:tc>
              <w:tc>
                <w:tcPr>
                  <w:tcW w:w="362" w:type="pct"/>
                  <w:tcBorders>
                    <w:tl2br w:val="nil"/>
                    <w:tr2bl w:val="nil"/>
                  </w:tcBorders>
                  <w:noWrap w:val="0"/>
                  <w:vAlign w:val="center"/>
                </w:tcPr>
                <w:p w14:paraId="12220F87">
                  <w:pPr>
                    <w:adjustRightInd w:val="0"/>
                    <w:snapToGrid w:val="0"/>
                    <w:jc w:val="center"/>
                    <w:rPr>
                      <w:rFonts w:hint="default" w:ascii="Times New Roman" w:hAnsi="Times New Roman" w:eastAsia="宋体" w:cs="Times New Roman"/>
                      <w:b/>
                      <w:bCs w:val="0"/>
                      <w:smallCaps w:val="0"/>
                      <w:color w:val="auto"/>
                      <w:spacing w:val="0"/>
                      <w:szCs w:val="21"/>
                    </w:rPr>
                  </w:pPr>
                  <w:r>
                    <w:rPr>
                      <w:rFonts w:hint="default" w:ascii="Times New Roman" w:hAnsi="Times New Roman" w:eastAsia="宋体" w:cs="Times New Roman"/>
                      <w:b/>
                      <w:bCs w:val="0"/>
                      <w:smallCaps w:val="0"/>
                      <w:color w:val="auto"/>
                      <w:spacing w:val="0"/>
                      <w:szCs w:val="21"/>
                    </w:rPr>
                    <w:t>产生量（t/a）</w:t>
                  </w:r>
                </w:p>
              </w:tc>
            </w:tr>
            <w:tr w14:paraId="26A406E5">
              <w:tblPrEx>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shd w:val="clear" w:color="auto" w:fill="auto"/>
                  <w:noWrap w:val="0"/>
                  <w:vAlign w:val="center"/>
                </w:tcPr>
                <w:p w14:paraId="1AABA5E3">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rPr>
                    <w:t>1</w:t>
                  </w:r>
                </w:p>
              </w:tc>
              <w:tc>
                <w:tcPr>
                  <w:tcW w:w="605" w:type="pct"/>
                  <w:tcBorders>
                    <w:tl2br w:val="nil"/>
                    <w:tr2bl w:val="nil"/>
                  </w:tcBorders>
                  <w:shd w:val="clear" w:color="auto" w:fill="auto"/>
                  <w:noWrap w:val="0"/>
                  <w:vAlign w:val="center"/>
                </w:tcPr>
                <w:p w14:paraId="499001A2">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生活垃圾</w:t>
                  </w:r>
                </w:p>
              </w:tc>
              <w:tc>
                <w:tcPr>
                  <w:tcW w:w="311" w:type="pct"/>
                  <w:vMerge w:val="restart"/>
                  <w:tcBorders>
                    <w:tl2br w:val="nil"/>
                    <w:tr2bl w:val="nil"/>
                  </w:tcBorders>
                  <w:shd w:val="clear" w:color="auto" w:fill="auto"/>
                  <w:noWrap w:val="0"/>
                  <w:vAlign w:val="center"/>
                </w:tcPr>
                <w:p w14:paraId="0AD627F4">
                  <w:pPr>
                    <w:widowControl/>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kern w:val="2"/>
                      <w:sz w:val="21"/>
                      <w:szCs w:val="21"/>
                      <w:lang w:val="en-US" w:eastAsia="zh-CN" w:bidi="ar-SA"/>
                    </w:rPr>
                    <w:t>一般固废</w:t>
                  </w:r>
                </w:p>
              </w:tc>
              <w:tc>
                <w:tcPr>
                  <w:tcW w:w="607" w:type="pct"/>
                  <w:tcBorders>
                    <w:tl2br w:val="nil"/>
                    <w:tr2bl w:val="nil"/>
                  </w:tcBorders>
                  <w:shd w:val="clear" w:color="auto" w:fill="auto"/>
                  <w:noWrap w:val="0"/>
                  <w:vAlign w:val="center"/>
                </w:tcPr>
                <w:p w14:paraId="52BFFD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lang w:val="en-US" w:eastAsia="zh-CN"/>
                    </w:rPr>
                    <w:t>办公、生活</w:t>
                  </w:r>
                </w:p>
              </w:tc>
              <w:tc>
                <w:tcPr>
                  <w:tcW w:w="355" w:type="pct"/>
                  <w:tcBorders>
                    <w:tl2br w:val="nil"/>
                    <w:tr2bl w:val="nil"/>
                  </w:tcBorders>
                  <w:shd w:val="clear" w:color="auto" w:fill="auto"/>
                  <w:noWrap w:val="0"/>
                  <w:vAlign w:val="center"/>
                </w:tcPr>
                <w:p w14:paraId="72F0591F">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固态</w:t>
                  </w:r>
                </w:p>
              </w:tc>
              <w:tc>
                <w:tcPr>
                  <w:tcW w:w="847" w:type="pct"/>
                  <w:tcBorders>
                    <w:tl2br w:val="nil"/>
                    <w:tr2bl w:val="nil"/>
                  </w:tcBorders>
                  <w:shd w:val="clear" w:color="auto" w:fill="auto"/>
                  <w:noWrap w:val="0"/>
                  <w:vAlign w:val="center"/>
                </w:tcPr>
                <w:p w14:paraId="1DBD6FF2">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纸张</w:t>
                  </w:r>
                </w:p>
              </w:tc>
              <w:tc>
                <w:tcPr>
                  <w:tcW w:w="460" w:type="pct"/>
                  <w:vMerge w:val="restart"/>
                  <w:tcBorders>
                    <w:tl2br w:val="nil"/>
                    <w:tr2bl w:val="nil"/>
                  </w:tcBorders>
                  <w:noWrap w:val="0"/>
                  <w:vAlign w:val="center"/>
                </w:tcPr>
                <w:p w14:paraId="22770162">
                  <w:pPr>
                    <w:widowControl/>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《固体废物分类与代码</w:t>
                  </w:r>
                  <w:r>
                    <w:rPr>
                      <w:rFonts w:hint="default" w:ascii="Times New Roman" w:hAnsi="Times New Roman" w:eastAsia="宋体" w:cs="Times New Roman"/>
                      <w:smallCaps w:val="0"/>
                      <w:color w:val="auto"/>
                      <w:spacing w:val="0"/>
                      <w:szCs w:val="21"/>
                      <w:lang w:val="en-US" w:eastAsia="zh-CN"/>
                    </w:rPr>
                    <w:t>目录</w:t>
                  </w:r>
                  <w:r>
                    <w:rPr>
                      <w:rFonts w:hint="default" w:ascii="Times New Roman" w:hAnsi="Times New Roman" w:eastAsia="宋体" w:cs="Times New Roman"/>
                      <w:smallCaps w:val="0"/>
                      <w:color w:val="auto"/>
                      <w:spacing w:val="0"/>
                      <w:szCs w:val="21"/>
                    </w:rPr>
                    <w:t>》</w:t>
                  </w:r>
                </w:p>
              </w:tc>
              <w:tc>
                <w:tcPr>
                  <w:tcW w:w="300" w:type="pct"/>
                  <w:tcBorders>
                    <w:tl2br w:val="nil"/>
                    <w:tr2bl w:val="nil"/>
                  </w:tcBorders>
                  <w:shd w:val="clear" w:color="auto" w:fill="auto"/>
                  <w:noWrap w:val="0"/>
                  <w:vAlign w:val="center"/>
                </w:tcPr>
                <w:p w14:paraId="48DB9441">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w:t>
                  </w:r>
                </w:p>
              </w:tc>
              <w:tc>
                <w:tcPr>
                  <w:tcW w:w="336" w:type="pct"/>
                  <w:tcBorders>
                    <w:tl2br w:val="nil"/>
                    <w:tr2bl w:val="nil"/>
                  </w:tcBorders>
                  <w:shd w:val="clear" w:color="auto" w:fill="auto"/>
                  <w:noWrap w:val="0"/>
                  <w:vAlign w:val="center"/>
                </w:tcPr>
                <w:p w14:paraId="43190E39">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w:t>
                  </w:r>
                </w:p>
              </w:tc>
              <w:tc>
                <w:tcPr>
                  <w:tcW w:w="562" w:type="pct"/>
                  <w:tcBorders>
                    <w:tl2br w:val="nil"/>
                    <w:tr2bl w:val="nil"/>
                  </w:tcBorders>
                  <w:shd w:val="clear" w:color="auto" w:fill="auto"/>
                  <w:noWrap w:val="0"/>
                  <w:vAlign w:val="center"/>
                </w:tcPr>
                <w:p w14:paraId="02191473">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rPr>
                    <w:t>/</w:t>
                  </w:r>
                </w:p>
              </w:tc>
              <w:tc>
                <w:tcPr>
                  <w:tcW w:w="362" w:type="pct"/>
                  <w:tcBorders>
                    <w:tl2br w:val="nil"/>
                    <w:tr2bl w:val="nil"/>
                  </w:tcBorders>
                  <w:noWrap w:val="0"/>
                  <w:vAlign w:val="center"/>
                </w:tcPr>
                <w:p w14:paraId="66235FA3">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1.5</w:t>
                  </w:r>
                </w:p>
              </w:tc>
            </w:tr>
            <w:tr w14:paraId="513EC4B5">
              <w:tblPrEx>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shd w:val="clear" w:color="auto" w:fill="auto"/>
                  <w:noWrap w:val="0"/>
                  <w:vAlign w:val="center"/>
                </w:tcPr>
                <w:p w14:paraId="1B0D5444">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2</w:t>
                  </w:r>
                </w:p>
              </w:tc>
              <w:tc>
                <w:tcPr>
                  <w:tcW w:w="605" w:type="pct"/>
                  <w:tcBorders>
                    <w:tl2br w:val="nil"/>
                    <w:tr2bl w:val="nil"/>
                  </w:tcBorders>
                  <w:shd w:val="clear" w:color="auto" w:fill="auto"/>
                  <w:noWrap w:val="0"/>
                  <w:vAlign w:val="center"/>
                </w:tcPr>
                <w:p w14:paraId="2C503A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lang w:val="en-US" w:eastAsia="zh-CN"/>
                    </w:rPr>
                    <w:t>金属边角料</w:t>
                  </w:r>
                </w:p>
              </w:tc>
              <w:tc>
                <w:tcPr>
                  <w:tcW w:w="311" w:type="pct"/>
                  <w:vMerge w:val="continue"/>
                  <w:tcBorders>
                    <w:tl2br w:val="nil"/>
                    <w:tr2bl w:val="nil"/>
                  </w:tcBorders>
                  <w:noWrap w:val="0"/>
                  <w:vAlign w:val="center"/>
                </w:tcPr>
                <w:p w14:paraId="65A4C5EF">
                  <w:pPr>
                    <w:widowControl/>
                    <w:jc w:val="left"/>
                    <w:rPr>
                      <w:rFonts w:hint="default" w:ascii="Times New Roman" w:hAnsi="Times New Roman" w:eastAsia="宋体" w:cs="Times New Roman"/>
                      <w:smallCaps w:val="0"/>
                      <w:color w:val="auto"/>
                      <w:spacing w:val="0"/>
                      <w:szCs w:val="21"/>
                    </w:rPr>
                  </w:pPr>
                </w:p>
              </w:tc>
              <w:tc>
                <w:tcPr>
                  <w:tcW w:w="607" w:type="pct"/>
                  <w:tcBorders>
                    <w:tl2br w:val="nil"/>
                    <w:tr2bl w:val="nil"/>
                  </w:tcBorders>
                  <w:shd w:val="clear" w:color="auto" w:fill="auto"/>
                  <w:noWrap w:val="0"/>
                  <w:vAlign w:val="center"/>
                </w:tcPr>
                <w:p w14:paraId="1AE57C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切割、剪切</w:t>
                  </w:r>
                </w:p>
              </w:tc>
              <w:tc>
                <w:tcPr>
                  <w:tcW w:w="355" w:type="pct"/>
                  <w:tcBorders>
                    <w:tl2br w:val="nil"/>
                    <w:tr2bl w:val="nil"/>
                  </w:tcBorders>
                  <w:shd w:val="clear" w:color="auto" w:fill="auto"/>
                  <w:noWrap w:val="0"/>
                  <w:vAlign w:val="center"/>
                </w:tcPr>
                <w:p w14:paraId="2E229922">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固态</w:t>
                  </w:r>
                </w:p>
              </w:tc>
              <w:tc>
                <w:tcPr>
                  <w:tcW w:w="847" w:type="pct"/>
                  <w:tcBorders>
                    <w:tl2br w:val="nil"/>
                    <w:tr2bl w:val="nil"/>
                  </w:tcBorders>
                  <w:shd w:val="clear" w:color="auto" w:fill="auto"/>
                  <w:noWrap w:val="0"/>
                  <w:vAlign w:val="center"/>
                </w:tcPr>
                <w:p w14:paraId="794E8924">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不锈钢等</w:t>
                  </w:r>
                </w:p>
              </w:tc>
              <w:tc>
                <w:tcPr>
                  <w:tcW w:w="460" w:type="pct"/>
                  <w:vMerge w:val="continue"/>
                  <w:tcBorders>
                    <w:tl2br w:val="nil"/>
                    <w:tr2bl w:val="nil"/>
                  </w:tcBorders>
                  <w:noWrap w:val="0"/>
                  <w:vAlign w:val="center"/>
                </w:tcPr>
                <w:p w14:paraId="4266AAB5">
                  <w:pPr>
                    <w:widowControl/>
                    <w:jc w:val="center"/>
                    <w:rPr>
                      <w:rFonts w:hint="default" w:ascii="Times New Roman" w:hAnsi="Times New Roman" w:eastAsia="宋体" w:cs="Times New Roman"/>
                      <w:smallCaps w:val="0"/>
                      <w:color w:val="auto"/>
                      <w:spacing w:val="0"/>
                      <w:szCs w:val="21"/>
                    </w:rPr>
                  </w:pPr>
                </w:p>
              </w:tc>
              <w:tc>
                <w:tcPr>
                  <w:tcW w:w="300" w:type="pct"/>
                  <w:tcBorders>
                    <w:tl2br w:val="nil"/>
                    <w:tr2bl w:val="nil"/>
                  </w:tcBorders>
                  <w:noWrap w:val="0"/>
                  <w:vAlign w:val="center"/>
                </w:tcPr>
                <w:p w14:paraId="2514AD6C">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rPr>
                    <w:t>/</w:t>
                  </w:r>
                </w:p>
              </w:tc>
              <w:tc>
                <w:tcPr>
                  <w:tcW w:w="336" w:type="pct"/>
                  <w:tcBorders>
                    <w:tl2br w:val="nil"/>
                    <w:tr2bl w:val="nil"/>
                  </w:tcBorders>
                  <w:noWrap w:val="0"/>
                  <w:vAlign w:val="center"/>
                </w:tcPr>
                <w:p w14:paraId="1E12677C">
                  <w:pPr>
                    <w:adjustRightInd w:val="0"/>
                    <w:snapToGrid w:val="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szCs w:val="21"/>
                      <w:lang w:val="en-US" w:eastAsia="zh-CN"/>
                    </w:rPr>
                    <w:t>SW17</w:t>
                  </w:r>
                </w:p>
              </w:tc>
              <w:tc>
                <w:tcPr>
                  <w:tcW w:w="562" w:type="pct"/>
                  <w:tcBorders>
                    <w:tl2br w:val="nil"/>
                    <w:tr2bl w:val="nil"/>
                  </w:tcBorders>
                  <w:noWrap w:val="0"/>
                  <w:vAlign w:val="center"/>
                </w:tcPr>
                <w:p w14:paraId="062A8A87">
                  <w:pPr>
                    <w:adjustRightInd w:val="0"/>
                    <w:snapToGrid w:val="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val="en-US" w:eastAsia="zh-CN"/>
                    </w:rPr>
                    <w:t>900-001-S17</w:t>
                  </w:r>
                </w:p>
              </w:tc>
              <w:tc>
                <w:tcPr>
                  <w:tcW w:w="362" w:type="pct"/>
                  <w:tcBorders>
                    <w:tl2br w:val="nil"/>
                    <w:tr2bl w:val="nil"/>
                  </w:tcBorders>
                  <w:shd w:val="clear" w:color="auto" w:fill="auto"/>
                  <w:noWrap w:val="0"/>
                  <w:vAlign w:val="center"/>
                </w:tcPr>
                <w:p w14:paraId="2F8DDEB6">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0.1</w:t>
                  </w:r>
                </w:p>
              </w:tc>
            </w:tr>
            <w:tr w14:paraId="20712AA5">
              <w:tblPrEx>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shd w:val="clear" w:color="auto" w:fill="auto"/>
                  <w:noWrap w:val="0"/>
                  <w:vAlign w:val="center"/>
                </w:tcPr>
                <w:p w14:paraId="55C341C1">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3</w:t>
                  </w:r>
                </w:p>
              </w:tc>
              <w:tc>
                <w:tcPr>
                  <w:tcW w:w="605" w:type="pct"/>
                  <w:tcBorders>
                    <w:tl2br w:val="nil"/>
                    <w:tr2bl w:val="nil"/>
                  </w:tcBorders>
                  <w:shd w:val="clear" w:color="auto" w:fill="auto"/>
                  <w:noWrap w:val="0"/>
                  <w:vAlign w:val="center"/>
                </w:tcPr>
                <w:p w14:paraId="338C3F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 w:val="21"/>
                      <w:szCs w:val="21"/>
                      <w:lang w:val="en-US" w:eastAsia="zh-CN"/>
                    </w:rPr>
                    <w:t>焊渣</w:t>
                  </w:r>
                </w:p>
              </w:tc>
              <w:tc>
                <w:tcPr>
                  <w:tcW w:w="311" w:type="pct"/>
                  <w:vMerge w:val="continue"/>
                  <w:tcBorders>
                    <w:tl2br w:val="nil"/>
                    <w:tr2bl w:val="nil"/>
                  </w:tcBorders>
                  <w:noWrap w:val="0"/>
                  <w:vAlign w:val="center"/>
                </w:tcPr>
                <w:p w14:paraId="4A9AD5C4">
                  <w:pPr>
                    <w:widowControl/>
                    <w:jc w:val="left"/>
                    <w:rPr>
                      <w:rFonts w:hint="default" w:ascii="Times New Roman" w:hAnsi="Times New Roman" w:eastAsia="宋体" w:cs="Times New Roman"/>
                      <w:smallCaps w:val="0"/>
                      <w:color w:val="auto"/>
                      <w:spacing w:val="0"/>
                      <w:szCs w:val="21"/>
                    </w:rPr>
                  </w:pPr>
                </w:p>
              </w:tc>
              <w:tc>
                <w:tcPr>
                  <w:tcW w:w="607" w:type="pct"/>
                  <w:tcBorders>
                    <w:tl2br w:val="nil"/>
                    <w:tr2bl w:val="nil"/>
                  </w:tcBorders>
                  <w:shd w:val="clear" w:color="auto" w:fill="auto"/>
                  <w:noWrap w:val="0"/>
                  <w:vAlign w:val="center"/>
                </w:tcPr>
                <w:p w14:paraId="2BF64D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焊接</w:t>
                  </w:r>
                </w:p>
              </w:tc>
              <w:tc>
                <w:tcPr>
                  <w:tcW w:w="355" w:type="pct"/>
                  <w:tcBorders>
                    <w:tl2br w:val="nil"/>
                    <w:tr2bl w:val="nil"/>
                  </w:tcBorders>
                  <w:shd w:val="clear" w:color="auto" w:fill="auto"/>
                  <w:noWrap w:val="0"/>
                  <w:vAlign w:val="center"/>
                </w:tcPr>
                <w:p w14:paraId="3292CD1E">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固态</w:t>
                  </w:r>
                </w:p>
              </w:tc>
              <w:tc>
                <w:tcPr>
                  <w:tcW w:w="847" w:type="pct"/>
                  <w:tcBorders>
                    <w:tl2br w:val="nil"/>
                    <w:tr2bl w:val="nil"/>
                  </w:tcBorders>
                  <w:shd w:val="clear" w:color="auto" w:fill="auto"/>
                  <w:noWrap w:val="0"/>
                  <w:vAlign w:val="center"/>
                </w:tcPr>
                <w:p w14:paraId="5B664983">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不锈钢渣等</w:t>
                  </w:r>
                </w:p>
              </w:tc>
              <w:tc>
                <w:tcPr>
                  <w:tcW w:w="460" w:type="pct"/>
                  <w:vMerge w:val="continue"/>
                  <w:tcBorders>
                    <w:tl2br w:val="nil"/>
                    <w:tr2bl w:val="nil"/>
                  </w:tcBorders>
                  <w:noWrap w:val="0"/>
                  <w:vAlign w:val="center"/>
                </w:tcPr>
                <w:p w14:paraId="08EE910A">
                  <w:pPr>
                    <w:widowControl/>
                    <w:jc w:val="center"/>
                    <w:rPr>
                      <w:rFonts w:hint="default" w:ascii="Times New Roman" w:hAnsi="Times New Roman" w:eastAsia="宋体" w:cs="Times New Roman"/>
                      <w:smallCaps w:val="0"/>
                      <w:color w:val="auto"/>
                      <w:spacing w:val="0"/>
                      <w:szCs w:val="21"/>
                    </w:rPr>
                  </w:pPr>
                </w:p>
              </w:tc>
              <w:tc>
                <w:tcPr>
                  <w:tcW w:w="300" w:type="pct"/>
                  <w:tcBorders>
                    <w:tl2br w:val="nil"/>
                    <w:tr2bl w:val="nil"/>
                  </w:tcBorders>
                  <w:noWrap w:val="0"/>
                  <w:vAlign w:val="center"/>
                </w:tcPr>
                <w:p w14:paraId="1DC98D06">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kern w:val="2"/>
                      <w:sz w:val="21"/>
                      <w:szCs w:val="21"/>
                      <w:lang w:val="en-US" w:eastAsia="zh-CN" w:bidi="ar-SA"/>
                    </w:rPr>
                    <w:t>/</w:t>
                  </w:r>
                </w:p>
              </w:tc>
              <w:tc>
                <w:tcPr>
                  <w:tcW w:w="336" w:type="pct"/>
                  <w:tcBorders>
                    <w:tl2br w:val="nil"/>
                    <w:tr2bl w:val="nil"/>
                  </w:tcBorders>
                  <w:shd w:val="clear" w:color="auto" w:fill="auto"/>
                  <w:noWrap w:val="0"/>
                  <w:vAlign w:val="center"/>
                </w:tcPr>
                <w:p w14:paraId="3857C8E2">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SW17</w:t>
                  </w:r>
                </w:p>
              </w:tc>
              <w:tc>
                <w:tcPr>
                  <w:tcW w:w="562" w:type="pct"/>
                  <w:tcBorders>
                    <w:tl2br w:val="nil"/>
                    <w:tr2bl w:val="nil"/>
                  </w:tcBorders>
                  <w:shd w:val="clear" w:color="auto" w:fill="auto"/>
                  <w:noWrap w:val="0"/>
                  <w:vAlign w:val="center"/>
                </w:tcPr>
                <w:p w14:paraId="47158FC5">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900-001-S17</w:t>
                  </w:r>
                </w:p>
              </w:tc>
              <w:tc>
                <w:tcPr>
                  <w:tcW w:w="362" w:type="pct"/>
                  <w:tcBorders>
                    <w:tl2br w:val="nil"/>
                    <w:tr2bl w:val="nil"/>
                  </w:tcBorders>
                  <w:shd w:val="clear" w:color="auto" w:fill="auto"/>
                  <w:noWrap w:val="0"/>
                  <w:vAlign w:val="center"/>
                </w:tcPr>
                <w:p w14:paraId="428E7B8C">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0.0128</w:t>
                  </w:r>
                </w:p>
              </w:tc>
            </w:tr>
            <w:tr w14:paraId="1B6FFF43">
              <w:tblPrEx>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shd w:val="clear" w:color="auto" w:fill="auto"/>
                  <w:noWrap w:val="0"/>
                  <w:vAlign w:val="center"/>
                </w:tcPr>
                <w:p w14:paraId="32DD3690">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4</w:t>
                  </w:r>
                </w:p>
              </w:tc>
              <w:tc>
                <w:tcPr>
                  <w:tcW w:w="605" w:type="pct"/>
                  <w:tcBorders>
                    <w:tl2br w:val="nil"/>
                    <w:tr2bl w:val="nil"/>
                  </w:tcBorders>
                  <w:shd w:val="clear" w:color="auto" w:fill="auto"/>
                  <w:noWrap w:val="0"/>
                  <w:vAlign w:val="center"/>
                </w:tcPr>
                <w:p w14:paraId="23DD85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sz w:val="21"/>
                      <w:szCs w:val="21"/>
                      <w:lang w:val="en-US" w:eastAsia="zh-CN"/>
                    </w:rPr>
                  </w:pPr>
                  <w:r>
                    <w:rPr>
                      <w:rFonts w:hint="eastAsia" w:cs="Times New Roman"/>
                      <w:smallCaps w:val="0"/>
                      <w:color w:val="auto"/>
                      <w:spacing w:val="0"/>
                      <w:sz w:val="21"/>
                      <w:szCs w:val="21"/>
                      <w:lang w:val="en-US" w:eastAsia="zh-CN"/>
                    </w:rPr>
                    <w:t>切割集尘</w:t>
                  </w:r>
                </w:p>
              </w:tc>
              <w:tc>
                <w:tcPr>
                  <w:tcW w:w="311" w:type="pct"/>
                  <w:vMerge w:val="continue"/>
                  <w:tcBorders>
                    <w:tl2br w:val="nil"/>
                    <w:tr2bl w:val="nil"/>
                  </w:tcBorders>
                  <w:noWrap w:val="0"/>
                  <w:vAlign w:val="center"/>
                </w:tcPr>
                <w:p w14:paraId="54572091">
                  <w:pPr>
                    <w:widowControl/>
                    <w:jc w:val="left"/>
                    <w:rPr>
                      <w:rFonts w:hint="default" w:ascii="Times New Roman" w:hAnsi="Times New Roman" w:eastAsia="宋体" w:cs="Times New Roman"/>
                      <w:smallCaps w:val="0"/>
                      <w:color w:val="auto"/>
                      <w:spacing w:val="0"/>
                      <w:szCs w:val="21"/>
                    </w:rPr>
                  </w:pPr>
                </w:p>
              </w:tc>
              <w:tc>
                <w:tcPr>
                  <w:tcW w:w="607" w:type="pct"/>
                  <w:tcBorders>
                    <w:tl2br w:val="nil"/>
                    <w:tr2bl w:val="nil"/>
                  </w:tcBorders>
                  <w:shd w:val="clear" w:color="auto" w:fill="auto"/>
                  <w:noWrap w:val="0"/>
                  <w:vAlign w:val="center"/>
                </w:tcPr>
                <w:p w14:paraId="1B8981F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eastAsia" w:cs="Times New Roman"/>
                      <w:smallCaps w:val="0"/>
                      <w:color w:val="auto"/>
                      <w:spacing w:val="0"/>
                      <w:kern w:val="0"/>
                      <w:position w:val="0"/>
                      <w:sz w:val="21"/>
                      <w:szCs w:val="21"/>
                      <w:lang w:val="en-US" w:eastAsia="zh-CN"/>
                    </w:rPr>
                    <w:t>切割</w:t>
                  </w:r>
                </w:p>
              </w:tc>
              <w:tc>
                <w:tcPr>
                  <w:tcW w:w="355" w:type="pct"/>
                  <w:tcBorders>
                    <w:tl2br w:val="nil"/>
                    <w:tr2bl w:val="nil"/>
                  </w:tcBorders>
                  <w:shd w:val="clear" w:color="auto" w:fill="auto"/>
                  <w:noWrap w:val="0"/>
                  <w:vAlign w:val="center"/>
                </w:tcPr>
                <w:p w14:paraId="7C5D5A34">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eastAsia" w:cs="Times New Roman"/>
                      <w:smallCaps w:val="0"/>
                      <w:color w:val="auto"/>
                      <w:spacing w:val="0"/>
                      <w:kern w:val="0"/>
                      <w:position w:val="0"/>
                      <w:szCs w:val="21"/>
                      <w:lang w:val="en-US" w:eastAsia="zh-CN"/>
                    </w:rPr>
                    <w:t>固态</w:t>
                  </w:r>
                </w:p>
              </w:tc>
              <w:tc>
                <w:tcPr>
                  <w:tcW w:w="847" w:type="pct"/>
                  <w:tcBorders>
                    <w:tl2br w:val="nil"/>
                    <w:tr2bl w:val="nil"/>
                  </w:tcBorders>
                  <w:shd w:val="clear" w:color="auto" w:fill="auto"/>
                  <w:noWrap w:val="0"/>
                  <w:vAlign w:val="center"/>
                </w:tcPr>
                <w:p w14:paraId="35519002">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eastAsia" w:cs="Times New Roman"/>
                      <w:smallCaps w:val="0"/>
                      <w:color w:val="auto"/>
                      <w:spacing w:val="0"/>
                      <w:kern w:val="0"/>
                      <w:position w:val="0"/>
                      <w:szCs w:val="21"/>
                      <w:lang w:val="en-US" w:eastAsia="zh-CN"/>
                    </w:rPr>
                    <w:t>不锈钢等</w:t>
                  </w:r>
                </w:p>
              </w:tc>
              <w:tc>
                <w:tcPr>
                  <w:tcW w:w="460" w:type="pct"/>
                  <w:vMerge w:val="continue"/>
                  <w:tcBorders>
                    <w:tl2br w:val="nil"/>
                    <w:tr2bl w:val="nil"/>
                  </w:tcBorders>
                  <w:noWrap w:val="0"/>
                  <w:vAlign w:val="center"/>
                </w:tcPr>
                <w:p w14:paraId="74CAB4F0">
                  <w:pPr>
                    <w:widowControl/>
                    <w:jc w:val="center"/>
                    <w:rPr>
                      <w:rFonts w:hint="default" w:ascii="Times New Roman" w:hAnsi="Times New Roman" w:eastAsia="宋体" w:cs="Times New Roman"/>
                      <w:smallCaps w:val="0"/>
                      <w:color w:val="auto"/>
                      <w:spacing w:val="0"/>
                      <w:szCs w:val="21"/>
                    </w:rPr>
                  </w:pPr>
                </w:p>
              </w:tc>
              <w:tc>
                <w:tcPr>
                  <w:tcW w:w="300" w:type="pct"/>
                  <w:tcBorders>
                    <w:tl2br w:val="nil"/>
                    <w:tr2bl w:val="nil"/>
                  </w:tcBorders>
                  <w:shd w:val="clear" w:color="auto" w:fill="auto"/>
                  <w:noWrap w:val="0"/>
                  <w:vAlign w:val="center"/>
                </w:tcPr>
                <w:p w14:paraId="174C269F">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kern w:val="2"/>
                      <w:sz w:val="21"/>
                      <w:szCs w:val="21"/>
                      <w:lang w:val="en-US" w:eastAsia="zh-CN" w:bidi="ar-SA"/>
                    </w:rPr>
                    <w:t>/</w:t>
                  </w:r>
                </w:p>
              </w:tc>
              <w:tc>
                <w:tcPr>
                  <w:tcW w:w="336" w:type="pct"/>
                  <w:tcBorders>
                    <w:tl2br w:val="nil"/>
                    <w:tr2bl w:val="nil"/>
                  </w:tcBorders>
                  <w:shd w:val="clear" w:color="auto" w:fill="auto"/>
                  <w:noWrap w:val="0"/>
                  <w:vAlign w:val="center"/>
                </w:tcPr>
                <w:p w14:paraId="3BE26C59">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SW17</w:t>
                  </w:r>
                </w:p>
              </w:tc>
              <w:tc>
                <w:tcPr>
                  <w:tcW w:w="562" w:type="pct"/>
                  <w:tcBorders>
                    <w:tl2br w:val="nil"/>
                    <w:tr2bl w:val="nil"/>
                  </w:tcBorders>
                  <w:shd w:val="clear" w:color="auto" w:fill="auto"/>
                  <w:noWrap w:val="0"/>
                  <w:vAlign w:val="center"/>
                </w:tcPr>
                <w:p w14:paraId="25CC6A83">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900-001-S17</w:t>
                  </w:r>
                </w:p>
              </w:tc>
              <w:tc>
                <w:tcPr>
                  <w:tcW w:w="362" w:type="pct"/>
                  <w:tcBorders>
                    <w:tl2br w:val="nil"/>
                    <w:tr2bl w:val="nil"/>
                  </w:tcBorders>
                  <w:shd w:val="clear" w:color="auto" w:fill="auto"/>
                  <w:noWrap w:val="0"/>
                  <w:vAlign w:val="center"/>
                </w:tcPr>
                <w:p w14:paraId="4878162B">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eastAsia" w:cs="Times New Roman"/>
                      <w:smallCaps w:val="0"/>
                      <w:color w:val="auto"/>
                      <w:spacing w:val="0"/>
                      <w:kern w:val="0"/>
                      <w:position w:val="0"/>
                      <w:szCs w:val="21"/>
                      <w:lang w:val="en-US" w:eastAsia="zh-CN"/>
                    </w:rPr>
                    <w:t>0.0704</w:t>
                  </w:r>
                </w:p>
              </w:tc>
            </w:tr>
            <w:tr w14:paraId="6F23CDB2">
              <w:tblPrEx>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shd w:val="clear" w:color="auto" w:fill="auto"/>
                  <w:noWrap w:val="0"/>
                  <w:vAlign w:val="center"/>
                </w:tcPr>
                <w:p w14:paraId="7BF30CED">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5</w:t>
                  </w:r>
                </w:p>
              </w:tc>
              <w:tc>
                <w:tcPr>
                  <w:tcW w:w="605" w:type="pct"/>
                  <w:tcBorders>
                    <w:tl2br w:val="nil"/>
                    <w:tr2bl w:val="nil"/>
                  </w:tcBorders>
                  <w:shd w:val="clear" w:color="auto" w:fill="auto"/>
                  <w:noWrap w:val="0"/>
                  <w:vAlign w:val="center"/>
                </w:tcPr>
                <w:p w14:paraId="51770E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废液压油</w:t>
                  </w:r>
                </w:p>
              </w:tc>
              <w:tc>
                <w:tcPr>
                  <w:tcW w:w="311" w:type="pct"/>
                  <w:vMerge w:val="restart"/>
                  <w:tcBorders>
                    <w:tl2br w:val="nil"/>
                    <w:tr2bl w:val="nil"/>
                  </w:tcBorders>
                  <w:noWrap w:val="0"/>
                  <w:vAlign w:val="center"/>
                </w:tcPr>
                <w:p w14:paraId="39CB8AF7">
                  <w:pPr>
                    <w:widowControl/>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危险废物</w:t>
                  </w:r>
                </w:p>
                <w:p w14:paraId="180FC6EF">
                  <w:pPr>
                    <w:widowControl/>
                    <w:jc w:val="center"/>
                    <w:rPr>
                      <w:rFonts w:hint="default" w:ascii="Times New Roman" w:hAnsi="Times New Roman" w:eastAsia="宋体" w:cs="Times New Roman"/>
                      <w:smallCaps w:val="0"/>
                      <w:color w:val="auto"/>
                      <w:spacing w:val="0"/>
                      <w:szCs w:val="21"/>
                      <w:lang w:val="en-US" w:eastAsia="zh-CN"/>
                    </w:rPr>
                  </w:pPr>
                </w:p>
              </w:tc>
              <w:tc>
                <w:tcPr>
                  <w:tcW w:w="607" w:type="pct"/>
                  <w:tcBorders>
                    <w:tl2br w:val="nil"/>
                    <w:tr2bl w:val="nil"/>
                  </w:tcBorders>
                  <w:shd w:val="clear" w:color="auto" w:fill="auto"/>
                  <w:noWrap w:val="0"/>
                  <w:vAlign w:val="center"/>
                </w:tcPr>
                <w:p w14:paraId="2561BA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冲压</w:t>
                  </w:r>
                </w:p>
              </w:tc>
              <w:tc>
                <w:tcPr>
                  <w:tcW w:w="355" w:type="pct"/>
                  <w:tcBorders>
                    <w:tl2br w:val="nil"/>
                    <w:tr2bl w:val="nil"/>
                  </w:tcBorders>
                  <w:shd w:val="clear" w:color="auto" w:fill="auto"/>
                  <w:noWrap w:val="0"/>
                  <w:vAlign w:val="center"/>
                </w:tcPr>
                <w:p w14:paraId="3B1DC95B">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液态</w:t>
                  </w:r>
                </w:p>
              </w:tc>
              <w:tc>
                <w:tcPr>
                  <w:tcW w:w="847" w:type="pct"/>
                  <w:tcBorders>
                    <w:tl2br w:val="nil"/>
                    <w:tr2bl w:val="nil"/>
                  </w:tcBorders>
                  <w:shd w:val="clear" w:color="auto" w:fill="auto"/>
                  <w:noWrap w:val="0"/>
                  <w:vAlign w:val="center"/>
                </w:tcPr>
                <w:p w14:paraId="5F585C8D">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液压油</w:t>
                  </w:r>
                </w:p>
              </w:tc>
              <w:tc>
                <w:tcPr>
                  <w:tcW w:w="460" w:type="pct"/>
                  <w:vMerge w:val="restart"/>
                  <w:tcBorders>
                    <w:tl2br w:val="nil"/>
                    <w:tr2bl w:val="nil"/>
                  </w:tcBorders>
                  <w:noWrap w:val="0"/>
                  <w:vAlign w:val="center"/>
                </w:tcPr>
                <w:p w14:paraId="0C415372">
                  <w:pPr>
                    <w:widowControl/>
                    <w:jc w:val="left"/>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rPr>
                    <w:t>《国家危险废物名录》（202</w:t>
                  </w:r>
                  <w:r>
                    <w:rPr>
                      <w:rFonts w:hint="default" w:ascii="Times New Roman" w:hAnsi="Times New Roman" w:eastAsia="宋体" w:cs="Times New Roman"/>
                      <w:smallCaps w:val="0"/>
                      <w:color w:val="auto"/>
                      <w:spacing w:val="0"/>
                      <w:szCs w:val="21"/>
                      <w:lang w:val="en-US" w:eastAsia="zh-CN"/>
                    </w:rPr>
                    <w:t>5</w:t>
                  </w:r>
                  <w:r>
                    <w:rPr>
                      <w:rFonts w:hint="default" w:ascii="Times New Roman" w:hAnsi="Times New Roman" w:eastAsia="宋体" w:cs="Times New Roman"/>
                      <w:smallCaps w:val="0"/>
                      <w:color w:val="auto"/>
                      <w:spacing w:val="0"/>
                      <w:szCs w:val="21"/>
                    </w:rPr>
                    <w:t>）</w:t>
                  </w:r>
                </w:p>
                <w:p w14:paraId="38DFC998">
                  <w:pPr>
                    <w:widowControl/>
                    <w:jc w:val="center"/>
                    <w:rPr>
                      <w:rFonts w:hint="default" w:ascii="Times New Roman" w:hAnsi="Times New Roman" w:eastAsia="宋体" w:cs="Times New Roman"/>
                      <w:smallCaps w:val="0"/>
                      <w:color w:val="auto"/>
                      <w:spacing w:val="0"/>
                      <w:szCs w:val="21"/>
                    </w:rPr>
                  </w:pPr>
                </w:p>
              </w:tc>
              <w:tc>
                <w:tcPr>
                  <w:tcW w:w="300" w:type="pct"/>
                  <w:tcBorders>
                    <w:tl2br w:val="nil"/>
                    <w:tr2bl w:val="nil"/>
                  </w:tcBorders>
                  <w:shd w:val="clear" w:color="auto" w:fill="auto"/>
                  <w:noWrap w:val="0"/>
                  <w:vAlign w:val="center"/>
                </w:tcPr>
                <w:p w14:paraId="37A3E16E">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T</w:t>
                  </w:r>
                  <w:r>
                    <w:rPr>
                      <w:rFonts w:hint="eastAsia" w:ascii="Times New Roman" w:hAnsi="Times New Roman" w:eastAsia="宋体" w:cs="Times New Roman"/>
                      <w:smallCaps w:val="0"/>
                      <w:color w:val="auto"/>
                      <w:spacing w:val="0"/>
                      <w:szCs w:val="21"/>
                      <w:lang w:val="en-US" w:eastAsia="zh-CN"/>
                    </w:rPr>
                    <w:t>，</w:t>
                  </w:r>
                  <w:r>
                    <w:rPr>
                      <w:rFonts w:hint="default" w:ascii="Times New Roman" w:hAnsi="Times New Roman" w:eastAsia="宋体" w:cs="Times New Roman"/>
                      <w:smallCaps w:val="0"/>
                      <w:color w:val="auto"/>
                      <w:spacing w:val="0"/>
                      <w:szCs w:val="21"/>
                      <w:lang w:val="en-US" w:eastAsia="zh-CN"/>
                    </w:rPr>
                    <w:t>I</w:t>
                  </w:r>
                </w:p>
              </w:tc>
              <w:tc>
                <w:tcPr>
                  <w:tcW w:w="336" w:type="pct"/>
                  <w:tcBorders>
                    <w:tl2br w:val="nil"/>
                    <w:tr2bl w:val="nil"/>
                  </w:tcBorders>
                  <w:shd w:val="clear" w:color="auto" w:fill="auto"/>
                  <w:noWrap w:val="0"/>
                  <w:vAlign w:val="center"/>
                </w:tcPr>
                <w:p w14:paraId="6E6E4BDC">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HW08</w:t>
                  </w:r>
                </w:p>
              </w:tc>
              <w:tc>
                <w:tcPr>
                  <w:tcW w:w="562" w:type="pct"/>
                  <w:tcBorders>
                    <w:tl2br w:val="nil"/>
                    <w:tr2bl w:val="nil"/>
                  </w:tcBorders>
                  <w:shd w:val="clear" w:color="auto" w:fill="auto"/>
                  <w:noWrap w:val="0"/>
                  <w:vAlign w:val="center"/>
                </w:tcPr>
                <w:p w14:paraId="2260166E">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900-21</w:t>
                  </w:r>
                  <w:r>
                    <w:rPr>
                      <w:rFonts w:hint="eastAsia" w:ascii="Times New Roman" w:hAnsi="Times New Roman" w:eastAsia="宋体" w:cs="Times New Roman"/>
                      <w:smallCaps w:val="0"/>
                      <w:color w:val="auto"/>
                      <w:spacing w:val="0"/>
                      <w:szCs w:val="21"/>
                      <w:lang w:val="en-US" w:eastAsia="zh-CN"/>
                    </w:rPr>
                    <w:t>8</w:t>
                  </w:r>
                  <w:r>
                    <w:rPr>
                      <w:rFonts w:hint="default" w:ascii="Times New Roman" w:hAnsi="Times New Roman" w:eastAsia="宋体" w:cs="Times New Roman"/>
                      <w:smallCaps w:val="0"/>
                      <w:color w:val="auto"/>
                      <w:spacing w:val="0"/>
                      <w:szCs w:val="21"/>
                      <w:lang w:val="en-US" w:eastAsia="zh-CN"/>
                    </w:rPr>
                    <w:t>-08</w:t>
                  </w:r>
                </w:p>
              </w:tc>
              <w:tc>
                <w:tcPr>
                  <w:tcW w:w="362" w:type="pct"/>
                  <w:tcBorders>
                    <w:tl2br w:val="nil"/>
                    <w:tr2bl w:val="nil"/>
                  </w:tcBorders>
                  <w:shd w:val="clear" w:color="auto" w:fill="auto"/>
                  <w:noWrap w:val="0"/>
                  <w:vAlign w:val="center"/>
                </w:tcPr>
                <w:p w14:paraId="1ACB8746">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0.3</w:t>
                  </w:r>
                </w:p>
              </w:tc>
            </w:tr>
            <w:tr w14:paraId="0FE63951">
              <w:tblPrEx>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shd w:val="clear" w:color="auto" w:fill="auto"/>
                  <w:noWrap w:val="0"/>
                  <w:vAlign w:val="center"/>
                </w:tcPr>
                <w:p w14:paraId="7A7FB1C6">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6</w:t>
                  </w:r>
                </w:p>
              </w:tc>
              <w:tc>
                <w:tcPr>
                  <w:tcW w:w="605" w:type="pct"/>
                  <w:tcBorders>
                    <w:tl2br w:val="nil"/>
                    <w:tr2bl w:val="nil"/>
                  </w:tcBorders>
                  <w:shd w:val="clear" w:color="auto" w:fill="auto"/>
                  <w:noWrap w:val="0"/>
                  <w:vAlign w:val="center"/>
                </w:tcPr>
                <w:p w14:paraId="55368F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清洗废液</w:t>
                  </w:r>
                </w:p>
              </w:tc>
              <w:tc>
                <w:tcPr>
                  <w:tcW w:w="311" w:type="pct"/>
                  <w:vMerge w:val="continue"/>
                  <w:tcBorders>
                    <w:tl2br w:val="nil"/>
                    <w:tr2bl w:val="nil"/>
                  </w:tcBorders>
                  <w:noWrap w:val="0"/>
                  <w:vAlign w:val="center"/>
                </w:tcPr>
                <w:p w14:paraId="4D5B89D9">
                  <w:pPr>
                    <w:widowControl/>
                    <w:jc w:val="left"/>
                    <w:rPr>
                      <w:rFonts w:hint="default" w:ascii="Times New Roman" w:hAnsi="Times New Roman" w:eastAsia="宋体" w:cs="Times New Roman"/>
                      <w:smallCaps w:val="0"/>
                      <w:color w:val="auto"/>
                      <w:spacing w:val="0"/>
                      <w:szCs w:val="21"/>
                      <w:lang w:val="en-US" w:eastAsia="zh-CN"/>
                    </w:rPr>
                  </w:pPr>
                </w:p>
              </w:tc>
              <w:tc>
                <w:tcPr>
                  <w:tcW w:w="607" w:type="pct"/>
                  <w:tcBorders>
                    <w:tl2br w:val="nil"/>
                    <w:tr2bl w:val="nil"/>
                  </w:tcBorders>
                  <w:shd w:val="clear" w:color="auto" w:fill="auto"/>
                  <w:noWrap w:val="0"/>
                  <w:vAlign w:val="center"/>
                </w:tcPr>
                <w:p w14:paraId="40DFAC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清洗</w:t>
                  </w:r>
                </w:p>
              </w:tc>
              <w:tc>
                <w:tcPr>
                  <w:tcW w:w="355" w:type="pct"/>
                  <w:tcBorders>
                    <w:tl2br w:val="nil"/>
                    <w:tr2bl w:val="nil"/>
                  </w:tcBorders>
                  <w:shd w:val="clear" w:color="auto" w:fill="auto"/>
                  <w:noWrap w:val="0"/>
                  <w:vAlign w:val="center"/>
                </w:tcPr>
                <w:p w14:paraId="7F66650D">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液态</w:t>
                  </w:r>
                </w:p>
              </w:tc>
              <w:tc>
                <w:tcPr>
                  <w:tcW w:w="847" w:type="pct"/>
                  <w:tcBorders>
                    <w:tl2br w:val="nil"/>
                    <w:tr2bl w:val="nil"/>
                  </w:tcBorders>
                  <w:shd w:val="clear" w:color="auto" w:fill="auto"/>
                  <w:noWrap w:val="0"/>
                  <w:vAlign w:val="center"/>
                </w:tcPr>
                <w:p w14:paraId="67D05B30">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水、灰尘及其他有机成分</w:t>
                  </w:r>
                </w:p>
              </w:tc>
              <w:tc>
                <w:tcPr>
                  <w:tcW w:w="460" w:type="pct"/>
                  <w:vMerge w:val="continue"/>
                  <w:tcBorders>
                    <w:tl2br w:val="nil"/>
                    <w:tr2bl w:val="nil"/>
                  </w:tcBorders>
                  <w:noWrap w:val="0"/>
                  <w:vAlign w:val="center"/>
                </w:tcPr>
                <w:p w14:paraId="2D8CB341">
                  <w:pPr>
                    <w:widowControl/>
                    <w:jc w:val="left"/>
                    <w:rPr>
                      <w:rFonts w:hint="default" w:ascii="Times New Roman" w:hAnsi="Times New Roman" w:eastAsia="宋体" w:cs="Times New Roman"/>
                      <w:smallCaps w:val="0"/>
                      <w:color w:val="auto"/>
                      <w:spacing w:val="0"/>
                      <w:szCs w:val="21"/>
                    </w:rPr>
                  </w:pPr>
                </w:p>
              </w:tc>
              <w:tc>
                <w:tcPr>
                  <w:tcW w:w="300" w:type="pct"/>
                  <w:tcBorders>
                    <w:tl2br w:val="nil"/>
                    <w:tr2bl w:val="nil"/>
                  </w:tcBorders>
                  <w:shd w:val="clear" w:color="auto" w:fill="auto"/>
                  <w:noWrap w:val="0"/>
                  <w:vAlign w:val="center"/>
                </w:tcPr>
                <w:p w14:paraId="37CEB773">
                  <w:pPr>
                    <w:pStyle w:val="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lang w:val="en-US" w:eastAsia="zh-CN" w:bidi="ar-SA"/>
                    </w:rPr>
                    <w:t>T/C</w:t>
                  </w:r>
                </w:p>
              </w:tc>
              <w:tc>
                <w:tcPr>
                  <w:tcW w:w="336" w:type="pct"/>
                  <w:tcBorders>
                    <w:tl2br w:val="nil"/>
                    <w:tr2bl w:val="nil"/>
                  </w:tcBorders>
                  <w:shd w:val="clear" w:color="auto" w:fill="auto"/>
                  <w:noWrap w:val="0"/>
                  <w:vAlign w:val="center"/>
                </w:tcPr>
                <w:p w14:paraId="001CC85C">
                  <w:pPr>
                    <w:pStyle w:val="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HW17</w:t>
                  </w:r>
                </w:p>
              </w:tc>
              <w:tc>
                <w:tcPr>
                  <w:tcW w:w="562" w:type="pct"/>
                  <w:tcBorders>
                    <w:tl2br w:val="nil"/>
                    <w:tr2bl w:val="nil"/>
                  </w:tcBorders>
                  <w:shd w:val="clear" w:color="auto" w:fill="auto"/>
                  <w:noWrap w:val="0"/>
                  <w:vAlign w:val="center"/>
                </w:tcPr>
                <w:p w14:paraId="5C7F5CA7">
                  <w:pPr>
                    <w:pStyle w:val="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336-064-17</w:t>
                  </w:r>
                </w:p>
              </w:tc>
              <w:tc>
                <w:tcPr>
                  <w:tcW w:w="362" w:type="pct"/>
                  <w:tcBorders>
                    <w:tl2br w:val="nil"/>
                    <w:tr2bl w:val="nil"/>
                  </w:tcBorders>
                  <w:shd w:val="clear" w:color="auto" w:fill="auto"/>
                  <w:noWrap w:val="0"/>
                  <w:vAlign w:val="center"/>
                </w:tcPr>
                <w:p w14:paraId="01CA48BB">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4.8</w:t>
                  </w:r>
                </w:p>
              </w:tc>
            </w:tr>
            <w:tr w14:paraId="12BF2C92">
              <w:tblPrEx>
                <w:tblBorders>
                  <w:top w:val="single" w:color="000000" w:sz="12" w:space="0"/>
                  <w:left w:val="dotted" w:color="000000" w:sz="4" w:space="0"/>
                  <w:bottom w:val="single" w:color="000000" w:sz="12" w:space="0"/>
                  <w:right w:val="dotted" w:color="000000" w:sz="4"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shd w:val="clear" w:color="auto" w:fill="auto"/>
                  <w:noWrap w:val="0"/>
                  <w:vAlign w:val="center"/>
                </w:tcPr>
                <w:p w14:paraId="7E5C3E33">
                  <w:pPr>
                    <w:spacing w:line="240" w:lineRule="exact"/>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eastAsia" w:cs="Times New Roman"/>
                      <w:smallCaps w:val="0"/>
                      <w:color w:val="auto"/>
                      <w:spacing w:val="0"/>
                      <w:kern w:val="0"/>
                      <w:position w:val="0"/>
                      <w:sz w:val="21"/>
                      <w:szCs w:val="21"/>
                      <w:lang w:val="en-US" w:eastAsia="zh-CN" w:bidi="ar-SA"/>
                    </w:rPr>
                    <w:t>8</w:t>
                  </w:r>
                </w:p>
              </w:tc>
              <w:tc>
                <w:tcPr>
                  <w:tcW w:w="605" w:type="pct"/>
                  <w:tcBorders>
                    <w:tl2br w:val="nil"/>
                    <w:tr2bl w:val="nil"/>
                  </w:tcBorders>
                  <w:shd w:val="clear" w:color="auto" w:fill="auto"/>
                  <w:noWrap w:val="0"/>
                  <w:vAlign w:val="center"/>
                </w:tcPr>
                <w:p w14:paraId="5244667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废包装桶</w:t>
                  </w:r>
                </w:p>
              </w:tc>
              <w:tc>
                <w:tcPr>
                  <w:tcW w:w="311" w:type="pct"/>
                  <w:vMerge w:val="continue"/>
                  <w:tcBorders>
                    <w:tl2br w:val="nil"/>
                    <w:tr2bl w:val="nil"/>
                  </w:tcBorders>
                  <w:noWrap w:val="0"/>
                  <w:vAlign w:val="center"/>
                </w:tcPr>
                <w:p w14:paraId="3DCF5B98">
                  <w:pPr>
                    <w:widowControl/>
                    <w:jc w:val="left"/>
                    <w:rPr>
                      <w:rFonts w:hint="default" w:ascii="Times New Roman" w:hAnsi="Times New Roman" w:eastAsia="宋体" w:cs="Times New Roman"/>
                      <w:smallCaps w:val="0"/>
                      <w:color w:val="auto"/>
                      <w:spacing w:val="0"/>
                      <w:szCs w:val="21"/>
                      <w:lang w:val="en-US" w:eastAsia="zh-CN"/>
                    </w:rPr>
                  </w:pPr>
                </w:p>
              </w:tc>
              <w:tc>
                <w:tcPr>
                  <w:tcW w:w="607" w:type="pct"/>
                  <w:tcBorders>
                    <w:tl2br w:val="nil"/>
                    <w:tr2bl w:val="nil"/>
                  </w:tcBorders>
                  <w:shd w:val="clear" w:color="auto" w:fill="auto"/>
                  <w:noWrap w:val="0"/>
                  <w:vAlign w:val="center"/>
                </w:tcPr>
                <w:p w14:paraId="5F1CD2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原料使用</w:t>
                  </w:r>
                </w:p>
              </w:tc>
              <w:tc>
                <w:tcPr>
                  <w:tcW w:w="355" w:type="pct"/>
                  <w:tcBorders>
                    <w:tl2br w:val="nil"/>
                    <w:tr2bl w:val="nil"/>
                  </w:tcBorders>
                  <w:shd w:val="clear" w:color="auto" w:fill="auto"/>
                  <w:noWrap w:val="0"/>
                  <w:vAlign w:val="center"/>
                </w:tcPr>
                <w:p w14:paraId="6CB1537E">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半固态</w:t>
                  </w:r>
                </w:p>
              </w:tc>
              <w:tc>
                <w:tcPr>
                  <w:tcW w:w="847" w:type="pct"/>
                  <w:tcBorders>
                    <w:tl2br w:val="nil"/>
                    <w:tr2bl w:val="nil"/>
                  </w:tcBorders>
                  <w:shd w:val="clear" w:color="auto" w:fill="auto"/>
                  <w:noWrap w:val="0"/>
                  <w:vAlign w:val="center"/>
                </w:tcPr>
                <w:p w14:paraId="6C30C7BE">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包装桶及沾染的液压油、UV油墨</w:t>
                  </w:r>
                </w:p>
              </w:tc>
              <w:tc>
                <w:tcPr>
                  <w:tcW w:w="460" w:type="pct"/>
                  <w:vMerge w:val="continue"/>
                  <w:tcBorders>
                    <w:tl2br w:val="nil"/>
                    <w:tr2bl w:val="nil"/>
                  </w:tcBorders>
                  <w:noWrap w:val="0"/>
                  <w:vAlign w:val="center"/>
                </w:tcPr>
                <w:p w14:paraId="408F941A">
                  <w:pPr>
                    <w:widowControl/>
                    <w:jc w:val="left"/>
                    <w:rPr>
                      <w:rFonts w:hint="default" w:ascii="Times New Roman" w:hAnsi="Times New Roman" w:eastAsia="宋体" w:cs="Times New Roman"/>
                      <w:smallCaps w:val="0"/>
                      <w:color w:val="auto"/>
                      <w:spacing w:val="0"/>
                      <w:szCs w:val="21"/>
                    </w:rPr>
                  </w:pPr>
                </w:p>
              </w:tc>
              <w:tc>
                <w:tcPr>
                  <w:tcW w:w="300" w:type="pct"/>
                  <w:tcBorders>
                    <w:tl2br w:val="nil"/>
                    <w:tr2bl w:val="nil"/>
                  </w:tcBorders>
                  <w:shd w:val="clear" w:color="auto" w:fill="auto"/>
                  <w:noWrap w:val="0"/>
                  <w:vAlign w:val="center"/>
                </w:tcPr>
                <w:p w14:paraId="33E485DD">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T/In</w:t>
                  </w:r>
                </w:p>
              </w:tc>
              <w:tc>
                <w:tcPr>
                  <w:tcW w:w="336" w:type="pct"/>
                  <w:tcBorders>
                    <w:tl2br w:val="nil"/>
                    <w:tr2bl w:val="nil"/>
                  </w:tcBorders>
                  <w:shd w:val="clear" w:color="auto" w:fill="auto"/>
                  <w:noWrap w:val="0"/>
                  <w:vAlign w:val="center"/>
                </w:tcPr>
                <w:p w14:paraId="008F1287">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HW49</w:t>
                  </w:r>
                </w:p>
              </w:tc>
              <w:tc>
                <w:tcPr>
                  <w:tcW w:w="562" w:type="pct"/>
                  <w:tcBorders>
                    <w:tl2br w:val="nil"/>
                    <w:tr2bl w:val="nil"/>
                  </w:tcBorders>
                  <w:shd w:val="clear" w:color="auto" w:fill="auto"/>
                  <w:noWrap w:val="0"/>
                  <w:vAlign w:val="center"/>
                </w:tcPr>
                <w:p w14:paraId="63CBB200">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900-041-49</w:t>
                  </w:r>
                </w:p>
              </w:tc>
              <w:tc>
                <w:tcPr>
                  <w:tcW w:w="362" w:type="pct"/>
                  <w:tcBorders>
                    <w:tl2br w:val="nil"/>
                    <w:tr2bl w:val="nil"/>
                  </w:tcBorders>
                  <w:shd w:val="clear" w:color="auto" w:fill="auto"/>
                  <w:noWrap w:val="0"/>
                  <w:vAlign w:val="center"/>
                </w:tcPr>
                <w:p w14:paraId="6D219F83">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0.037</w:t>
                  </w:r>
                </w:p>
              </w:tc>
            </w:tr>
          </w:tbl>
          <w:p w14:paraId="0C4E3A33">
            <w:pPr>
              <w:pStyle w:val="25"/>
              <w:spacing w:before="0" w:beforeLines="0" w:after="0" w:afterLines="0" w:line="440" w:lineRule="exact"/>
              <w:ind w:firstLine="500"/>
              <w:rPr>
                <w:rFonts w:hint="default" w:ascii="Times New Roman" w:hAnsi="Times New Roman" w:eastAsia="宋体" w:cs="Times New Roman"/>
                <w:bCs/>
                <w:smallCaps w:val="0"/>
                <w:color w:val="auto"/>
                <w:spacing w:val="0"/>
              </w:rPr>
            </w:pPr>
            <w:r>
              <w:rPr>
                <w:rFonts w:hint="default" w:ascii="Times New Roman" w:hAnsi="Times New Roman" w:eastAsia="宋体" w:cs="Times New Roman"/>
                <w:bCs/>
                <w:smallCaps w:val="0"/>
                <w:color w:val="auto"/>
                <w:spacing w:val="0"/>
              </w:rPr>
              <w:t>根据《建设项目危险废物环境影响评价指南》（公告2017年第43号）要求，本项目危险废物产生及处置情况详见表4-</w:t>
            </w:r>
            <w:r>
              <w:rPr>
                <w:rFonts w:hint="default" w:ascii="Times New Roman" w:hAnsi="Times New Roman" w:eastAsia="宋体" w:cs="Times New Roman"/>
                <w:bCs/>
                <w:smallCaps w:val="0"/>
                <w:color w:val="auto"/>
                <w:spacing w:val="0"/>
                <w:lang w:val="en-US" w:eastAsia="zh-CN"/>
              </w:rPr>
              <w:t>16</w:t>
            </w:r>
            <w:r>
              <w:rPr>
                <w:rFonts w:hint="default" w:ascii="Times New Roman" w:hAnsi="Times New Roman" w:eastAsia="宋体" w:cs="Times New Roman"/>
                <w:bCs/>
                <w:smallCaps w:val="0"/>
                <w:color w:val="auto"/>
                <w:spacing w:val="0"/>
              </w:rPr>
              <w:t>。</w:t>
            </w:r>
          </w:p>
          <w:p w14:paraId="7B9F3903">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2"/>
                <w:sz w:val="21"/>
                <w:szCs w:val="22"/>
                <w:lang w:val="en-US" w:eastAsia="zh-CN" w:bidi="ar-SA"/>
              </w:rPr>
            </w:pPr>
            <w:r>
              <w:rPr>
                <w:rFonts w:hint="default" w:ascii="Times New Roman" w:hAnsi="Times New Roman" w:eastAsia="宋体" w:cs="Times New Roman"/>
                <w:b/>
                <w:smallCaps w:val="0"/>
                <w:color w:val="auto"/>
                <w:spacing w:val="0"/>
                <w:kern w:val="2"/>
                <w:sz w:val="21"/>
                <w:szCs w:val="22"/>
                <w:lang w:val="en-US" w:eastAsia="zh-CN" w:bidi="ar-SA"/>
              </w:rPr>
              <w:t>表4-16本项目危险废物产生及处理处置情况汇总表</w:t>
            </w:r>
          </w:p>
          <w:tbl>
            <w:tblPr>
              <w:tblStyle w:val="17"/>
              <w:tblW w:w="4959" w:type="pct"/>
              <w:jc w:val="center"/>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48"/>
              <w:gridCol w:w="1117"/>
              <w:gridCol w:w="628"/>
              <w:gridCol w:w="891"/>
              <w:gridCol w:w="1222"/>
              <w:gridCol w:w="914"/>
              <w:gridCol w:w="1188"/>
              <w:gridCol w:w="690"/>
              <w:gridCol w:w="1531"/>
              <w:gridCol w:w="1186"/>
              <w:gridCol w:w="955"/>
              <w:gridCol w:w="736"/>
              <w:gridCol w:w="860"/>
            </w:tblGrid>
            <w:tr w14:paraId="18F75A45">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1" w:type="pct"/>
                  <w:tcBorders>
                    <w:tl2br w:val="nil"/>
                    <w:tr2bl w:val="nil"/>
                  </w:tcBorders>
                  <w:noWrap w:val="0"/>
                  <w:vAlign w:val="center"/>
                </w:tcPr>
                <w:p w14:paraId="6951A601">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序号</w:t>
                  </w:r>
                </w:p>
              </w:tc>
              <w:tc>
                <w:tcPr>
                  <w:tcW w:w="451" w:type="pct"/>
                  <w:tcBorders>
                    <w:tl2br w:val="nil"/>
                    <w:tr2bl w:val="nil"/>
                  </w:tcBorders>
                  <w:noWrap w:val="0"/>
                  <w:vAlign w:val="center"/>
                </w:tcPr>
                <w:p w14:paraId="2E216182">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固废名称</w:t>
                  </w:r>
                </w:p>
              </w:tc>
              <w:tc>
                <w:tcPr>
                  <w:tcW w:w="253" w:type="pct"/>
                  <w:tcBorders>
                    <w:tl2br w:val="nil"/>
                    <w:tr2bl w:val="nil"/>
                  </w:tcBorders>
                  <w:noWrap w:val="0"/>
                  <w:vAlign w:val="center"/>
                </w:tcPr>
                <w:p w14:paraId="3CE1752D">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属性</w:t>
                  </w:r>
                </w:p>
              </w:tc>
              <w:tc>
                <w:tcPr>
                  <w:tcW w:w="360" w:type="pct"/>
                  <w:tcBorders>
                    <w:tl2br w:val="nil"/>
                    <w:tr2bl w:val="nil"/>
                  </w:tcBorders>
                  <w:noWrap w:val="0"/>
                  <w:vAlign w:val="center"/>
                </w:tcPr>
                <w:p w14:paraId="39F4E787">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危险废物类别</w:t>
                  </w:r>
                </w:p>
              </w:tc>
              <w:tc>
                <w:tcPr>
                  <w:tcW w:w="494" w:type="pct"/>
                  <w:tcBorders>
                    <w:tl2br w:val="nil"/>
                    <w:tr2bl w:val="nil"/>
                  </w:tcBorders>
                  <w:noWrap w:val="0"/>
                  <w:vAlign w:val="center"/>
                </w:tcPr>
                <w:p w14:paraId="1A4332C2">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危险废物</w:t>
                  </w:r>
                </w:p>
                <w:p w14:paraId="151391EB">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代码</w:t>
                  </w:r>
                </w:p>
              </w:tc>
              <w:tc>
                <w:tcPr>
                  <w:tcW w:w="369" w:type="pct"/>
                  <w:tcBorders>
                    <w:tl2br w:val="nil"/>
                    <w:tr2bl w:val="nil"/>
                  </w:tcBorders>
                  <w:noWrap w:val="0"/>
                  <w:vAlign w:val="center"/>
                </w:tcPr>
                <w:p w14:paraId="0E93D903">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产生量</w:t>
                  </w:r>
                </w:p>
                <w:p w14:paraId="54693CB8">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（t/a）</w:t>
                  </w:r>
                </w:p>
              </w:tc>
              <w:tc>
                <w:tcPr>
                  <w:tcW w:w="480" w:type="pct"/>
                  <w:tcBorders>
                    <w:tl2br w:val="nil"/>
                    <w:tr2bl w:val="nil"/>
                  </w:tcBorders>
                  <w:noWrap w:val="0"/>
                  <w:vAlign w:val="center"/>
                </w:tcPr>
                <w:p w14:paraId="7C1131B6">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产生工序及装置</w:t>
                  </w:r>
                </w:p>
              </w:tc>
              <w:tc>
                <w:tcPr>
                  <w:tcW w:w="278" w:type="pct"/>
                  <w:tcBorders>
                    <w:tl2br w:val="nil"/>
                    <w:tr2bl w:val="nil"/>
                  </w:tcBorders>
                  <w:noWrap w:val="0"/>
                  <w:vAlign w:val="center"/>
                </w:tcPr>
                <w:p w14:paraId="51B2E760">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形态</w:t>
                  </w:r>
                </w:p>
              </w:tc>
              <w:tc>
                <w:tcPr>
                  <w:tcW w:w="619" w:type="pct"/>
                  <w:tcBorders>
                    <w:tl2br w:val="nil"/>
                    <w:tr2bl w:val="nil"/>
                  </w:tcBorders>
                  <w:noWrap w:val="0"/>
                  <w:vAlign w:val="center"/>
                </w:tcPr>
                <w:p w14:paraId="42E33D9A">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主要成分</w:t>
                  </w:r>
                </w:p>
              </w:tc>
              <w:tc>
                <w:tcPr>
                  <w:tcW w:w="479" w:type="pct"/>
                  <w:tcBorders>
                    <w:tl2br w:val="nil"/>
                    <w:tr2bl w:val="nil"/>
                  </w:tcBorders>
                  <w:noWrap w:val="0"/>
                  <w:vAlign w:val="center"/>
                </w:tcPr>
                <w:p w14:paraId="5DE103E0">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有害成分</w:t>
                  </w:r>
                </w:p>
              </w:tc>
              <w:tc>
                <w:tcPr>
                  <w:tcW w:w="386" w:type="pct"/>
                  <w:tcBorders>
                    <w:tl2br w:val="nil"/>
                    <w:tr2bl w:val="nil"/>
                  </w:tcBorders>
                  <w:noWrap w:val="0"/>
                  <w:vAlign w:val="center"/>
                </w:tcPr>
                <w:p w14:paraId="6FDADB66">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产废周期</w:t>
                  </w:r>
                </w:p>
              </w:tc>
              <w:tc>
                <w:tcPr>
                  <w:tcW w:w="297" w:type="pct"/>
                  <w:tcBorders>
                    <w:tl2br w:val="nil"/>
                    <w:tr2bl w:val="nil"/>
                  </w:tcBorders>
                  <w:noWrap w:val="0"/>
                  <w:vAlign w:val="center"/>
                </w:tcPr>
                <w:p w14:paraId="3421BDC6">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危险特性</w:t>
                  </w:r>
                </w:p>
              </w:tc>
              <w:tc>
                <w:tcPr>
                  <w:tcW w:w="347" w:type="pct"/>
                  <w:tcBorders>
                    <w:tl2br w:val="nil"/>
                    <w:tr2bl w:val="nil"/>
                  </w:tcBorders>
                  <w:noWrap w:val="0"/>
                  <w:vAlign w:val="center"/>
                </w:tcPr>
                <w:p w14:paraId="533E5408">
                  <w:pPr>
                    <w:snapToGrid w:val="0"/>
                    <w:spacing w:line="240" w:lineRule="auto"/>
                    <w:ind w:firstLine="0" w:firstLineChars="0"/>
                    <w:jc w:val="center"/>
                    <w:rPr>
                      <w:rFonts w:hint="default" w:ascii="Times New Roman" w:hAnsi="Times New Roman" w:eastAsia="宋体" w:cs="Times New Roman"/>
                      <w:b/>
                      <w:bCs/>
                      <w:smallCaps w:val="0"/>
                      <w:color w:val="auto"/>
                      <w:spacing w:val="0"/>
                      <w:kern w:val="0"/>
                      <w:szCs w:val="21"/>
                    </w:rPr>
                  </w:pPr>
                  <w:r>
                    <w:rPr>
                      <w:rFonts w:hint="default" w:ascii="Times New Roman" w:hAnsi="Times New Roman" w:eastAsia="宋体" w:cs="Times New Roman"/>
                      <w:b/>
                      <w:bCs/>
                      <w:smallCaps w:val="0"/>
                      <w:color w:val="auto"/>
                      <w:spacing w:val="0"/>
                      <w:kern w:val="0"/>
                      <w:szCs w:val="21"/>
                    </w:rPr>
                    <w:t>污染防治措施</w:t>
                  </w:r>
                </w:p>
              </w:tc>
            </w:tr>
            <w:tr w14:paraId="08E35573">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1" w:type="pct"/>
                  <w:tcBorders>
                    <w:tl2br w:val="nil"/>
                    <w:tr2bl w:val="nil"/>
                  </w:tcBorders>
                  <w:noWrap w:val="0"/>
                  <w:vAlign w:val="center"/>
                </w:tcPr>
                <w:p w14:paraId="5F325EC9">
                  <w:pPr>
                    <w:adjustRightInd w:val="0"/>
                    <w:snapToGrid w:val="0"/>
                    <w:jc w:val="center"/>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1</w:t>
                  </w:r>
                </w:p>
              </w:tc>
              <w:tc>
                <w:tcPr>
                  <w:tcW w:w="451" w:type="pct"/>
                  <w:tcBorders>
                    <w:tl2br w:val="nil"/>
                    <w:tr2bl w:val="nil"/>
                  </w:tcBorders>
                  <w:shd w:val="clear" w:color="auto" w:fill="auto"/>
                  <w:noWrap w:val="0"/>
                  <w:vAlign w:val="center"/>
                </w:tcPr>
                <w:p w14:paraId="653D671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废液压油</w:t>
                  </w:r>
                </w:p>
              </w:tc>
              <w:tc>
                <w:tcPr>
                  <w:tcW w:w="253" w:type="pct"/>
                  <w:vMerge w:val="restart"/>
                  <w:tcBorders>
                    <w:tl2br w:val="nil"/>
                    <w:tr2bl w:val="nil"/>
                  </w:tcBorders>
                  <w:noWrap w:val="0"/>
                  <w:vAlign w:val="center"/>
                </w:tcPr>
                <w:p w14:paraId="5FCD0231">
                  <w:pPr>
                    <w:snapToGrid w:val="0"/>
                    <w:spacing w:line="240" w:lineRule="auto"/>
                    <w:ind w:firstLine="0" w:firstLineChars="0"/>
                    <w:jc w:val="center"/>
                    <w:rPr>
                      <w:rFonts w:hint="default" w:ascii="Times New Roman" w:hAnsi="Times New Roman" w:eastAsia="宋体" w:cs="Times New Roman"/>
                      <w:b w:val="0"/>
                      <w:bCs w:val="0"/>
                      <w:smallCaps w:val="0"/>
                      <w:color w:val="auto"/>
                      <w:spacing w:val="0"/>
                      <w:szCs w:val="21"/>
                    </w:rPr>
                  </w:pPr>
                  <w:r>
                    <w:rPr>
                      <w:rFonts w:hint="default" w:ascii="Times New Roman" w:hAnsi="Times New Roman" w:eastAsia="宋体" w:cs="Times New Roman"/>
                      <w:b w:val="0"/>
                      <w:bCs w:val="0"/>
                      <w:smallCaps w:val="0"/>
                      <w:color w:val="auto"/>
                      <w:spacing w:val="0"/>
                      <w:szCs w:val="21"/>
                    </w:rPr>
                    <w:t>危险</w:t>
                  </w:r>
                </w:p>
                <w:p w14:paraId="0905C0AC">
                  <w:pPr>
                    <w:snapToGrid w:val="0"/>
                    <w:spacing w:line="240" w:lineRule="auto"/>
                    <w:ind w:firstLine="0" w:firstLineChars="0"/>
                    <w:jc w:val="center"/>
                    <w:rPr>
                      <w:rFonts w:hint="default" w:ascii="Times New Roman" w:hAnsi="Times New Roman" w:eastAsia="宋体" w:cs="Times New Roman"/>
                      <w:smallCaps w:val="0"/>
                      <w:color w:val="auto"/>
                      <w:spacing w:val="0"/>
                      <w:kern w:val="0"/>
                      <w:szCs w:val="21"/>
                    </w:rPr>
                  </w:pPr>
                  <w:r>
                    <w:rPr>
                      <w:rFonts w:hint="default" w:ascii="Times New Roman" w:hAnsi="Times New Roman" w:eastAsia="宋体" w:cs="Times New Roman"/>
                      <w:b w:val="0"/>
                      <w:bCs w:val="0"/>
                      <w:smallCaps w:val="0"/>
                      <w:color w:val="auto"/>
                      <w:spacing w:val="0"/>
                      <w:szCs w:val="21"/>
                    </w:rPr>
                    <w:t>废物</w:t>
                  </w:r>
                </w:p>
              </w:tc>
              <w:tc>
                <w:tcPr>
                  <w:tcW w:w="360" w:type="pct"/>
                  <w:tcBorders>
                    <w:tl2br w:val="nil"/>
                    <w:tr2bl w:val="nil"/>
                  </w:tcBorders>
                  <w:shd w:val="clear" w:color="auto" w:fill="auto"/>
                  <w:noWrap w:val="0"/>
                  <w:vAlign w:val="center"/>
                </w:tcPr>
                <w:p w14:paraId="63752673">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HW08</w:t>
                  </w:r>
                </w:p>
              </w:tc>
              <w:tc>
                <w:tcPr>
                  <w:tcW w:w="494" w:type="pct"/>
                  <w:tcBorders>
                    <w:tl2br w:val="nil"/>
                    <w:tr2bl w:val="nil"/>
                  </w:tcBorders>
                  <w:shd w:val="clear" w:color="auto" w:fill="auto"/>
                  <w:noWrap w:val="0"/>
                  <w:vAlign w:val="center"/>
                </w:tcPr>
                <w:p w14:paraId="6AD3E8D1">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900-21</w:t>
                  </w:r>
                  <w:r>
                    <w:rPr>
                      <w:rFonts w:hint="eastAsia" w:ascii="Times New Roman" w:hAnsi="Times New Roman" w:eastAsia="宋体" w:cs="Times New Roman"/>
                      <w:smallCaps w:val="0"/>
                      <w:color w:val="auto"/>
                      <w:spacing w:val="0"/>
                      <w:szCs w:val="21"/>
                      <w:lang w:val="en-US" w:eastAsia="zh-CN"/>
                    </w:rPr>
                    <w:t>8</w:t>
                  </w:r>
                  <w:r>
                    <w:rPr>
                      <w:rFonts w:hint="default" w:ascii="Times New Roman" w:hAnsi="Times New Roman" w:eastAsia="宋体" w:cs="Times New Roman"/>
                      <w:smallCaps w:val="0"/>
                      <w:color w:val="auto"/>
                      <w:spacing w:val="0"/>
                      <w:szCs w:val="21"/>
                      <w:lang w:val="en-US" w:eastAsia="zh-CN"/>
                    </w:rPr>
                    <w:t>-08</w:t>
                  </w:r>
                </w:p>
              </w:tc>
              <w:tc>
                <w:tcPr>
                  <w:tcW w:w="369" w:type="pct"/>
                  <w:tcBorders>
                    <w:tl2br w:val="nil"/>
                    <w:tr2bl w:val="nil"/>
                  </w:tcBorders>
                  <w:shd w:val="clear" w:color="auto" w:fill="auto"/>
                  <w:noWrap w:val="0"/>
                  <w:vAlign w:val="center"/>
                </w:tcPr>
                <w:p w14:paraId="3861EFC6">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0.3</w:t>
                  </w:r>
                </w:p>
              </w:tc>
              <w:tc>
                <w:tcPr>
                  <w:tcW w:w="480" w:type="pct"/>
                  <w:tcBorders>
                    <w:tl2br w:val="nil"/>
                    <w:tr2bl w:val="nil"/>
                  </w:tcBorders>
                  <w:shd w:val="clear" w:color="auto" w:fill="auto"/>
                  <w:noWrap w:val="0"/>
                  <w:vAlign w:val="center"/>
                </w:tcPr>
                <w:p w14:paraId="6BBF75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冲压</w:t>
                  </w:r>
                </w:p>
              </w:tc>
              <w:tc>
                <w:tcPr>
                  <w:tcW w:w="278" w:type="pct"/>
                  <w:tcBorders>
                    <w:tl2br w:val="nil"/>
                    <w:tr2bl w:val="nil"/>
                  </w:tcBorders>
                  <w:shd w:val="clear" w:color="auto" w:fill="auto"/>
                  <w:noWrap w:val="0"/>
                  <w:vAlign w:val="center"/>
                </w:tcPr>
                <w:p w14:paraId="1CE1A4EF">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液态</w:t>
                  </w:r>
                </w:p>
              </w:tc>
              <w:tc>
                <w:tcPr>
                  <w:tcW w:w="619" w:type="pct"/>
                  <w:tcBorders>
                    <w:tl2br w:val="nil"/>
                    <w:tr2bl w:val="nil"/>
                  </w:tcBorders>
                  <w:shd w:val="clear" w:color="auto" w:fill="auto"/>
                  <w:noWrap w:val="0"/>
                  <w:vAlign w:val="center"/>
                </w:tcPr>
                <w:p w14:paraId="654426F7">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液压油</w:t>
                  </w:r>
                </w:p>
              </w:tc>
              <w:tc>
                <w:tcPr>
                  <w:tcW w:w="479" w:type="pct"/>
                  <w:tcBorders>
                    <w:tl2br w:val="nil"/>
                    <w:tr2bl w:val="nil"/>
                  </w:tcBorders>
                  <w:noWrap w:val="0"/>
                  <w:vAlign w:val="center"/>
                </w:tcPr>
                <w:p w14:paraId="65F868DC">
                  <w:pPr>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废液压油</w:t>
                  </w:r>
                </w:p>
              </w:tc>
              <w:tc>
                <w:tcPr>
                  <w:tcW w:w="386" w:type="pct"/>
                  <w:tcBorders>
                    <w:tl2br w:val="nil"/>
                    <w:tr2bl w:val="nil"/>
                  </w:tcBorders>
                  <w:noWrap w:val="0"/>
                  <w:vAlign w:val="center"/>
                </w:tcPr>
                <w:p w14:paraId="0E16CB33">
                  <w:pPr>
                    <w:snapToGrid w:val="0"/>
                    <w:spacing w:line="240" w:lineRule="auto"/>
                    <w:ind w:firstLine="0" w:firstLineChars="0"/>
                    <w:jc w:val="center"/>
                    <w:rPr>
                      <w:rFonts w:hint="default" w:ascii="Times New Roman" w:hAnsi="Times New Roman" w:eastAsia="宋体" w:cs="Times New Roman"/>
                      <w:smallCaps w:val="0"/>
                      <w:color w:val="auto"/>
                      <w:spacing w:val="0"/>
                      <w:kern w:val="0"/>
                      <w:szCs w:val="21"/>
                      <w:lang w:val="en-US" w:eastAsia="zh-CN"/>
                    </w:rPr>
                  </w:pPr>
                  <w:r>
                    <w:rPr>
                      <w:rFonts w:hint="default" w:ascii="Times New Roman" w:hAnsi="Times New Roman" w:eastAsia="宋体" w:cs="Times New Roman"/>
                      <w:smallCaps w:val="0"/>
                      <w:color w:val="auto"/>
                      <w:spacing w:val="0"/>
                      <w:kern w:val="0"/>
                      <w:szCs w:val="21"/>
                      <w:lang w:val="en-US" w:eastAsia="zh-CN"/>
                    </w:rPr>
                    <w:t>3个月</w:t>
                  </w:r>
                </w:p>
              </w:tc>
              <w:tc>
                <w:tcPr>
                  <w:tcW w:w="297" w:type="pct"/>
                  <w:tcBorders>
                    <w:tl2br w:val="nil"/>
                    <w:tr2bl w:val="nil"/>
                  </w:tcBorders>
                  <w:shd w:val="clear" w:color="auto" w:fill="auto"/>
                  <w:noWrap w:val="0"/>
                  <w:vAlign w:val="center"/>
                </w:tcPr>
                <w:p w14:paraId="6FAAF182">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T</w:t>
                  </w:r>
                  <w:r>
                    <w:rPr>
                      <w:rFonts w:hint="eastAsia" w:ascii="Times New Roman" w:hAnsi="Times New Roman" w:eastAsia="宋体" w:cs="Times New Roman"/>
                      <w:smallCaps w:val="0"/>
                      <w:color w:val="auto"/>
                      <w:spacing w:val="0"/>
                      <w:szCs w:val="21"/>
                      <w:lang w:val="en-US" w:eastAsia="zh-CN"/>
                    </w:rPr>
                    <w:t>，</w:t>
                  </w:r>
                  <w:r>
                    <w:rPr>
                      <w:rFonts w:hint="default" w:ascii="Times New Roman" w:hAnsi="Times New Roman" w:eastAsia="宋体" w:cs="Times New Roman"/>
                      <w:smallCaps w:val="0"/>
                      <w:color w:val="auto"/>
                      <w:spacing w:val="0"/>
                      <w:szCs w:val="21"/>
                      <w:lang w:val="en-US" w:eastAsia="zh-CN"/>
                    </w:rPr>
                    <w:t>I</w:t>
                  </w:r>
                </w:p>
              </w:tc>
              <w:tc>
                <w:tcPr>
                  <w:tcW w:w="347" w:type="pct"/>
                  <w:vMerge w:val="restart"/>
                  <w:tcBorders>
                    <w:tl2br w:val="nil"/>
                    <w:tr2bl w:val="nil"/>
                  </w:tcBorders>
                  <w:noWrap w:val="0"/>
                  <w:vAlign w:val="center"/>
                </w:tcPr>
                <w:p w14:paraId="588ACCCD">
                  <w:pPr>
                    <w:snapToGrid w:val="0"/>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bCs/>
                      <w:smallCaps w:val="0"/>
                      <w:color w:val="auto"/>
                      <w:spacing w:val="0"/>
                      <w:szCs w:val="21"/>
                      <w:lang w:val="en-US" w:eastAsia="zh-CN"/>
                    </w:rPr>
                    <w:t>委托有资质单位处置</w:t>
                  </w:r>
                </w:p>
              </w:tc>
            </w:tr>
            <w:tr w14:paraId="45536A5C">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1" w:type="pct"/>
                  <w:tcBorders>
                    <w:tl2br w:val="nil"/>
                    <w:tr2bl w:val="nil"/>
                  </w:tcBorders>
                  <w:shd w:val="clear" w:color="auto" w:fill="auto"/>
                  <w:noWrap w:val="0"/>
                  <w:vAlign w:val="center"/>
                </w:tcPr>
                <w:p w14:paraId="4ADAEDA6">
                  <w:pPr>
                    <w:adjustRightInd w:val="0"/>
                    <w:snapToGrid w:val="0"/>
                    <w:jc w:val="center"/>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2</w:t>
                  </w:r>
                </w:p>
              </w:tc>
              <w:tc>
                <w:tcPr>
                  <w:tcW w:w="451" w:type="pct"/>
                  <w:tcBorders>
                    <w:tl2br w:val="nil"/>
                    <w:tr2bl w:val="nil"/>
                  </w:tcBorders>
                  <w:shd w:val="clear" w:color="auto" w:fill="auto"/>
                  <w:noWrap w:val="0"/>
                  <w:vAlign w:val="center"/>
                </w:tcPr>
                <w:p w14:paraId="62A813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清洗废液</w:t>
                  </w:r>
                </w:p>
              </w:tc>
              <w:tc>
                <w:tcPr>
                  <w:tcW w:w="253" w:type="pct"/>
                  <w:vMerge w:val="continue"/>
                  <w:tcBorders>
                    <w:tl2br w:val="nil"/>
                    <w:tr2bl w:val="nil"/>
                  </w:tcBorders>
                  <w:noWrap w:val="0"/>
                  <w:vAlign w:val="center"/>
                </w:tcPr>
                <w:p w14:paraId="235827EB">
                  <w:pPr>
                    <w:snapToGrid w:val="0"/>
                    <w:spacing w:line="240" w:lineRule="auto"/>
                    <w:ind w:firstLine="0" w:firstLineChars="0"/>
                    <w:jc w:val="center"/>
                    <w:rPr>
                      <w:rFonts w:hint="default" w:ascii="Times New Roman" w:hAnsi="Times New Roman" w:eastAsia="宋体" w:cs="Times New Roman"/>
                      <w:b w:val="0"/>
                      <w:bCs w:val="0"/>
                      <w:smallCaps w:val="0"/>
                      <w:color w:val="auto"/>
                      <w:spacing w:val="0"/>
                      <w:szCs w:val="21"/>
                    </w:rPr>
                  </w:pPr>
                </w:p>
              </w:tc>
              <w:tc>
                <w:tcPr>
                  <w:tcW w:w="360" w:type="pct"/>
                  <w:tcBorders>
                    <w:tl2br w:val="nil"/>
                    <w:tr2bl w:val="nil"/>
                  </w:tcBorders>
                  <w:shd w:val="clear" w:color="auto" w:fill="auto"/>
                  <w:noWrap w:val="0"/>
                  <w:vAlign w:val="center"/>
                </w:tcPr>
                <w:p w14:paraId="36CB61CF">
                  <w:pPr>
                    <w:pStyle w:val="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HW17</w:t>
                  </w:r>
                </w:p>
              </w:tc>
              <w:tc>
                <w:tcPr>
                  <w:tcW w:w="494" w:type="pct"/>
                  <w:tcBorders>
                    <w:tl2br w:val="nil"/>
                    <w:tr2bl w:val="nil"/>
                  </w:tcBorders>
                  <w:shd w:val="clear" w:color="auto" w:fill="auto"/>
                  <w:noWrap w:val="0"/>
                  <w:vAlign w:val="center"/>
                </w:tcPr>
                <w:p w14:paraId="6DD81BBB">
                  <w:pPr>
                    <w:pStyle w:val="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336-064-17</w:t>
                  </w:r>
                </w:p>
              </w:tc>
              <w:tc>
                <w:tcPr>
                  <w:tcW w:w="369" w:type="pct"/>
                  <w:tcBorders>
                    <w:tl2br w:val="nil"/>
                    <w:tr2bl w:val="nil"/>
                  </w:tcBorders>
                  <w:shd w:val="clear" w:color="auto" w:fill="auto"/>
                  <w:noWrap w:val="0"/>
                  <w:vAlign w:val="center"/>
                </w:tcPr>
                <w:p w14:paraId="298BC139">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4.8</w:t>
                  </w:r>
                </w:p>
              </w:tc>
              <w:tc>
                <w:tcPr>
                  <w:tcW w:w="480" w:type="pct"/>
                  <w:tcBorders>
                    <w:tl2br w:val="nil"/>
                    <w:tr2bl w:val="nil"/>
                  </w:tcBorders>
                  <w:shd w:val="clear" w:color="auto" w:fill="auto"/>
                  <w:noWrap w:val="0"/>
                  <w:vAlign w:val="center"/>
                </w:tcPr>
                <w:p w14:paraId="1A2FFAC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清洗</w:t>
                  </w:r>
                </w:p>
              </w:tc>
              <w:tc>
                <w:tcPr>
                  <w:tcW w:w="278" w:type="pct"/>
                  <w:tcBorders>
                    <w:tl2br w:val="nil"/>
                    <w:tr2bl w:val="nil"/>
                  </w:tcBorders>
                  <w:shd w:val="clear" w:color="auto" w:fill="auto"/>
                  <w:noWrap w:val="0"/>
                  <w:vAlign w:val="center"/>
                </w:tcPr>
                <w:p w14:paraId="53DBDAC3">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液态</w:t>
                  </w:r>
                </w:p>
              </w:tc>
              <w:tc>
                <w:tcPr>
                  <w:tcW w:w="619" w:type="pct"/>
                  <w:tcBorders>
                    <w:tl2br w:val="nil"/>
                    <w:tr2bl w:val="nil"/>
                  </w:tcBorders>
                  <w:shd w:val="clear" w:color="auto" w:fill="auto"/>
                  <w:noWrap w:val="0"/>
                  <w:vAlign w:val="center"/>
                </w:tcPr>
                <w:p w14:paraId="42A656A8">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水、灰尘及其他有机成分</w:t>
                  </w:r>
                </w:p>
              </w:tc>
              <w:tc>
                <w:tcPr>
                  <w:tcW w:w="479" w:type="pct"/>
                  <w:tcBorders>
                    <w:tl2br w:val="nil"/>
                    <w:tr2bl w:val="nil"/>
                  </w:tcBorders>
                  <w:noWrap w:val="0"/>
                  <w:vAlign w:val="center"/>
                </w:tcPr>
                <w:p w14:paraId="08F9F59F">
                  <w:pPr>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有机成分</w:t>
                  </w:r>
                </w:p>
              </w:tc>
              <w:tc>
                <w:tcPr>
                  <w:tcW w:w="386" w:type="pct"/>
                  <w:tcBorders>
                    <w:tl2br w:val="nil"/>
                    <w:tr2bl w:val="nil"/>
                  </w:tcBorders>
                  <w:noWrap w:val="0"/>
                  <w:vAlign w:val="center"/>
                </w:tcPr>
                <w:p w14:paraId="0D2B2D7C">
                  <w:pPr>
                    <w:snapToGrid w:val="0"/>
                    <w:spacing w:line="240" w:lineRule="auto"/>
                    <w:ind w:firstLine="0" w:firstLineChars="0"/>
                    <w:jc w:val="center"/>
                    <w:rPr>
                      <w:rFonts w:hint="default" w:ascii="Times New Roman" w:hAnsi="Times New Roman" w:eastAsia="宋体" w:cs="Times New Roman"/>
                      <w:smallCaps w:val="0"/>
                      <w:color w:val="auto"/>
                      <w:spacing w:val="0"/>
                      <w:kern w:val="0"/>
                      <w:szCs w:val="21"/>
                      <w:lang w:val="en-US" w:eastAsia="zh-CN"/>
                    </w:rPr>
                  </w:pPr>
                  <w:r>
                    <w:rPr>
                      <w:rFonts w:hint="default" w:ascii="Times New Roman" w:hAnsi="Times New Roman" w:eastAsia="宋体" w:cs="Times New Roman"/>
                      <w:smallCaps w:val="0"/>
                      <w:color w:val="auto"/>
                      <w:spacing w:val="0"/>
                      <w:kern w:val="0"/>
                      <w:szCs w:val="21"/>
                      <w:lang w:val="en-US" w:eastAsia="zh-CN"/>
                    </w:rPr>
                    <w:t>半个月</w:t>
                  </w:r>
                </w:p>
              </w:tc>
              <w:tc>
                <w:tcPr>
                  <w:tcW w:w="297" w:type="pct"/>
                  <w:tcBorders>
                    <w:tl2br w:val="nil"/>
                    <w:tr2bl w:val="nil"/>
                  </w:tcBorders>
                  <w:shd w:val="clear" w:color="auto" w:fill="auto"/>
                  <w:noWrap w:val="0"/>
                  <w:vAlign w:val="center"/>
                </w:tcPr>
                <w:p w14:paraId="1CDE98DA">
                  <w:pPr>
                    <w:pStyle w:val="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mallCaps w:val="0"/>
                      <w:snapToGrid w:val="0"/>
                      <w:color w:val="auto"/>
                      <w:spacing w:val="0"/>
                      <w:kern w:val="0"/>
                      <w:sz w:val="21"/>
                      <w:szCs w:val="21"/>
                      <w:lang w:val="en-US" w:eastAsia="zh-CN" w:bidi="ar-SA"/>
                    </w:rPr>
                    <w:t>T/C</w:t>
                  </w:r>
                </w:p>
              </w:tc>
              <w:tc>
                <w:tcPr>
                  <w:tcW w:w="347" w:type="pct"/>
                  <w:vMerge w:val="continue"/>
                  <w:tcBorders>
                    <w:tl2br w:val="nil"/>
                    <w:tr2bl w:val="nil"/>
                  </w:tcBorders>
                  <w:noWrap w:val="0"/>
                  <w:vAlign w:val="center"/>
                </w:tcPr>
                <w:p w14:paraId="4E7B1F5B">
                  <w:pPr>
                    <w:snapToGrid w:val="0"/>
                    <w:spacing w:line="240" w:lineRule="auto"/>
                    <w:ind w:firstLine="0" w:firstLineChars="0"/>
                    <w:jc w:val="center"/>
                    <w:rPr>
                      <w:rFonts w:hint="default" w:ascii="Times New Roman" w:hAnsi="Times New Roman" w:eastAsia="宋体" w:cs="Times New Roman"/>
                      <w:bCs/>
                      <w:smallCaps w:val="0"/>
                      <w:color w:val="auto"/>
                      <w:spacing w:val="0"/>
                      <w:szCs w:val="21"/>
                      <w:lang w:val="en-US" w:eastAsia="zh-CN"/>
                    </w:rPr>
                  </w:pPr>
                </w:p>
              </w:tc>
            </w:tr>
            <w:tr w14:paraId="14B74AAF">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81" w:type="pct"/>
                  <w:tcBorders>
                    <w:tl2br w:val="nil"/>
                    <w:tr2bl w:val="nil"/>
                  </w:tcBorders>
                  <w:shd w:val="clear" w:color="auto" w:fill="auto"/>
                  <w:noWrap w:val="0"/>
                  <w:vAlign w:val="center"/>
                </w:tcPr>
                <w:p w14:paraId="1714FD42">
                  <w:pPr>
                    <w:adjustRightInd w:val="0"/>
                    <w:snapToGrid w:val="0"/>
                    <w:jc w:val="center"/>
                    <w:rPr>
                      <w:rFonts w:hint="default" w:ascii="Times New Roman" w:hAnsi="Times New Roman" w:eastAsia="宋体" w:cs="Times New Roman"/>
                      <w:smallCaps w:val="0"/>
                      <w:snapToGrid w:val="0"/>
                      <w:color w:val="auto"/>
                      <w:spacing w:val="0"/>
                      <w:kern w:val="0"/>
                      <w:sz w:val="21"/>
                      <w:szCs w:val="21"/>
                      <w:lang w:val="en-US" w:eastAsia="zh-CN" w:bidi="ar-SA"/>
                    </w:rPr>
                  </w:pPr>
                  <w:r>
                    <w:rPr>
                      <w:rFonts w:hint="default" w:ascii="Times New Roman" w:hAnsi="Times New Roman" w:eastAsia="宋体" w:cs="Times New Roman"/>
                      <w:smallCaps w:val="0"/>
                      <w:snapToGrid w:val="0"/>
                      <w:color w:val="auto"/>
                      <w:spacing w:val="0"/>
                      <w:kern w:val="0"/>
                      <w:sz w:val="21"/>
                      <w:szCs w:val="21"/>
                    </w:rPr>
                    <w:t>3</w:t>
                  </w:r>
                </w:p>
              </w:tc>
              <w:tc>
                <w:tcPr>
                  <w:tcW w:w="451" w:type="pct"/>
                  <w:tcBorders>
                    <w:tl2br w:val="nil"/>
                    <w:tr2bl w:val="nil"/>
                  </w:tcBorders>
                  <w:shd w:val="clear" w:color="auto" w:fill="auto"/>
                  <w:noWrap w:val="0"/>
                  <w:vAlign w:val="center"/>
                </w:tcPr>
                <w:p w14:paraId="57F258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废包装桶</w:t>
                  </w:r>
                </w:p>
              </w:tc>
              <w:tc>
                <w:tcPr>
                  <w:tcW w:w="253" w:type="pct"/>
                  <w:vMerge w:val="continue"/>
                  <w:tcBorders>
                    <w:tl2br w:val="nil"/>
                    <w:tr2bl w:val="nil"/>
                  </w:tcBorders>
                  <w:noWrap w:val="0"/>
                  <w:vAlign w:val="center"/>
                </w:tcPr>
                <w:p w14:paraId="114E5234">
                  <w:pPr>
                    <w:snapToGrid w:val="0"/>
                    <w:spacing w:line="240" w:lineRule="auto"/>
                    <w:ind w:firstLine="0" w:firstLineChars="0"/>
                    <w:jc w:val="center"/>
                    <w:rPr>
                      <w:rFonts w:hint="default" w:ascii="Times New Roman" w:hAnsi="Times New Roman" w:eastAsia="宋体" w:cs="Times New Roman"/>
                      <w:b w:val="0"/>
                      <w:bCs w:val="0"/>
                      <w:smallCaps w:val="0"/>
                      <w:color w:val="auto"/>
                      <w:spacing w:val="0"/>
                      <w:szCs w:val="21"/>
                    </w:rPr>
                  </w:pPr>
                </w:p>
              </w:tc>
              <w:tc>
                <w:tcPr>
                  <w:tcW w:w="360" w:type="pct"/>
                  <w:tcBorders>
                    <w:tl2br w:val="nil"/>
                    <w:tr2bl w:val="nil"/>
                  </w:tcBorders>
                  <w:shd w:val="clear" w:color="auto" w:fill="auto"/>
                  <w:noWrap w:val="0"/>
                  <w:vAlign w:val="center"/>
                </w:tcPr>
                <w:p w14:paraId="4DC59716">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HW49</w:t>
                  </w:r>
                </w:p>
              </w:tc>
              <w:tc>
                <w:tcPr>
                  <w:tcW w:w="494" w:type="pct"/>
                  <w:tcBorders>
                    <w:tl2br w:val="nil"/>
                    <w:tr2bl w:val="nil"/>
                  </w:tcBorders>
                  <w:shd w:val="clear" w:color="auto" w:fill="auto"/>
                  <w:noWrap w:val="0"/>
                  <w:vAlign w:val="center"/>
                </w:tcPr>
                <w:p w14:paraId="7A5A4195">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900-041-49</w:t>
                  </w:r>
                </w:p>
              </w:tc>
              <w:tc>
                <w:tcPr>
                  <w:tcW w:w="369" w:type="pct"/>
                  <w:tcBorders>
                    <w:tl2br w:val="nil"/>
                    <w:tr2bl w:val="nil"/>
                  </w:tcBorders>
                  <w:shd w:val="clear" w:color="auto" w:fill="auto"/>
                  <w:noWrap w:val="0"/>
                  <w:vAlign w:val="center"/>
                </w:tcPr>
                <w:p w14:paraId="22691993">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0.037</w:t>
                  </w:r>
                </w:p>
              </w:tc>
              <w:tc>
                <w:tcPr>
                  <w:tcW w:w="480" w:type="pct"/>
                  <w:tcBorders>
                    <w:tl2br w:val="nil"/>
                    <w:tr2bl w:val="nil"/>
                  </w:tcBorders>
                  <w:shd w:val="clear" w:color="auto" w:fill="auto"/>
                  <w:noWrap w:val="0"/>
                  <w:vAlign w:val="center"/>
                </w:tcPr>
                <w:p w14:paraId="09013AD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原料使用</w:t>
                  </w:r>
                </w:p>
              </w:tc>
              <w:tc>
                <w:tcPr>
                  <w:tcW w:w="278" w:type="pct"/>
                  <w:tcBorders>
                    <w:tl2br w:val="nil"/>
                    <w:tr2bl w:val="nil"/>
                  </w:tcBorders>
                  <w:shd w:val="clear" w:color="auto" w:fill="auto"/>
                  <w:noWrap w:val="0"/>
                  <w:vAlign w:val="center"/>
                </w:tcPr>
                <w:p w14:paraId="423C7127">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半固态</w:t>
                  </w:r>
                </w:p>
              </w:tc>
              <w:tc>
                <w:tcPr>
                  <w:tcW w:w="619" w:type="pct"/>
                  <w:tcBorders>
                    <w:tl2br w:val="nil"/>
                    <w:tr2bl w:val="nil"/>
                  </w:tcBorders>
                  <w:shd w:val="clear" w:color="auto" w:fill="auto"/>
                  <w:noWrap w:val="0"/>
                  <w:vAlign w:val="center"/>
                </w:tcPr>
                <w:p w14:paraId="3FCF1F92">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包装桶及沾染的液压油、UV油墨</w:t>
                  </w:r>
                </w:p>
              </w:tc>
              <w:tc>
                <w:tcPr>
                  <w:tcW w:w="479" w:type="pct"/>
                  <w:tcBorders>
                    <w:tl2br w:val="nil"/>
                    <w:tr2bl w:val="nil"/>
                  </w:tcBorders>
                  <w:noWrap w:val="0"/>
                  <w:vAlign w:val="center"/>
                </w:tcPr>
                <w:p w14:paraId="64EBC4C0">
                  <w:pPr>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废液压油、UV油墨</w:t>
                  </w:r>
                </w:p>
              </w:tc>
              <w:tc>
                <w:tcPr>
                  <w:tcW w:w="386" w:type="pct"/>
                  <w:tcBorders>
                    <w:tl2br w:val="nil"/>
                    <w:tr2bl w:val="nil"/>
                  </w:tcBorders>
                  <w:noWrap w:val="0"/>
                  <w:vAlign w:val="center"/>
                </w:tcPr>
                <w:p w14:paraId="75321202">
                  <w:pPr>
                    <w:snapToGrid w:val="0"/>
                    <w:spacing w:line="240" w:lineRule="auto"/>
                    <w:ind w:firstLine="0" w:firstLineChars="0"/>
                    <w:jc w:val="center"/>
                    <w:rPr>
                      <w:rFonts w:hint="default" w:ascii="Times New Roman" w:hAnsi="Times New Roman" w:eastAsia="宋体" w:cs="Times New Roman"/>
                      <w:smallCaps w:val="0"/>
                      <w:color w:val="auto"/>
                      <w:spacing w:val="0"/>
                      <w:kern w:val="0"/>
                      <w:szCs w:val="21"/>
                      <w:lang w:val="en-US" w:eastAsia="zh-CN"/>
                    </w:rPr>
                  </w:pPr>
                  <w:r>
                    <w:rPr>
                      <w:rFonts w:hint="default" w:ascii="Times New Roman" w:hAnsi="Times New Roman" w:eastAsia="宋体" w:cs="Times New Roman"/>
                      <w:smallCaps w:val="0"/>
                      <w:color w:val="auto"/>
                      <w:spacing w:val="0"/>
                      <w:kern w:val="0"/>
                      <w:szCs w:val="21"/>
                      <w:lang w:val="en-US" w:eastAsia="zh-CN"/>
                    </w:rPr>
                    <w:t>3个月</w:t>
                  </w:r>
                </w:p>
              </w:tc>
              <w:tc>
                <w:tcPr>
                  <w:tcW w:w="297" w:type="pct"/>
                  <w:tcBorders>
                    <w:tl2br w:val="nil"/>
                    <w:tr2bl w:val="nil"/>
                  </w:tcBorders>
                  <w:shd w:val="clear" w:color="auto" w:fill="auto"/>
                  <w:noWrap w:val="0"/>
                  <w:vAlign w:val="center"/>
                </w:tcPr>
                <w:p w14:paraId="073B666D">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T/In</w:t>
                  </w:r>
                </w:p>
              </w:tc>
              <w:tc>
                <w:tcPr>
                  <w:tcW w:w="347" w:type="pct"/>
                  <w:vMerge w:val="continue"/>
                  <w:tcBorders>
                    <w:tl2br w:val="nil"/>
                    <w:tr2bl w:val="nil"/>
                  </w:tcBorders>
                  <w:noWrap w:val="0"/>
                  <w:vAlign w:val="center"/>
                </w:tcPr>
                <w:p w14:paraId="5DA029CA">
                  <w:pPr>
                    <w:snapToGrid w:val="0"/>
                    <w:spacing w:line="240" w:lineRule="auto"/>
                    <w:ind w:firstLine="0" w:firstLineChars="0"/>
                    <w:jc w:val="center"/>
                    <w:rPr>
                      <w:rFonts w:hint="default" w:ascii="Times New Roman" w:hAnsi="Times New Roman" w:eastAsia="宋体" w:cs="Times New Roman"/>
                      <w:bCs/>
                      <w:smallCaps w:val="0"/>
                      <w:color w:val="auto"/>
                      <w:spacing w:val="0"/>
                      <w:szCs w:val="21"/>
                      <w:lang w:val="en-US" w:eastAsia="zh-CN"/>
                    </w:rPr>
                  </w:pPr>
                </w:p>
              </w:tc>
            </w:tr>
          </w:tbl>
          <w:p w14:paraId="4A125369">
            <w:pPr>
              <w:adjustRightInd w:val="0"/>
              <w:snapToGrid w:val="0"/>
              <w:spacing w:before="60" w:after="60" w:line="360" w:lineRule="auto"/>
              <w:rPr>
                <w:rFonts w:hint="default" w:ascii="Times New Roman" w:hAnsi="Times New Roman" w:eastAsia="宋体" w:cs="Times New Roman"/>
                <w:b/>
                <w:smallCaps w:val="0"/>
                <w:color w:val="auto"/>
                <w:spacing w:val="0"/>
                <w:kern w:val="0"/>
                <w:position w:val="0"/>
                <w:sz w:val="28"/>
                <w:szCs w:val="28"/>
              </w:rPr>
            </w:pPr>
          </w:p>
          <w:p w14:paraId="2768F55E">
            <w:pPr>
              <w:pStyle w:val="7"/>
              <w:rPr>
                <w:rFonts w:hint="default" w:ascii="Times New Roman" w:hAnsi="Times New Roman" w:eastAsia="宋体" w:cs="Times New Roman"/>
                <w:color w:val="auto"/>
              </w:rPr>
            </w:pPr>
          </w:p>
        </w:tc>
      </w:tr>
    </w:tbl>
    <w:p w14:paraId="16A85997">
      <w:pPr>
        <w:adjustRightInd w:val="0"/>
        <w:snapToGrid w:val="0"/>
        <w:spacing w:before="60" w:after="60" w:line="360" w:lineRule="auto"/>
        <w:ind w:firstLine="582"/>
        <w:rPr>
          <w:rFonts w:hint="default" w:ascii="Times New Roman" w:hAnsi="Times New Roman" w:eastAsia="宋体" w:cs="Times New Roman"/>
          <w:b/>
          <w:smallCaps w:val="0"/>
          <w:color w:val="auto"/>
          <w:spacing w:val="0"/>
          <w:kern w:val="0"/>
          <w:position w:val="0"/>
          <w:sz w:val="28"/>
          <w:szCs w:val="28"/>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17"/>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Layout w:type="autofit"/>
        <w:tblCellMar>
          <w:top w:w="0" w:type="dxa"/>
          <w:left w:w="108" w:type="dxa"/>
          <w:bottom w:w="0" w:type="dxa"/>
          <w:right w:w="108" w:type="dxa"/>
        </w:tblCellMar>
      </w:tblPr>
      <w:tblGrid>
        <w:gridCol w:w="534"/>
        <w:gridCol w:w="8527"/>
      </w:tblGrid>
      <w:tr w14:paraId="0C0A2A3D">
        <w:tblPrEx>
          <w:tblBorders>
            <w:top w:val="single" w:color="auto" w:sz="12" w:space="0"/>
            <w:left w:val="single" w:color="auto" w:sz="12" w:space="0"/>
            <w:bottom w:val="single" w:color="auto" w:sz="12" w:space="0"/>
            <w:right w:val="single" w:color="auto" w:sz="12" w:space="0"/>
            <w:insideH w:val="single" w:color="auto" w:sz="12" w:space="0"/>
            <w:insideV w:val="single" w:color="auto" w:sz="2" w:space="0"/>
          </w:tblBorders>
          <w:tblCellMar>
            <w:top w:w="0" w:type="dxa"/>
            <w:left w:w="108" w:type="dxa"/>
            <w:bottom w:w="0" w:type="dxa"/>
            <w:right w:w="108" w:type="dxa"/>
          </w:tblCellMar>
        </w:tblPrEx>
        <w:tc>
          <w:tcPr>
            <w:tcW w:w="534" w:type="dxa"/>
            <w:tcBorders>
              <w:tl2br w:val="nil"/>
              <w:tr2bl w:val="nil"/>
            </w:tcBorders>
            <w:noWrap w:val="0"/>
            <w:vAlign w:val="center"/>
          </w:tcPr>
          <w:p w14:paraId="06582803">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运营</w:t>
            </w:r>
          </w:p>
          <w:p w14:paraId="7640D163">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期环</w:t>
            </w:r>
          </w:p>
          <w:p w14:paraId="5530137A">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境影</w:t>
            </w:r>
          </w:p>
          <w:p w14:paraId="32DF57E8">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响和</w:t>
            </w:r>
          </w:p>
          <w:p w14:paraId="04C485B0">
            <w:pPr>
              <w:pStyle w:val="16"/>
              <w:adjustRightInd w:val="0"/>
              <w:snapToGrid w:val="0"/>
              <w:spacing w:before="0" w:beforeAutospacing="0" w:after="0" w:afterAutospacing="0"/>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保护</w:t>
            </w:r>
          </w:p>
          <w:p w14:paraId="65C94105">
            <w:pPr>
              <w:pStyle w:val="16"/>
              <w:adjustRightInd w:val="0"/>
              <w:snapToGrid w:val="0"/>
              <w:spacing w:before="0" w:beforeAutospacing="0" w:after="0" w:afterAutospacing="0"/>
              <w:jc w:val="center"/>
              <w:rPr>
                <w:rFonts w:hint="default" w:ascii="Times New Roman" w:hAnsi="Times New Roman" w:eastAsia="宋体" w:cs="Times New Roman"/>
                <w:b/>
                <w:smallCaps w:val="0"/>
                <w:color w:val="auto"/>
                <w:spacing w:val="0"/>
                <w:kern w:val="0"/>
                <w:position w:val="0"/>
                <w:sz w:val="28"/>
                <w:szCs w:val="28"/>
              </w:rPr>
            </w:pPr>
            <w:r>
              <w:rPr>
                <w:rFonts w:hint="default" w:ascii="Times New Roman" w:hAnsi="Times New Roman" w:eastAsia="宋体" w:cs="Times New Roman"/>
                <w:b/>
                <w:bCs/>
                <w:smallCaps w:val="0"/>
                <w:color w:val="auto"/>
                <w:spacing w:val="0"/>
                <w:kern w:val="0"/>
                <w:position w:val="0"/>
                <w:szCs w:val="24"/>
              </w:rPr>
              <w:t>措施</w:t>
            </w:r>
          </w:p>
        </w:tc>
        <w:tc>
          <w:tcPr>
            <w:tcW w:w="8527" w:type="dxa"/>
            <w:tcBorders>
              <w:tl2br w:val="nil"/>
              <w:tr2bl w:val="nil"/>
            </w:tcBorders>
            <w:noWrap w:val="0"/>
            <w:vAlign w:val="top"/>
          </w:tcPr>
          <w:p w14:paraId="0EAB54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4.2固废治理措施</w:t>
            </w:r>
          </w:p>
          <w:p w14:paraId="16FDB9C3">
            <w:pPr>
              <w:keepNext w:val="0"/>
              <w:keepLines w:val="0"/>
              <w:pageBreakBefore w:val="0"/>
              <w:widowControl w:val="0"/>
              <w:tabs>
                <w:tab w:val="center" w:pos="4727"/>
                <w:tab w:val="left" w:pos="8213"/>
                <w:tab w:val="left" w:pos="8719"/>
              </w:tabs>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sz w:val="24"/>
              </w:rPr>
            </w:pPr>
            <w:r>
              <w:rPr>
                <w:rFonts w:hint="default" w:ascii="Times New Roman" w:hAnsi="Times New Roman" w:eastAsia="宋体" w:cs="Times New Roman"/>
                <w:b/>
                <w:bCs/>
                <w:smallCaps w:val="0"/>
                <w:color w:val="auto"/>
                <w:spacing w:val="0"/>
                <w:sz w:val="24"/>
                <w:lang w:val="en-US" w:eastAsia="zh-CN"/>
              </w:rPr>
              <w:t>（1）</w:t>
            </w:r>
            <w:r>
              <w:rPr>
                <w:rFonts w:hint="default" w:ascii="Times New Roman" w:hAnsi="Times New Roman" w:eastAsia="宋体" w:cs="Times New Roman"/>
                <w:b/>
                <w:bCs/>
                <w:smallCaps w:val="0"/>
                <w:color w:val="auto"/>
                <w:spacing w:val="0"/>
                <w:sz w:val="24"/>
              </w:rPr>
              <w:t>治理措施</w:t>
            </w:r>
          </w:p>
          <w:p w14:paraId="248A2EBB">
            <w:pPr>
              <w:keepNext w:val="0"/>
              <w:keepLines w:val="0"/>
              <w:pageBreakBefore w:val="0"/>
              <w:widowControl w:val="0"/>
              <w:tabs>
                <w:tab w:val="center" w:pos="4727"/>
                <w:tab w:val="left" w:pos="8213"/>
                <w:tab w:val="left" w:pos="8719"/>
              </w:tabs>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rPr>
            </w:pPr>
            <w:r>
              <w:rPr>
                <w:rFonts w:hint="default" w:ascii="Times New Roman" w:hAnsi="Times New Roman" w:eastAsia="宋体" w:cs="Times New Roman"/>
                <w:smallCaps w:val="0"/>
                <w:color w:val="auto"/>
                <w:spacing w:val="0"/>
                <w:sz w:val="24"/>
              </w:rPr>
              <w:t>生活垃圾由环卫部门统一收集处理；</w:t>
            </w:r>
            <w:r>
              <w:rPr>
                <w:rFonts w:hint="default" w:ascii="Times New Roman" w:hAnsi="Times New Roman" w:eastAsia="宋体" w:cs="Times New Roman"/>
                <w:smallCaps w:val="0"/>
                <w:color w:val="auto"/>
                <w:spacing w:val="0"/>
                <w:sz w:val="24"/>
                <w:lang w:val="en-US" w:eastAsia="zh-CN"/>
              </w:rPr>
              <w:t>金属边角料、焊渣</w:t>
            </w:r>
            <w:r>
              <w:rPr>
                <w:rFonts w:hint="default" w:ascii="Times New Roman" w:hAnsi="Times New Roman" w:eastAsia="宋体" w:cs="Times New Roman"/>
                <w:smallCaps w:val="0"/>
                <w:color w:val="auto"/>
                <w:spacing w:val="0"/>
                <w:sz w:val="24"/>
              </w:rPr>
              <w:t>外售综合利用，</w:t>
            </w:r>
            <w:r>
              <w:rPr>
                <w:rFonts w:hint="default" w:ascii="Times New Roman" w:hAnsi="Times New Roman" w:eastAsia="宋体" w:cs="Times New Roman"/>
                <w:smallCaps w:val="0"/>
                <w:color w:val="auto"/>
                <w:spacing w:val="0"/>
                <w:sz w:val="24"/>
                <w:lang w:val="en-US" w:eastAsia="zh-CN"/>
              </w:rPr>
              <w:t>废液压油、清洗废液、废包装桶</w:t>
            </w:r>
            <w:r>
              <w:rPr>
                <w:rFonts w:hint="default" w:ascii="Times New Roman" w:hAnsi="Times New Roman" w:eastAsia="宋体" w:cs="Times New Roman"/>
                <w:smallCaps w:val="0"/>
                <w:color w:val="auto"/>
                <w:spacing w:val="0"/>
                <w:sz w:val="24"/>
              </w:rPr>
              <w:t>委托</w:t>
            </w:r>
            <w:r>
              <w:rPr>
                <w:rFonts w:hint="default" w:ascii="Times New Roman" w:hAnsi="Times New Roman" w:eastAsia="宋体" w:cs="Times New Roman"/>
                <w:smallCaps w:val="0"/>
                <w:color w:val="auto"/>
                <w:spacing w:val="0"/>
                <w:sz w:val="24"/>
                <w:lang w:val="en-US" w:eastAsia="zh-CN"/>
              </w:rPr>
              <w:t>有组织</w:t>
            </w:r>
            <w:r>
              <w:rPr>
                <w:rFonts w:hint="default" w:ascii="Times New Roman" w:hAnsi="Times New Roman" w:eastAsia="宋体" w:cs="Times New Roman"/>
                <w:smallCaps w:val="0"/>
                <w:color w:val="auto"/>
                <w:spacing w:val="0"/>
                <w:sz w:val="24"/>
              </w:rPr>
              <w:t>单位处置。</w:t>
            </w:r>
          </w:p>
          <w:p w14:paraId="1F7DA9B3">
            <w:pPr>
              <w:keepNext w:val="0"/>
              <w:keepLines w:val="0"/>
              <w:pageBreakBefore w:val="0"/>
              <w:widowControl w:val="0"/>
              <w:tabs>
                <w:tab w:val="center" w:pos="4727"/>
                <w:tab w:val="left" w:pos="8213"/>
                <w:tab w:val="left" w:pos="8719"/>
              </w:tabs>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sz w:val="24"/>
              </w:rPr>
            </w:pPr>
            <w:r>
              <w:rPr>
                <w:rFonts w:hint="default" w:ascii="Times New Roman" w:hAnsi="Times New Roman" w:eastAsia="宋体" w:cs="Times New Roman"/>
                <w:b/>
                <w:bCs/>
                <w:smallCaps w:val="0"/>
                <w:color w:val="auto"/>
                <w:spacing w:val="0"/>
                <w:sz w:val="24"/>
                <w:lang w:val="en-US" w:eastAsia="zh-CN"/>
              </w:rPr>
              <w:t>（2）</w:t>
            </w:r>
            <w:r>
              <w:rPr>
                <w:rFonts w:hint="default" w:ascii="Times New Roman" w:hAnsi="Times New Roman" w:eastAsia="宋体" w:cs="Times New Roman"/>
                <w:b/>
                <w:bCs/>
                <w:smallCaps w:val="0"/>
                <w:color w:val="auto"/>
                <w:spacing w:val="0"/>
                <w:sz w:val="24"/>
              </w:rPr>
              <w:t>排放情况</w:t>
            </w:r>
          </w:p>
          <w:p w14:paraId="43DBF156">
            <w:pPr>
              <w:keepNext w:val="0"/>
              <w:keepLines w:val="0"/>
              <w:pageBreakBefore w:val="0"/>
              <w:widowControl w:val="0"/>
              <w:tabs>
                <w:tab w:val="center" w:pos="4727"/>
                <w:tab w:val="left" w:pos="8213"/>
                <w:tab w:val="left" w:pos="8719"/>
              </w:tabs>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rPr>
            </w:pPr>
            <w:r>
              <w:rPr>
                <w:rFonts w:hint="default" w:ascii="Times New Roman" w:hAnsi="Times New Roman" w:eastAsia="宋体" w:cs="Times New Roman"/>
                <w:smallCaps w:val="0"/>
                <w:color w:val="auto"/>
                <w:spacing w:val="0"/>
                <w:sz w:val="24"/>
              </w:rPr>
              <w:t>固废处理处置率100%，固体废物排放不直接排放外环境。</w:t>
            </w:r>
          </w:p>
          <w:p w14:paraId="01D197E2">
            <w:pPr>
              <w:keepNext w:val="0"/>
              <w:keepLines w:val="0"/>
              <w:pageBreakBefore w:val="0"/>
              <w:widowControl w:val="0"/>
              <w:tabs>
                <w:tab w:val="center" w:pos="4727"/>
                <w:tab w:val="left" w:pos="8213"/>
                <w:tab w:val="left" w:pos="8719"/>
              </w:tabs>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sz w:val="24"/>
                <w:lang w:val="en-US" w:eastAsia="zh-CN"/>
              </w:rPr>
            </w:pPr>
            <w:r>
              <w:rPr>
                <w:rFonts w:hint="default" w:ascii="Times New Roman" w:hAnsi="Times New Roman" w:eastAsia="宋体" w:cs="Times New Roman"/>
                <w:b/>
                <w:smallCaps w:val="0"/>
                <w:color w:val="auto"/>
                <w:spacing w:val="0"/>
                <w:sz w:val="24"/>
                <w:lang w:eastAsia="zh-CN"/>
              </w:rPr>
              <w:t>（</w:t>
            </w:r>
            <w:r>
              <w:rPr>
                <w:rFonts w:hint="default" w:ascii="Times New Roman" w:hAnsi="Times New Roman" w:eastAsia="宋体" w:cs="Times New Roman"/>
                <w:b/>
                <w:smallCaps w:val="0"/>
                <w:color w:val="auto"/>
                <w:spacing w:val="0"/>
                <w:sz w:val="24"/>
                <w:lang w:val="en-US" w:eastAsia="zh-CN"/>
              </w:rPr>
              <w:t>3</w:t>
            </w:r>
            <w:r>
              <w:rPr>
                <w:rFonts w:hint="default" w:ascii="Times New Roman" w:hAnsi="Times New Roman" w:eastAsia="宋体" w:cs="Times New Roman"/>
                <w:b/>
                <w:smallCaps w:val="0"/>
                <w:color w:val="auto"/>
                <w:spacing w:val="0"/>
                <w:sz w:val="24"/>
                <w:lang w:eastAsia="zh-CN"/>
              </w:rPr>
              <w:t>）</w:t>
            </w:r>
            <w:r>
              <w:rPr>
                <w:rFonts w:hint="default" w:ascii="Times New Roman" w:hAnsi="Times New Roman" w:eastAsia="宋体" w:cs="Times New Roman"/>
                <w:b/>
                <w:smallCaps w:val="0"/>
                <w:color w:val="auto"/>
                <w:spacing w:val="0"/>
                <w:sz w:val="24"/>
                <w:lang w:val="en-US" w:eastAsia="zh-CN"/>
              </w:rPr>
              <w:t>固废储存场所面积合理性分析</w:t>
            </w:r>
          </w:p>
          <w:p w14:paraId="532F77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全厂危废产生量共计约</w:t>
            </w:r>
            <w:r>
              <w:rPr>
                <w:rFonts w:hint="default" w:ascii="Times New Roman" w:hAnsi="Times New Roman" w:eastAsia="宋体" w:cs="Times New Roman"/>
                <w:smallCaps w:val="0"/>
                <w:color w:val="auto"/>
                <w:spacing w:val="0"/>
                <w:sz w:val="24"/>
                <w:szCs w:val="24"/>
                <w:lang w:val="en-US" w:eastAsia="zh-CN"/>
              </w:rPr>
              <w:t>5.137</w:t>
            </w:r>
            <w:r>
              <w:rPr>
                <w:rFonts w:hint="default" w:ascii="Times New Roman" w:hAnsi="Times New Roman" w:eastAsia="宋体" w:cs="Times New Roman"/>
                <w:smallCaps w:val="0"/>
                <w:color w:val="auto"/>
                <w:spacing w:val="0"/>
                <w:sz w:val="24"/>
                <w:szCs w:val="24"/>
              </w:rPr>
              <w:t>t/a，危废堆场内暂存期为3个月。固态物质采用吨袋存放，吨袋直接放置于托盘上，半固态物质采用密闭桶内贮存。</w:t>
            </w:r>
          </w:p>
          <w:p w14:paraId="60081A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lang w:val="en-US" w:eastAsia="zh-CN"/>
              </w:rPr>
            </w:pPr>
            <w:r>
              <w:rPr>
                <w:rFonts w:hint="default" w:ascii="Times New Roman" w:hAnsi="Times New Roman" w:eastAsia="宋体" w:cs="Times New Roman"/>
                <w:smallCaps w:val="0"/>
                <w:color w:val="auto"/>
                <w:spacing w:val="0"/>
                <w:sz w:val="24"/>
                <w:szCs w:val="24"/>
                <w:lang w:val="en-US" w:eastAsia="zh-CN"/>
              </w:rPr>
              <w:t>企业</w:t>
            </w:r>
            <w:r>
              <w:rPr>
                <w:rFonts w:hint="default" w:ascii="Times New Roman" w:hAnsi="Times New Roman" w:eastAsia="宋体" w:cs="Times New Roman"/>
                <w:smallCaps w:val="0"/>
                <w:color w:val="auto"/>
                <w:spacing w:val="0"/>
                <w:sz w:val="24"/>
                <w:szCs w:val="24"/>
              </w:rPr>
              <w:t>危险废物贮存面积约</w:t>
            </w:r>
            <w:r>
              <w:rPr>
                <w:rFonts w:hint="default" w:ascii="Times New Roman" w:hAnsi="Times New Roman" w:eastAsia="宋体" w:cs="Times New Roman"/>
                <w:smallCaps w:val="0"/>
                <w:color w:val="auto"/>
                <w:spacing w:val="0"/>
                <w:sz w:val="24"/>
                <w:szCs w:val="24"/>
                <w:lang w:val="en-US" w:eastAsia="zh-CN"/>
              </w:rPr>
              <w:t>10</w:t>
            </w:r>
            <w:r>
              <w:rPr>
                <w:rFonts w:hint="default" w:ascii="Times New Roman" w:hAnsi="Times New Roman" w:eastAsia="宋体" w:cs="Times New Roman"/>
                <w:smallCaps w:val="0"/>
                <w:color w:val="auto"/>
                <w:spacing w:val="0"/>
                <w:sz w:val="24"/>
                <w:szCs w:val="24"/>
              </w:rPr>
              <w:t>m</w:t>
            </w:r>
            <w:r>
              <w:rPr>
                <w:rFonts w:hint="default" w:ascii="Times New Roman" w:hAnsi="Times New Roman" w:eastAsia="宋体" w:cs="Times New Roman"/>
                <w:smallCaps w:val="0"/>
                <w:color w:val="auto"/>
                <w:spacing w:val="0"/>
                <w:sz w:val="24"/>
                <w:szCs w:val="24"/>
                <w:vertAlign w:val="superscript"/>
              </w:rPr>
              <w:t>2</w:t>
            </w:r>
            <w:r>
              <w:rPr>
                <w:rFonts w:hint="default" w:ascii="Times New Roman" w:hAnsi="Times New Roman" w:eastAsia="宋体" w:cs="Times New Roman"/>
                <w:smallCaps w:val="0"/>
                <w:color w:val="auto"/>
                <w:spacing w:val="0"/>
                <w:sz w:val="24"/>
                <w:szCs w:val="24"/>
              </w:rPr>
              <w:t>，考虑分类堆放的危废之间设置一定间距，另外危废仓库内需设置一定通道，危废堆场实际危废堆放有效面积约</w:t>
            </w:r>
            <w:r>
              <w:rPr>
                <w:rFonts w:hint="default" w:ascii="Times New Roman" w:hAnsi="Times New Roman" w:eastAsia="宋体" w:cs="Times New Roman"/>
                <w:smallCaps w:val="0"/>
                <w:color w:val="auto"/>
                <w:spacing w:val="0"/>
                <w:sz w:val="24"/>
                <w:szCs w:val="24"/>
                <w:lang w:val="en-US" w:eastAsia="zh-CN"/>
              </w:rPr>
              <w:t>8</w:t>
            </w:r>
            <w:r>
              <w:rPr>
                <w:rFonts w:hint="default" w:ascii="Times New Roman" w:hAnsi="Times New Roman" w:eastAsia="宋体" w:cs="Times New Roman"/>
                <w:smallCaps w:val="0"/>
                <w:color w:val="auto"/>
                <w:spacing w:val="0"/>
                <w:sz w:val="24"/>
                <w:szCs w:val="24"/>
              </w:rPr>
              <w:t>m</w:t>
            </w:r>
            <w:r>
              <w:rPr>
                <w:rFonts w:hint="default" w:ascii="Times New Roman" w:hAnsi="Times New Roman" w:eastAsia="宋体" w:cs="Times New Roman"/>
                <w:smallCaps w:val="0"/>
                <w:color w:val="auto"/>
                <w:spacing w:val="0"/>
                <w:sz w:val="24"/>
                <w:szCs w:val="24"/>
                <w:vertAlign w:val="superscript"/>
              </w:rPr>
              <w:t>2</w:t>
            </w:r>
            <w:r>
              <w:rPr>
                <w:rFonts w:hint="default" w:ascii="Times New Roman" w:hAnsi="Times New Roman" w:eastAsia="宋体" w:cs="Times New Roman"/>
                <w:smallCaps w:val="0"/>
                <w:color w:val="auto"/>
                <w:spacing w:val="0"/>
                <w:sz w:val="24"/>
                <w:szCs w:val="24"/>
                <w:vertAlign w:val="baseline"/>
                <w:lang w:eastAsia="zh-CN"/>
              </w:rPr>
              <w:t>，</w:t>
            </w:r>
            <w:r>
              <w:rPr>
                <w:rFonts w:hint="default" w:ascii="Times New Roman" w:hAnsi="Times New Roman" w:eastAsia="宋体" w:cs="Times New Roman"/>
                <w:smallCaps w:val="0"/>
                <w:color w:val="auto"/>
                <w:spacing w:val="0"/>
                <w:sz w:val="24"/>
                <w:szCs w:val="24"/>
                <w:vertAlign w:val="baseline"/>
                <w:lang w:val="en-US" w:eastAsia="zh-CN"/>
              </w:rPr>
              <w:t>贮存能力8t。</w:t>
            </w:r>
          </w:p>
          <w:p w14:paraId="1AEF14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lang w:val="en-US" w:eastAsia="zh-CN"/>
              </w:rPr>
            </w:pPr>
            <w:r>
              <w:rPr>
                <w:rFonts w:hint="default" w:ascii="Times New Roman" w:hAnsi="Times New Roman" w:eastAsia="宋体" w:cs="Times New Roman"/>
                <w:smallCaps w:val="0"/>
                <w:color w:val="auto"/>
                <w:spacing w:val="0"/>
                <w:sz w:val="24"/>
                <w:szCs w:val="24"/>
                <w:lang w:val="en-US" w:eastAsia="zh-CN"/>
              </w:rPr>
              <w:t>根据《江苏省危险废物集中收集体系建设工作方案（试行）（苏环保[2021]290号）》</w:t>
            </w:r>
            <w:r>
              <w:rPr>
                <w:rFonts w:hint="eastAsia" w:cs="Times New Roman"/>
                <w:smallCaps w:val="0"/>
                <w:color w:val="auto"/>
                <w:spacing w:val="0"/>
                <w:sz w:val="24"/>
                <w:szCs w:val="24"/>
                <w:lang w:val="en-US" w:eastAsia="zh-CN"/>
              </w:rPr>
              <w:t>、</w:t>
            </w:r>
            <w:r>
              <w:rPr>
                <w:rFonts w:hint="default" w:ascii="Times New Roman" w:hAnsi="Times New Roman" w:eastAsia="宋体" w:cs="Times New Roman"/>
                <w:smallCaps w:val="0"/>
                <w:color w:val="auto"/>
                <w:spacing w:val="0"/>
                <w:sz w:val="24"/>
                <w:szCs w:val="24"/>
                <w:lang w:val="en-US" w:eastAsia="zh-CN"/>
              </w:rPr>
              <w:t>《省生态环境厅关于印发《江苏省固体废物全过程环境监管工作意见》的通知》（苏环办[2024]16号）</w:t>
            </w:r>
            <w:r>
              <w:rPr>
                <w:rFonts w:hint="eastAsia" w:cs="Times New Roman"/>
                <w:smallCaps w:val="0"/>
                <w:color w:val="auto"/>
                <w:spacing w:val="0"/>
                <w:sz w:val="24"/>
                <w:szCs w:val="24"/>
                <w:lang w:val="en-US" w:eastAsia="zh-CN"/>
              </w:rPr>
              <w:t>以及《危险废物贮存污染控制标准》（GB18597-2023）</w:t>
            </w:r>
            <w:r>
              <w:rPr>
                <w:rFonts w:hint="default" w:ascii="Times New Roman" w:hAnsi="Times New Roman" w:eastAsia="宋体" w:cs="Times New Roman"/>
                <w:smallCaps w:val="0"/>
                <w:color w:val="auto"/>
                <w:spacing w:val="0"/>
                <w:sz w:val="24"/>
                <w:szCs w:val="24"/>
                <w:lang w:val="en-US" w:eastAsia="zh-CN"/>
              </w:rPr>
              <w:t>中关于贮存周期和贮存量的要求，</w:t>
            </w:r>
            <w:r>
              <w:rPr>
                <w:rFonts w:hint="default" w:ascii="Times New Roman" w:hAnsi="Times New Roman" w:eastAsia="宋体" w:cs="Times New Roman"/>
                <w:smallCaps w:val="0"/>
                <w:color w:val="auto"/>
                <w:spacing w:val="0"/>
                <w:sz w:val="24"/>
                <w:szCs w:val="24"/>
                <w:lang w:val="en-US" w:eastAsia="zh-CN"/>
              </w:rPr>
              <w:fldChar w:fldCharType="begin"/>
            </w:r>
            <w:r>
              <w:rPr>
                <w:rFonts w:hint="default" w:ascii="Times New Roman" w:hAnsi="Times New Roman" w:eastAsia="宋体" w:cs="Times New Roman"/>
                <w:smallCaps w:val="0"/>
                <w:color w:val="auto"/>
                <w:spacing w:val="0"/>
                <w:sz w:val="24"/>
                <w:szCs w:val="24"/>
                <w:lang w:val="en-US" w:eastAsia="zh-CN"/>
              </w:rPr>
              <w:instrText xml:space="preserve"> = 1 \* ROMAN \* MERGEFORMAT </w:instrText>
            </w:r>
            <w:r>
              <w:rPr>
                <w:rFonts w:hint="default" w:ascii="Times New Roman" w:hAnsi="Times New Roman" w:eastAsia="宋体" w:cs="Times New Roman"/>
                <w:smallCaps w:val="0"/>
                <w:color w:val="auto"/>
                <w:spacing w:val="0"/>
                <w:sz w:val="24"/>
                <w:szCs w:val="24"/>
                <w:lang w:val="en-US" w:eastAsia="zh-CN"/>
              </w:rPr>
              <w:fldChar w:fldCharType="separate"/>
            </w:r>
            <w:r>
              <w:rPr>
                <w:rFonts w:hint="default" w:ascii="Times New Roman" w:hAnsi="Times New Roman" w:eastAsia="宋体" w:cs="Times New Roman"/>
                <w:smallCaps w:val="0"/>
                <w:color w:val="auto"/>
                <w:spacing w:val="0"/>
                <w:sz w:val="24"/>
                <w:szCs w:val="24"/>
              </w:rPr>
              <w:t>I</w:t>
            </w:r>
            <w:r>
              <w:rPr>
                <w:rFonts w:hint="default" w:ascii="Times New Roman" w:hAnsi="Times New Roman" w:eastAsia="宋体" w:cs="Times New Roman"/>
                <w:smallCaps w:val="0"/>
                <w:color w:val="auto"/>
                <w:spacing w:val="0"/>
                <w:sz w:val="24"/>
                <w:szCs w:val="24"/>
                <w:lang w:val="en-US" w:eastAsia="zh-CN"/>
              </w:rPr>
              <w:fldChar w:fldCharType="end"/>
            </w:r>
            <w:r>
              <w:rPr>
                <w:rFonts w:hint="default" w:ascii="Times New Roman" w:hAnsi="Times New Roman" w:eastAsia="宋体" w:cs="Times New Roman"/>
                <w:smallCaps w:val="0"/>
                <w:color w:val="auto"/>
                <w:spacing w:val="0"/>
                <w:sz w:val="24"/>
                <w:szCs w:val="24"/>
                <w:lang w:val="en-US" w:eastAsia="zh-CN"/>
              </w:rPr>
              <w:t>级、II级、III级危险废物贮存时间分别不超过30天、60天、90天，最大贮存量不得超过1吨。</w:t>
            </w:r>
          </w:p>
          <w:p w14:paraId="089C0D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同时，本项目危废堆场由专业人员操作、单独收集、贮运，严格执行《危险废物转移联单管理办法》，并制定好危险废物转移运输途中的污染防范及事故应急措施，严格按照要求办理相关手续。</w:t>
            </w:r>
          </w:p>
          <w:p w14:paraId="74361774">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2"/>
                <w:sz w:val="21"/>
                <w:szCs w:val="22"/>
                <w:lang w:val="en-US" w:eastAsia="zh-CN" w:bidi="ar-SA"/>
              </w:rPr>
            </w:pPr>
            <w:r>
              <w:rPr>
                <w:rFonts w:hint="default" w:ascii="Times New Roman" w:hAnsi="Times New Roman" w:eastAsia="宋体" w:cs="Times New Roman"/>
                <w:b/>
                <w:smallCaps w:val="0"/>
                <w:color w:val="auto"/>
                <w:spacing w:val="0"/>
                <w:kern w:val="2"/>
                <w:sz w:val="21"/>
                <w:szCs w:val="22"/>
                <w:lang w:val="en-US" w:eastAsia="zh-CN" w:bidi="ar-SA"/>
              </w:rPr>
              <w:t>表4-17项目建成后全厂危险废物贮存场所（设施）基本情况表</w:t>
            </w:r>
          </w:p>
          <w:tbl>
            <w:tblPr>
              <w:tblStyle w:val="17"/>
              <w:tblW w:w="4995"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230"/>
              <w:gridCol w:w="795"/>
              <w:gridCol w:w="1197"/>
              <w:gridCol w:w="868"/>
              <w:gridCol w:w="757"/>
              <w:gridCol w:w="779"/>
              <w:gridCol w:w="835"/>
              <w:gridCol w:w="835"/>
            </w:tblGrid>
            <w:tr w14:paraId="2C733BB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tcBorders>
                    <w:tl2br w:val="nil"/>
                    <w:tr2bl w:val="nil"/>
                  </w:tcBorders>
                  <w:noWrap w:val="0"/>
                  <w:vAlign w:val="center"/>
                </w:tcPr>
                <w:p w14:paraId="01670481">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贮存场所（设施）名称</w:t>
                  </w:r>
                </w:p>
              </w:tc>
              <w:tc>
                <w:tcPr>
                  <w:tcW w:w="741" w:type="pct"/>
                  <w:tcBorders>
                    <w:tl2br w:val="nil"/>
                    <w:tr2bl w:val="nil"/>
                  </w:tcBorders>
                  <w:noWrap w:val="0"/>
                  <w:vAlign w:val="center"/>
                </w:tcPr>
                <w:p w14:paraId="1B3E379B">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危险废物名称</w:t>
                  </w:r>
                </w:p>
              </w:tc>
              <w:tc>
                <w:tcPr>
                  <w:tcW w:w="479" w:type="pct"/>
                  <w:tcBorders>
                    <w:tl2br w:val="nil"/>
                    <w:tr2bl w:val="nil"/>
                  </w:tcBorders>
                  <w:noWrap w:val="0"/>
                  <w:vAlign w:val="center"/>
                </w:tcPr>
                <w:p w14:paraId="71A7729B">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危险废物类别</w:t>
                  </w:r>
                </w:p>
              </w:tc>
              <w:tc>
                <w:tcPr>
                  <w:tcW w:w="721" w:type="pct"/>
                  <w:tcBorders>
                    <w:tl2br w:val="nil"/>
                    <w:tr2bl w:val="nil"/>
                  </w:tcBorders>
                  <w:noWrap w:val="0"/>
                  <w:vAlign w:val="center"/>
                </w:tcPr>
                <w:p w14:paraId="157FF7A2">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危险废物代码</w:t>
                  </w:r>
                </w:p>
              </w:tc>
              <w:tc>
                <w:tcPr>
                  <w:tcW w:w="523" w:type="pct"/>
                  <w:tcBorders>
                    <w:tl2br w:val="nil"/>
                    <w:tr2bl w:val="nil"/>
                  </w:tcBorders>
                  <w:noWrap w:val="0"/>
                  <w:vAlign w:val="center"/>
                </w:tcPr>
                <w:p w14:paraId="4A93735C">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有效储存面积</w:t>
                  </w:r>
                </w:p>
                <w:p w14:paraId="39A52484">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（m</w:t>
                  </w:r>
                  <w:r>
                    <w:rPr>
                      <w:rFonts w:hint="default" w:ascii="Times New Roman" w:hAnsi="Times New Roman" w:eastAsia="宋体" w:cs="Times New Roman"/>
                      <w:smallCaps w:val="0"/>
                      <w:color w:val="auto"/>
                      <w:spacing w:val="0"/>
                      <w:szCs w:val="21"/>
                      <w:vertAlign w:val="superscript"/>
                    </w:rPr>
                    <w:t>2</w:t>
                  </w:r>
                  <w:r>
                    <w:rPr>
                      <w:rFonts w:hint="default" w:ascii="Times New Roman" w:hAnsi="Times New Roman" w:eastAsia="宋体" w:cs="Times New Roman"/>
                      <w:smallCaps w:val="0"/>
                      <w:color w:val="auto"/>
                      <w:spacing w:val="0"/>
                      <w:szCs w:val="21"/>
                    </w:rPr>
                    <w:t>）</w:t>
                  </w:r>
                </w:p>
              </w:tc>
              <w:tc>
                <w:tcPr>
                  <w:tcW w:w="456" w:type="pct"/>
                  <w:tcBorders>
                    <w:tl2br w:val="nil"/>
                    <w:tr2bl w:val="nil"/>
                  </w:tcBorders>
                  <w:noWrap w:val="0"/>
                  <w:vAlign w:val="center"/>
                </w:tcPr>
                <w:p w14:paraId="2FB2EF72">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贮存方式</w:t>
                  </w:r>
                </w:p>
              </w:tc>
              <w:tc>
                <w:tcPr>
                  <w:tcW w:w="469" w:type="pct"/>
                  <w:tcBorders>
                    <w:tl2br w:val="nil"/>
                    <w:tr2bl w:val="nil"/>
                  </w:tcBorders>
                  <w:noWrap w:val="0"/>
                  <w:vAlign w:val="center"/>
                </w:tcPr>
                <w:p w14:paraId="14D72FBA">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贮存能力（t）</w:t>
                  </w:r>
                </w:p>
              </w:tc>
              <w:tc>
                <w:tcPr>
                  <w:tcW w:w="503" w:type="pct"/>
                  <w:tcBorders>
                    <w:tl2br w:val="nil"/>
                    <w:tr2bl w:val="nil"/>
                  </w:tcBorders>
                  <w:noWrap w:val="0"/>
                  <w:vAlign w:val="center"/>
                </w:tcPr>
                <w:p w14:paraId="4A407853">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szCs w:val="21"/>
                      <w:lang w:val="en-US" w:eastAsia="zh-CN"/>
                    </w:rPr>
                    <w:t>危险废物等级</w:t>
                  </w:r>
                </w:p>
              </w:tc>
              <w:tc>
                <w:tcPr>
                  <w:tcW w:w="503" w:type="pct"/>
                  <w:tcBorders>
                    <w:tl2br w:val="nil"/>
                    <w:tr2bl w:val="nil"/>
                  </w:tcBorders>
                  <w:noWrap w:val="0"/>
                  <w:vAlign w:val="center"/>
                </w:tcPr>
                <w:p w14:paraId="29F7EA26">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贮存</w:t>
                  </w:r>
                </w:p>
                <w:p w14:paraId="3A3C41E8">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rPr>
                    <w:t>周期</w:t>
                  </w:r>
                </w:p>
              </w:tc>
            </w:tr>
            <w:tr w14:paraId="3551A2E8">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vMerge w:val="restart"/>
                  <w:tcBorders>
                    <w:tl2br w:val="nil"/>
                    <w:tr2bl w:val="nil"/>
                  </w:tcBorders>
                  <w:noWrap w:val="0"/>
                  <w:vAlign w:val="center"/>
                </w:tcPr>
                <w:p w14:paraId="2742B3A3">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szCs w:val="21"/>
                    </w:rPr>
                    <w:t>危废仓库</w:t>
                  </w:r>
                </w:p>
              </w:tc>
              <w:tc>
                <w:tcPr>
                  <w:tcW w:w="741" w:type="pct"/>
                  <w:tcBorders>
                    <w:tl2br w:val="nil"/>
                    <w:tr2bl w:val="nil"/>
                  </w:tcBorders>
                  <w:shd w:val="clear" w:color="auto" w:fill="auto"/>
                  <w:noWrap w:val="0"/>
                  <w:vAlign w:val="center"/>
                </w:tcPr>
                <w:p w14:paraId="70EC35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废液压油</w:t>
                  </w:r>
                </w:p>
              </w:tc>
              <w:tc>
                <w:tcPr>
                  <w:tcW w:w="479" w:type="pct"/>
                  <w:tcBorders>
                    <w:tl2br w:val="nil"/>
                    <w:tr2bl w:val="nil"/>
                  </w:tcBorders>
                  <w:shd w:val="clear" w:color="auto" w:fill="auto"/>
                  <w:noWrap w:val="0"/>
                  <w:vAlign w:val="center"/>
                </w:tcPr>
                <w:p w14:paraId="2894FDEB">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HW08</w:t>
                  </w:r>
                </w:p>
              </w:tc>
              <w:tc>
                <w:tcPr>
                  <w:tcW w:w="721" w:type="pct"/>
                  <w:tcBorders>
                    <w:tl2br w:val="nil"/>
                    <w:tr2bl w:val="nil"/>
                  </w:tcBorders>
                  <w:shd w:val="clear" w:color="auto" w:fill="auto"/>
                  <w:noWrap w:val="0"/>
                  <w:vAlign w:val="center"/>
                </w:tcPr>
                <w:p w14:paraId="6E6A6F6E">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900-21</w:t>
                  </w:r>
                  <w:r>
                    <w:rPr>
                      <w:rFonts w:hint="eastAsia" w:ascii="Times New Roman" w:hAnsi="Times New Roman" w:eastAsia="宋体" w:cs="Times New Roman"/>
                      <w:smallCaps w:val="0"/>
                      <w:color w:val="auto"/>
                      <w:spacing w:val="0"/>
                      <w:szCs w:val="21"/>
                      <w:lang w:val="en-US" w:eastAsia="zh-CN"/>
                    </w:rPr>
                    <w:t>8</w:t>
                  </w:r>
                  <w:r>
                    <w:rPr>
                      <w:rFonts w:hint="default" w:ascii="Times New Roman" w:hAnsi="Times New Roman" w:eastAsia="宋体" w:cs="Times New Roman"/>
                      <w:smallCaps w:val="0"/>
                      <w:color w:val="auto"/>
                      <w:spacing w:val="0"/>
                      <w:szCs w:val="21"/>
                      <w:lang w:val="en-US" w:eastAsia="zh-CN"/>
                    </w:rPr>
                    <w:t>-08</w:t>
                  </w:r>
                </w:p>
              </w:tc>
              <w:tc>
                <w:tcPr>
                  <w:tcW w:w="523" w:type="pct"/>
                  <w:tcBorders>
                    <w:tl2br w:val="nil"/>
                    <w:tr2bl w:val="nil"/>
                  </w:tcBorders>
                  <w:noWrap w:val="0"/>
                  <w:vAlign w:val="center"/>
                </w:tcPr>
                <w:p w14:paraId="632B9E36">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szCs w:val="21"/>
                      <w:lang w:val="en-US" w:eastAsia="zh-CN"/>
                    </w:rPr>
                    <w:t>1</w:t>
                  </w:r>
                </w:p>
              </w:tc>
              <w:tc>
                <w:tcPr>
                  <w:tcW w:w="456" w:type="pct"/>
                  <w:tcBorders>
                    <w:tl2br w:val="nil"/>
                    <w:tr2bl w:val="nil"/>
                  </w:tcBorders>
                  <w:noWrap w:val="0"/>
                  <w:vAlign w:val="center"/>
                </w:tcPr>
                <w:p w14:paraId="3738F05D">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szCs w:val="21"/>
                      <w:lang w:val="en-US" w:eastAsia="zh-CN"/>
                    </w:rPr>
                    <w:t>桶装</w:t>
                  </w:r>
                </w:p>
              </w:tc>
              <w:tc>
                <w:tcPr>
                  <w:tcW w:w="469" w:type="pct"/>
                  <w:tcBorders>
                    <w:tl2br w:val="nil"/>
                    <w:tr2bl w:val="nil"/>
                  </w:tcBorders>
                  <w:noWrap w:val="0"/>
                  <w:vAlign w:val="center"/>
                </w:tcPr>
                <w:p w14:paraId="513354D9">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1</w:t>
                  </w:r>
                </w:p>
              </w:tc>
              <w:tc>
                <w:tcPr>
                  <w:tcW w:w="503" w:type="pct"/>
                  <w:tcBorders>
                    <w:tl2br w:val="nil"/>
                    <w:tr2bl w:val="nil"/>
                  </w:tcBorders>
                  <w:shd w:val="clear" w:color="auto" w:fill="auto"/>
                  <w:noWrap w:val="0"/>
                  <w:vAlign w:val="center"/>
                </w:tcPr>
                <w:p w14:paraId="5DD5E02F">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rPr>
                    <w:fldChar w:fldCharType="begin"/>
                  </w:r>
                  <w:r>
                    <w:rPr>
                      <w:rFonts w:hint="default" w:ascii="Times New Roman" w:hAnsi="Times New Roman" w:eastAsia="宋体" w:cs="Times New Roman"/>
                      <w:smallCaps w:val="0"/>
                      <w:color w:val="auto"/>
                      <w:spacing w:val="0"/>
                      <w:szCs w:val="21"/>
                    </w:rPr>
                    <w:instrText xml:space="preserve"> = 2 \* ROMAN \* MERGEFORMAT </w:instrText>
                  </w:r>
                  <w:r>
                    <w:rPr>
                      <w:rFonts w:hint="default" w:ascii="Times New Roman" w:hAnsi="Times New Roman" w:eastAsia="宋体" w:cs="Times New Roman"/>
                      <w:smallCaps w:val="0"/>
                      <w:color w:val="auto"/>
                      <w:spacing w:val="0"/>
                      <w:szCs w:val="21"/>
                    </w:rPr>
                    <w:fldChar w:fldCharType="separate"/>
                  </w:r>
                  <w:r>
                    <w:rPr>
                      <w:rFonts w:hint="default" w:ascii="Times New Roman" w:hAnsi="Times New Roman" w:eastAsia="宋体" w:cs="Times New Roman"/>
                      <w:smallCaps w:val="0"/>
                      <w:color w:val="auto"/>
                      <w:spacing w:val="0"/>
                    </w:rPr>
                    <w:t>II</w:t>
                  </w:r>
                  <w:r>
                    <w:rPr>
                      <w:rFonts w:hint="default" w:ascii="Times New Roman" w:hAnsi="Times New Roman" w:eastAsia="宋体" w:cs="Times New Roman"/>
                      <w:smallCaps w:val="0"/>
                      <w:color w:val="auto"/>
                      <w:spacing w:val="0"/>
                      <w:szCs w:val="21"/>
                    </w:rPr>
                    <w:fldChar w:fldCharType="end"/>
                  </w:r>
                </w:p>
              </w:tc>
              <w:tc>
                <w:tcPr>
                  <w:tcW w:w="503" w:type="pct"/>
                  <w:tcBorders>
                    <w:tl2br w:val="nil"/>
                    <w:tr2bl w:val="nil"/>
                  </w:tcBorders>
                  <w:shd w:val="clear" w:color="auto" w:fill="auto"/>
                  <w:noWrap w:val="0"/>
                  <w:vAlign w:val="center"/>
                </w:tcPr>
                <w:p w14:paraId="6BD61DE1">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2个月</w:t>
                  </w:r>
                </w:p>
              </w:tc>
            </w:tr>
            <w:tr w14:paraId="69E9E52C">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vMerge w:val="continue"/>
                  <w:tcBorders>
                    <w:tl2br w:val="nil"/>
                    <w:tr2bl w:val="nil"/>
                  </w:tcBorders>
                  <w:noWrap w:val="0"/>
                  <w:vAlign w:val="center"/>
                </w:tcPr>
                <w:p w14:paraId="5F39CF31">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p>
              </w:tc>
              <w:tc>
                <w:tcPr>
                  <w:tcW w:w="741" w:type="pct"/>
                  <w:tcBorders>
                    <w:tl2br w:val="nil"/>
                    <w:tr2bl w:val="nil"/>
                  </w:tcBorders>
                  <w:shd w:val="clear" w:color="auto" w:fill="auto"/>
                  <w:noWrap w:val="0"/>
                  <w:vAlign w:val="center"/>
                </w:tcPr>
                <w:p w14:paraId="3E21F0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清洗废液</w:t>
                  </w:r>
                </w:p>
              </w:tc>
              <w:tc>
                <w:tcPr>
                  <w:tcW w:w="479" w:type="pct"/>
                  <w:tcBorders>
                    <w:tl2br w:val="nil"/>
                    <w:tr2bl w:val="nil"/>
                  </w:tcBorders>
                  <w:shd w:val="clear" w:color="auto" w:fill="auto"/>
                  <w:noWrap w:val="0"/>
                  <w:vAlign w:val="center"/>
                </w:tcPr>
                <w:p w14:paraId="6A41B39F">
                  <w:pPr>
                    <w:pStyle w:val="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HW17</w:t>
                  </w:r>
                </w:p>
              </w:tc>
              <w:tc>
                <w:tcPr>
                  <w:tcW w:w="721" w:type="pct"/>
                  <w:tcBorders>
                    <w:tl2br w:val="nil"/>
                    <w:tr2bl w:val="nil"/>
                  </w:tcBorders>
                  <w:shd w:val="clear" w:color="auto" w:fill="auto"/>
                  <w:noWrap w:val="0"/>
                  <w:vAlign w:val="center"/>
                </w:tcPr>
                <w:p w14:paraId="17EC9FEC">
                  <w:pPr>
                    <w:pStyle w:val="45"/>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336-064-17</w:t>
                  </w:r>
                </w:p>
              </w:tc>
              <w:tc>
                <w:tcPr>
                  <w:tcW w:w="523" w:type="pct"/>
                  <w:tcBorders>
                    <w:tl2br w:val="nil"/>
                    <w:tr2bl w:val="nil"/>
                  </w:tcBorders>
                  <w:noWrap w:val="0"/>
                  <w:vAlign w:val="center"/>
                </w:tcPr>
                <w:p w14:paraId="641A1A49">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szCs w:val="21"/>
                      <w:lang w:val="en-US" w:eastAsia="zh-CN"/>
                    </w:rPr>
                    <w:t>2</w:t>
                  </w:r>
                </w:p>
              </w:tc>
              <w:tc>
                <w:tcPr>
                  <w:tcW w:w="456" w:type="pct"/>
                  <w:tcBorders>
                    <w:tl2br w:val="nil"/>
                    <w:tr2bl w:val="nil"/>
                  </w:tcBorders>
                  <w:shd w:val="clear" w:color="auto" w:fill="auto"/>
                  <w:noWrap w:val="0"/>
                  <w:vAlign w:val="center"/>
                </w:tcPr>
                <w:p w14:paraId="4D5B290F">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桶装</w:t>
                  </w:r>
                </w:p>
              </w:tc>
              <w:tc>
                <w:tcPr>
                  <w:tcW w:w="469" w:type="pct"/>
                  <w:tcBorders>
                    <w:tl2br w:val="nil"/>
                    <w:tr2bl w:val="nil"/>
                  </w:tcBorders>
                  <w:shd w:val="clear" w:color="auto" w:fill="auto"/>
                  <w:noWrap w:val="0"/>
                  <w:vAlign w:val="center"/>
                </w:tcPr>
                <w:p w14:paraId="359F30F9">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1</w:t>
                  </w:r>
                </w:p>
              </w:tc>
              <w:tc>
                <w:tcPr>
                  <w:tcW w:w="503" w:type="pct"/>
                  <w:tcBorders>
                    <w:tl2br w:val="nil"/>
                    <w:tr2bl w:val="nil"/>
                  </w:tcBorders>
                  <w:shd w:val="clear" w:color="auto" w:fill="auto"/>
                  <w:noWrap w:val="0"/>
                  <w:vAlign w:val="center"/>
                </w:tcPr>
                <w:p w14:paraId="7109D7B8">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rPr>
                    <w:fldChar w:fldCharType="begin"/>
                  </w:r>
                  <w:r>
                    <w:rPr>
                      <w:rFonts w:hint="default" w:ascii="Times New Roman" w:hAnsi="Times New Roman" w:eastAsia="宋体" w:cs="Times New Roman"/>
                      <w:smallCaps w:val="0"/>
                      <w:color w:val="auto"/>
                      <w:spacing w:val="0"/>
                      <w:szCs w:val="21"/>
                    </w:rPr>
                    <w:instrText xml:space="preserve"> = 3 \* ROMAN \* MERGEFORMAT </w:instrText>
                  </w:r>
                  <w:r>
                    <w:rPr>
                      <w:rFonts w:hint="default" w:ascii="Times New Roman" w:hAnsi="Times New Roman" w:eastAsia="宋体" w:cs="Times New Roman"/>
                      <w:smallCaps w:val="0"/>
                      <w:color w:val="auto"/>
                      <w:spacing w:val="0"/>
                      <w:szCs w:val="21"/>
                    </w:rPr>
                    <w:fldChar w:fldCharType="separate"/>
                  </w:r>
                  <w:r>
                    <w:rPr>
                      <w:rFonts w:hint="default" w:ascii="Times New Roman" w:hAnsi="Times New Roman" w:eastAsia="宋体" w:cs="Times New Roman"/>
                      <w:smallCaps w:val="0"/>
                      <w:color w:val="auto"/>
                      <w:spacing w:val="0"/>
                    </w:rPr>
                    <w:t>III</w:t>
                  </w:r>
                  <w:r>
                    <w:rPr>
                      <w:rFonts w:hint="default" w:ascii="Times New Roman" w:hAnsi="Times New Roman" w:eastAsia="宋体" w:cs="Times New Roman"/>
                      <w:smallCaps w:val="0"/>
                      <w:color w:val="auto"/>
                      <w:spacing w:val="0"/>
                      <w:szCs w:val="21"/>
                    </w:rPr>
                    <w:fldChar w:fldCharType="end"/>
                  </w:r>
                </w:p>
              </w:tc>
              <w:tc>
                <w:tcPr>
                  <w:tcW w:w="503" w:type="pct"/>
                  <w:tcBorders>
                    <w:tl2br w:val="nil"/>
                    <w:tr2bl w:val="nil"/>
                  </w:tcBorders>
                  <w:shd w:val="clear" w:color="auto" w:fill="auto"/>
                  <w:noWrap w:val="0"/>
                  <w:vAlign w:val="center"/>
                </w:tcPr>
                <w:p w14:paraId="6507CAEC">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3个月</w:t>
                  </w:r>
                </w:p>
              </w:tc>
            </w:tr>
            <w:tr w14:paraId="1D88A5E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vMerge w:val="continue"/>
                  <w:tcBorders>
                    <w:tl2br w:val="nil"/>
                    <w:tr2bl w:val="nil"/>
                  </w:tcBorders>
                  <w:noWrap w:val="0"/>
                  <w:vAlign w:val="center"/>
                </w:tcPr>
                <w:p w14:paraId="3066B9FF">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p>
              </w:tc>
              <w:tc>
                <w:tcPr>
                  <w:tcW w:w="741" w:type="pct"/>
                  <w:tcBorders>
                    <w:tl2br w:val="nil"/>
                    <w:tr2bl w:val="nil"/>
                  </w:tcBorders>
                  <w:shd w:val="clear" w:color="auto" w:fill="auto"/>
                  <w:noWrap w:val="0"/>
                  <w:vAlign w:val="center"/>
                </w:tcPr>
                <w:p w14:paraId="37896E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废包装桶</w:t>
                  </w:r>
                </w:p>
              </w:tc>
              <w:tc>
                <w:tcPr>
                  <w:tcW w:w="479" w:type="pct"/>
                  <w:tcBorders>
                    <w:tl2br w:val="nil"/>
                    <w:tr2bl w:val="nil"/>
                  </w:tcBorders>
                  <w:shd w:val="clear" w:color="auto" w:fill="auto"/>
                  <w:noWrap w:val="0"/>
                  <w:vAlign w:val="center"/>
                </w:tcPr>
                <w:p w14:paraId="7DBBF812">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HW49</w:t>
                  </w:r>
                </w:p>
              </w:tc>
              <w:tc>
                <w:tcPr>
                  <w:tcW w:w="721" w:type="pct"/>
                  <w:tcBorders>
                    <w:tl2br w:val="nil"/>
                    <w:tr2bl w:val="nil"/>
                  </w:tcBorders>
                  <w:shd w:val="clear" w:color="auto" w:fill="auto"/>
                  <w:noWrap w:val="0"/>
                  <w:vAlign w:val="center"/>
                </w:tcPr>
                <w:p w14:paraId="6F6C5663">
                  <w:pPr>
                    <w:adjustRightInd w:val="0"/>
                    <w:snapToGrid w:val="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900-041-49</w:t>
                  </w:r>
                </w:p>
              </w:tc>
              <w:tc>
                <w:tcPr>
                  <w:tcW w:w="523" w:type="pct"/>
                  <w:tcBorders>
                    <w:tl2br w:val="nil"/>
                    <w:tr2bl w:val="nil"/>
                  </w:tcBorders>
                  <w:noWrap w:val="0"/>
                  <w:vAlign w:val="center"/>
                </w:tcPr>
                <w:p w14:paraId="61794A6C">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lang w:val="en-US" w:eastAsia="zh-CN"/>
                    </w:rPr>
                  </w:pPr>
                  <w:r>
                    <w:rPr>
                      <w:rFonts w:hint="default" w:ascii="Times New Roman" w:hAnsi="Times New Roman" w:eastAsia="宋体" w:cs="Times New Roman"/>
                      <w:smallCaps w:val="0"/>
                      <w:color w:val="auto"/>
                      <w:spacing w:val="0"/>
                      <w:szCs w:val="21"/>
                      <w:lang w:val="en-US" w:eastAsia="zh-CN"/>
                    </w:rPr>
                    <w:t>1</w:t>
                  </w:r>
                </w:p>
              </w:tc>
              <w:tc>
                <w:tcPr>
                  <w:tcW w:w="456" w:type="pct"/>
                  <w:tcBorders>
                    <w:tl2br w:val="nil"/>
                    <w:tr2bl w:val="nil"/>
                  </w:tcBorders>
                  <w:noWrap w:val="0"/>
                  <w:vAlign w:val="center"/>
                </w:tcPr>
                <w:p w14:paraId="36B6595F">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szCs w:val="21"/>
                    </w:rPr>
                  </w:pPr>
                  <w:r>
                    <w:rPr>
                      <w:rFonts w:hint="default" w:ascii="Times New Roman" w:hAnsi="Times New Roman" w:eastAsia="宋体" w:cs="Times New Roman"/>
                      <w:smallCaps w:val="0"/>
                      <w:color w:val="auto"/>
                      <w:spacing w:val="0"/>
                      <w:szCs w:val="21"/>
                      <w:lang w:val="en-US" w:eastAsia="zh-CN"/>
                    </w:rPr>
                    <w:t>堆叠</w:t>
                  </w:r>
                </w:p>
              </w:tc>
              <w:tc>
                <w:tcPr>
                  <w:tcW w:w="469" w:type="pct"/>
                  <w:tcBorders>
                    <w:tl2br w:val="nil"/>
                    <w:tr2bl w:val="nil"/>
                  </w:tcBorders>
                  <w:noWrap w:val="0"/>
                  <w:vAlign w:val="center"/>
                </w:tcPr>
                <w:p w14:paraId="0C71D6A8">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1</w:t>
                  </w:r>
                </w:p>
              </w:tc>
              <w:tc>
                <w:tcPr>
                  <w:tcW w:w="503" w:type="pct"/>
                  <w:tcBorders>
                    <w:tl2br w:val="nil"/>
                    <w:tr2bl w:val="nil"/>
                  </w:tcBorders>
                  <w:shd w:val="clear" w:color="auto" w:fill="auto"/>
                  <w:noWrap w:val="0"/>
                  <w:vAlign w:val="center"/>
                </w:tcPr>
                <w:p w14:paraId="39119201">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rPr>
                    <w:fldChar w:fldCharType="begin"/>
                  </w:r>
                  <w:r>
                    <w:rPr>
                      <w:rFonts w:hint="default" w:ascii="Times New Roman" w:hAnsi="Times New Roman" w:eastAsia="宋体" w:cs="Times New Roman"/>
                      <w:smallCaps w:val="0"/>
                      <w:color w:val="auto"/>
                      <w:spacing w:val="0"/>
                      <w:szCs w:val="21"/>
                    </w:rPr>
                    <w:instrText xml:space="preserve"> = 3 \* ROMAN \* MERGEFORMAT </w:instrText>
                  </w:r>
                  <w:r>
                    <w:rPr>
                      <w:rFonts w:hint="default" w:ascii="Times New Roman" w:hAnsi="Times New Roman" w:eastAsia="宋体" w:cs="Times New Roman"/>
                      <w:smallCaps w:val="0"/>
                      <w:color w:val="auto"/>
                      <w:spacing w:val="0"/>
                      <w:szCs w:val="21"/>
                    </w:rPr>
                    <w:fldChar w:fldCharType="separate"/>
                  </w:r>
                  <w:r>
                    <w:rPr>
                      <w:rFonts w:hint="default" w:ascii="Times New Roman" w:hAnsi="Times New Roman" w:eastAsia="宋体" w:cs="Times New Roman"/>
                      <w:smallCaps w:val="0"/>
                      <w:color w:val="auto"/>
                      <w:spacing w:val="0"/>
                    </w:rPr>
                    <w:t>III</w:t>
                  </w:r>
                  <w:r>
                    <w:rPr>
                      <w:rFonts w:hint="default" w:ascii="Times New Roman" w:hAnsi="Times New Roman" w:eastAsia="宋体" w:cs="Times New Roman"/>
                      <w:smallCaps w:val="0"/>
                      <w:color w:val="auto"/>
                      <w:spacing w:val="0"/>
                      <w:szCs w:val="21"/>
                    </w:rPr>
                    <w:fldChar w:fldCharType="end"/>
                  </w:r>
                </w:p>
              </w:tc>
              <w:tc>
                <w:tcPr>
                  <w:tcW w:w="503" w:type="pct"/>
                  <w:tcBorders>
                    <w:tl2br w:val="nil"/>
                    <w:tr2bl w:val="nil"/>
                  </w:tcBorders>
                  <w:shd w:val="clear" w:color="auto" w:fill="auto"/>
                  <w:noWrap w:val="0"/>
                  <w:vAlign w:val="center"/>
                </w:tcPr>
                <w:p w14:paraId="76C09C89">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szCs w:val="21"/>
                      <w:lang w:val="en-US" w:eastAsia="zh-CN"/>
                    </w:rPr>
                    <w:t>3个月</w:t>
                  </w:r>
                </w:p>
              </w:tc>
            </w:tr>
          </w:tbl>
          <w:p w14:paraId="34F3BB7E">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lang w:val="en-US" w:eastAsia="zh-CN"/>
              </w:rPr>
            </w:pPr>
            <w:r>
              <w:rPr>
                <w:rFonts w:hint="default" w:ascii="Times New Roman" w:hAnsi="Times New Roman" w:eastAsia="宋体" w:cs="Times New Roman"/>
                <w:smallCaps w:val="0"/>
                <w:color w:val="auto"/>
                <w:spacing w:val="0"/>
                <w:sz w:val="24"/>
                <w:szCs w:val="24"/>
                <w:lang w:val="en-US" w:eastAsia="zh-CN"/>
              </w:rPr>
              <w:t>危废仓库所需面积约8m</w:t>
            </w:r>
            <w:r>
              <w:rPr>
                <w:rFonts w:hint="default" w:ascii="Times New Roman" w:hAnsi="Times New Roman" w:eastAsia="宋体" w:cs="Times New Roman"/>
                <w:smallCaps w:val="0"/>
                <w:color w:val="auto"/>
                <w:spacing w:val="0"/>
                <w:sz w:val="24"/>
                <w:szCs w:val="24"/>
                <w:vertAlign w:val="superscript"/>
                <w:lang w:val="en-US" w:eastAsia="zh-CN"/>
              </w:rPr>
              <w:t>2</w:t>
            </w:r>
            <w:r>
              <w:rPr>
                <w:rFonts w:hint="default" w:ascii="Times New Roman" w:hAnsi="Times New Roman" w:eastAsia="宋体" w:cs="Times New Roman"/>
                <w:smallCaps w:val="0"/>
                <w:color w:val="auto"/>
                <w:spacing w:val="0"/>
                <w:sz w:val="24"/>
                <w:szCs w:val="24"/>
                <w:lang w:val="en-US" w:eastAsia="zh-CN"/>
              </w:rPr>
              <w:t>（&lt;10m</w:t>
            </w:r>
            <w:r>
              <w:rPr>
                <w:rFonts w:hint="default" w:ascii="Times New Roman" w:hAnsi="Times New Roman" w:eastAsia="宋体" w:cs="Times New Roman"/>
                <w:smallCaps w:val="0"/>
                <w:color w:val="auto"/>
                <w:spacing w:val="0"/>
                <w:sz w:val="24"/>
                <w:szCs w:val="24"/>
                <w:vertAlign w:val="superscript"/>
                <w:lang w:val="en-US" w:eastAsia="zh-CN"/>
              </w:rPr>
              <w:t>2</w:t>
            </w:r>
            <w:r>
              <w:rPr>
                <w:rFonts w:hint="default" w:ascii="Times New Roman" w:hAnsi="Times New Roman" w:eastAsia="宋体" w:cs="Times New Roman"/>
                <w:smallCaps w:val="0"/>
                <w:color w:val="auto"/>
                <w:spacing w:val="0"/>
                <w:sz w:val="24"/>
                <w:szCs w:val="24"/>
                <w:lang w:val="en-US" w:eastAsia="zh-CN"/>
              </w:rPr>
              <w:t>），故危废堆场贮存容量可满足危废的贮存要求。</w:t>
            </w:r>
          </w:p>
          <w:p w14:paraId="073B842E">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 w:val="0"/>
                <w:bCs/>
                <w:smallCaps w:val="0"/>
                <w:color w:val="auto"/>
                <w:spacing w:val="0"/>
                <w:sz w:val="24"/>
                <w:szCs w:val="24"/>
                <w:lang w:val="en-US" w:eastAsia="zh-CN"/>
              </w:rPr>
            </w:pPr>
            <w:r>
              <w:rPr>
                <w:rFonts w:hint="default" w:ascii="Times New Roman" w:hAnsi="Times New Roman" w:eastAsia="宋体" w:cs="Times New Roman"/>
                <w:b w:val="0"/>
                <w:bCs/>
                <w:smallCaps w:val="0"/>
                <w:color w:val="auto"/>
                <w:spacing w:val="0"/>
                <w:sz w:val="24"/>
                <w:szCs w:val="24"/>
                <w:lang w:val="en-US" w:eastAsia="zh-CN"/>
              </w:rPr>
              <w:t>全厂一般固废金属边角料、焊渣</w:t>
            </w:r>
            <w:r>
              <w:rPr>
                <w:rFonts w:hint="eastAsia" w:cs="Times New Roman"/>
                <w:b w:val="0"/>
                <w:bCs/>
                <w:smallCaps w:val="0"/>
                <w:color w:val="auto"/>
                <w:spacing w:val="0"/>
                <w:sz w:val="24"/>
                <w:szCs w:val="24"/>
                <w:lang w:val="en-US" w:eastAsia="zh-CN"/>
              </w:rPr>
              <w:t>和切割集尘</w:t>
            </w:r>
            <w:r>
              <w:rPr>
                <w:rFonts w:hint="default" w:ascii="Times New Roman" w:hAnsi="Times New Roman" w:eastAsia="宋体" w:cs="Times New Roman"/>
                <w:b w:val="0"/>
                <w:bCs/>
                <w:smallCaps w:val="0"/>
                <w:color w:val="auto"/>
                <w:spacing w:val="0"/>
                <w:sz w:val="24"/>
                <w:szCs w:val="24"/>
                <w:lang w:val="en-US" w:eastAsia="zh-CN"/>
              </w:rPr>
              <w:t>外售综合利用</w:t>
            </w:r>
            <w:r>
              <w:rPr>
                <w:rFonts w:hint="default" w:ascii="Times New Roman" w:hAnsi="Times New Roman" w:eastAsia="宋体" w:cs="Times New Roman"/>
                <w:smallCaps w:val="0"/>
                <w:color w:val="auto"/>
                <w:spacing w:val="0"/>
                <w:sz w:val="24"/>
                <w:lang w:eastAsia="zh-CN"/>
              </w:rPr>
              <w:t>，</w:t>
            </w:r>
            <w:r>
              <w:rPr>
                <w:rFonts w:hint="default" w:ascii="Times New Roman" w:hAnsi="Times New Roman" w:eastAsia="宋体" w:cs="Times New Roman"/>
                <w:smallCaps w:val="0"/>
                <w:color w:val="auto"/>
                <w:spacing w:val="0"/>
                <w:sz w:val="24"/>
                <w:szCs w:val="24"/>
                <w:lang w:val="en-US" w:eastAsia="zh-CN"/>
              </w:rPr>
              <w:t>各类固废分类收集，</w:t>
            </w:r>
            <w:r>
              <w:rPr>
                <w:rFonts w:hint="default" w:ascii="Times New Roman" w:hAnsi="Times New Roman" w:eastAsia="宋体" w:cs="Times New Roman"/>
                <w:b w:val="0"/>
                <w:bCs/>
                <w:smallCaps w:val="0"/>
                <w:color w:val="auto"/>
                <w:spacing w:val="0"/>
                <w:sz w:val="24"/>
                <w:szCs w:val="24"/>
                <w:lang w:val="en-US" w:eastAsia="zh-CN"/>
              </w:rPr>
              <w:t>一般固废金属边角料、焊渣</w:t>
            </w:r>
            <w:r>
              <w:rPr>
                <w:rFonts w:hint="eastAsia" w:cs="Times New Roman"/>
                <w:b w:val="0"/>
                <w:bCs/>
                <w:smallCaps w:val="0"/>
                <w:color w:val="auto"/>
                <w:spacing w:val="0"/>
                <w:sz w:val="24"/>
                <w:szCs w:val="24"/>
                <w:lang w:val="en-US" w:eastAsia="zh-CN"/>
              </w:rPr>
              <w:t>和切割集尘</w:t>
            </w:r>
            <w:r>
              <w:rPr>
                <w:rFonts w:hint="default" w:ascii="Times New Roman" w:hAnsi="Times New Roman" w:eastAsia="宋体" w:cs="Times New Roman"/>
                <w:smallCaps w:val="0"/>
                <w:color w:val="auto"/>
                <w:spacing w:val="0"/>
                <w:sz w:val="24"/>
                <w:lang w:val="en-US" w:eastAsia="zh-CN"/>
              </w:rPr>
              <w:t>所需面积均为</w:t>
            </w:r>
            <w:r>
              <w:rPr>
                <w:rFonts w:hint="default" w:ascii="Times New Roman" w:hAnsi="Times New Roman" w:eastAsia="宋体" w:cs="Times New Roman"/>
                <w:smallCaps w:val="0"/>
                <w:color w:val="auto"/>
                <w:spacing w:val="0"/>
                <w:sz w:val="24"/>
                <w:vertAlign w:val="baseline"/>
                <w:lang w:val="en-US" w:eastAsia="zh-CN"/>
              </w:rPr>
              <w:t>1</w:t>
            </w:r>
            <w:r>
              <w:rPr>
                <w:rFonts w:hint="default" w:ascii="Times New Roman" w:hAnsi="Times New Roman" w:eastAsia="宋体" w:cs="Times New Roman"/>
                <w:smallCaps w:val="0"/>
                <w:color w:val="auto"/>
                <w:spacing w:val="0"/>
                <w:sz w:val="24"/>
                <w:lang w:val="en-US" w:eastAsia="zh-CN"/>
              </w:rPr>
              <w:t>m</w:t>
            </w:r>
            <w:r>
              <w:rPr>
                <w:rFonts w:hint="default" w:ascii="Times New Roman" w:hAnsi="Times New Roman" w:eastAsia="宋体" w:cs="Times New Roman"/>
                <w:smallCaps w:val="0"/>
                <w:color w:val="auto"/>
                <w:spacing w:val="0"/>
                <w:sz w:val="24"/>
                <w:vertAlign w:val="superscript"/>
                <w:lang w:val="en-US" w:eastAsia="zh-CN"/>
              </w:rPr>
              <w:t>2</w:t>
            </w:r>
            <w:r>
              <w:rPr>
                <w:rFonts w:hint="default" w:ascii="Times New Roman" w:hAnsi="Times New Roman" w:eastAsia="宋体" w:cs="Times New Roman"/>
                <w:smallCaps w:val="0"/>
                <w:color w:val="auto"/>
                <w:spacing w:val="0"/>
                <w:sz w:val="24"/>
                <w:lang w:val="en-US" w:eastAsia="zh-CN"/>
              </w:rPr>
              <w:t>，一般固废仓库5m</w:t>
            </w:r>
            <w:r>
              <w:rPr>
                <w:rFonts w:hint="default" w:ascii="Times New Roman" w:hAnsi="Times New Roman" w:eastAsia="宋体" w:cs="Times New Roman"/>
                <w:smallCaps w:val="0"/>
                <w:color w:val="auto"/>
                <w:spacing w:val="0"/>
                <w:sz w:val="24"/>
                <w:vertAlign w:val="superscript"/>
                <w:lang w:val="en-US" w:eastAsia="zh-CN"/>
              </w:rPr>
              <w:t>2</w:t>
            </w:r>
            <w:r>
              <w:rPr>
                <w:rFonts w:hint="default" w:ascii="Times New Roman" w:hAnsi="Times New Roman" w:eastAsia="宋体" w:cs="Times New Roman"/>
                <w:smallCaps w:val="0"/>
                <w:color w:val="auto"/>
                <w:spacing w:val="0"/>
                <w:sz w:val="24"/>
                <w:lang w:val="en-US" w:eastAsia="zh-CN"/>
              </w:rPr>
              <w:t>，有效堆存面积4m</w:t>
            </w:r>
            <w:r>
              <w:rPr>
                <w:rFonts w:hint="default" w:ascii="Times New Roman" w:hAnsi="Times New Roman" w:eastAsia="宋体" w:cs="Times New Roman"/>
                <w:smallCaps w:val="0"/>
                <w:color w:val="auto"/>
                <w:spacing w:val="0"/>
                <w:sz w:val="24"/>
                <w:vertAlign w:val="superscript"/>
                <w:lang w:val="en-US" w:eastAsia="zh-CN"/>
              </w:rPr>
              <w:t>2</w:t>
            </w:r>
            <w:r>
              <w:rPr>
                <w:rFonts w:hint="default" w:ascii="Times New Roman" w:hAnsi="Times New Roman" w:eastAsia="宋体" w:cs="Times New Roman"/>
                <w:smallCaps w:val="0"/>
                <w:color w:val="auto"/>
                <w:spacing w:val="0"/>
                <w:sz w:val="24"/>
                <w:lang w:val="en-US" w:eastAsia="zh-CN"/>
              </w:rPr>
              <w:t>，故</w:t>
            </w:r>
            <w:r>
              <w:rPr>
                <w:rFonts w:hint="default" w:ascii="Times New Roman" w:hAnsi="Times New Roman" w:eastAsia="宋体" w:cs="Times New Roman"/>
                <w:smallCaps w:val="0"/>
                <w:color w:val="auto"/>
                <w:spacing w:val="0"/>
                <w:sz w:val="24"/>
                <w:szCs w:val="24"/>
                <w:lang w:val="en-US" w:eastAsia="zh-CN"/>
              </w:rPr>
              <w:t>一般固废堆场贮存容量可满足本项目一般固废的贮存。</w:t>
            </w:r>
          </w:p>
          <w:p w14:paraId="7DA335DD">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sz w:val="24"/>
                <w:szCs w:val="24"/>
                <w:lang w:val="en-US" w:eastAsia="zh-CN"/>
              </w:rPr>
            </w:pPr>
            <w:r>
              <w:rPr>
                <w:rFonts w:hint="default" w:ascii="Times New Roman" w:hAnsi="Times New Roman" w:eastAsia="宋体" w:cs="Times New Roman"/>
                <w:b/>
                <w:smallCaps w:val="0"/>
                <w:color w:val="auto"/>
                <w:spacing w:val="0"/>
                <w:sz w:val="24"/>
                <w:szCs w:val="24"/>
              </w:rPr>
              <w:t>（</w:t>
            </w:r>
            <w:r>
              <w:rPr>
                <w:rFonts w:hint="default" w:ascii="Times New Roman" w:hAnsi="Times New Roman" w:eastAsia="宋体" w:cs="Times New Roman"/>
                <w:b/>
                <w:smallCaps w:val="0"/>
                <w:color w:val="auto"/>
                <w:spacing w:val="0"/>
                <w:sz w:val="24"/>
                <w:szCs w:val="24"/>
                <w:lang w:val="en-US" w:eastAsia="zh-CN"/>
              </w:rPr>
              <w:t>4</w:t>
            </w:r>
            <w:r>
              <w:rPr>
                <w:rFonts w:hint="default" w:ascii="Times New Roman" w:hAnsi="Times New Roman" w:eastAsia="宋体" w:cs="Times New Roman"/>
                <w:b/>
                <w:smallCaps w:val="0"/>
                <w:color w:val="auto"/>
                <w:spacing w:val="0"/>
                <w:sz w:val="24"/>
                <w:szCs w:val="24"/>
              </w:rPr>
              <w:t>）</w:t>
            </w:r>
            <w:r>
              <w:rPr>
                <w:rFonts w:hint="default" w:ascii="Times New Roman" w:hAnsi="Times New Roman" w:eastAsia="宋体" w:cs="Times New Roman"/>
                <w:b/>
                <w:smallCaps w:val="0"/>
                <w:color w:val="auto"/>
                <w:spacing w:val="0"/>
                <w:sz w:val="24"/>
                <w:szCs w:val="24"/>
                <w:lang w:val="en-US" w:eastAsia="zh-CN"/>
              </w:rPr>
              <w:t>一般固体废物环境管理要求</w:t>
            </w:r>
          </w:p>
          <w:p w14:paraId="74E03B8E">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lang w:val="en-US" w:eastAsia="zh-CN"/>
              </w:rPr>
            </w:pPr>
            <w:r>
              <w:rPr>
                <w:rFonts w:hint="default" w:ascii="Times New Roman" w:hAnsi="Times New Roman" w:eastAsia="宋体" w:cs="Times New Roman"/>
                <w:smallCaps w:val="0"/>
                <w:color w:val="auto"/>
                <w:spacing w:val="0"/>
                <w:sz w:val="24"/>
                <w:szCs w:val="24"/>
                <w:lang w:val="en-US" w:eastAsia="zh-CN"/>
              </w:rPr>
              <w:t>项目在厂区内设置了一般工业固废贮存间，面积约5m</w:t>
            </w:r>
            <w:r>
              <w:rPr>
                <w:rFonts w:hint="default" w:ascii="Times New Roman" w:hAnsi="Times New Roman" w:eastAsia="宋体" w:cs="Times New Roman"/>
                <w:smallCaps w:val="0"/>
                <w:color w:val="auto"/>
                <w:spacing w:val="0"/>
                <w:sz w:val="24"/>
                <w:szCs w:val="24"/>
                <w:vertAlign w:val="superscript"/>
                <w:lang w:val="en-US" w:eastAsia="zh-CN"/>
              </w:rPr>
              <w:t>2</w:t>
            </w:r>
            <w:r>
              <w:rPr>
                <w:rFonts w:hint="default" w:ascii="Times New Roman" w:hAnsi="Times New Roman" w:eastAsia="宋体" w:cs="Times New Roman"/>
                <w:smallCaps w:val="0"/>
                <w:color w:val="auto"/>
                <w:spacing w:val="0"/>
                <w:sz w:val="24"/>
                <w:szCs w:val="24"/>
                <w:lang w:val="en-US" w:eastAsia="zh-CN"/>
              </w:rPr>
              <w:t>，一般工业固废贮存间需采取防风防雨措施、各类固废分类收集、装贴环保图形标志；建设单位应严格执行《一般工业固体废物贮存和填埋污染控制标准》（GB18599-2020），金属边角料、焊渣、</w:t>
            </w:r>
            <w:r>
              <w:rPr>
                <w:rFonts w:hint="eastAsia" w:cs="Times New Roman"/>
                <w:smallCaps w:val="0"/>
                <w:color w:val="auto"/>
                <w:spacing w:val="0"/>
                <w:sz w:val="24"/>
                <w:szCs w:val="24"/>
                <w:lang w:val="en-US" w:eastAsia="zh-CN"/>
              </w:rPr>
              <w:t>切割集尘</w:t>
            </w:r>
            <w:r>
              <w:rPr>
                <w:rFonts w:hint="default" w:ascii="Times New Roman" w:hAnsi="Times New Roman" w:eastAsia="宋体" w:cs="Times New Roman"/>
                <w:smallCaps w:val="0"/>
                <w:color w:val="auto"/>
                <w:spacing w:val="0"/>
                <w:sz w:val="24"/>
                <w:szCs w:val="24"/>
                <w:lang w:val="en-US" w:eastAsia="zh-CN"/>
              </w:rPr>
              <w:t>等一般工业固废收集后分别送至一般固废暂存场所进行分类暂存，杜绝混合存放。</w:t>
            </w:r>
          </w:p>
          <w:p w14:paraId="33FE19E9">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lang w:val="en-US" w:eastAsia="zh-CN"/>
              </w:rPr>
              <w:t>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w:t>
            </w:r>
          </w:p>
          <w:p w14:paraId="44F9DE18">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rPr>
            </w:pPr>
            <w:r>
              <w:rPr>
                <w:rFonts w:hint="default" w:ascii="Times New Roman" w:hAnsi="Times New Roman" w:eastAsia="宋体" w:cs="Times New Roman"/>
                <w:smallCaps w:val="0"/>
                <w:color w:val="auto"/>
                <w:spacing w:val="0"/>
                <w:sz w:val="24"/>
                <w:szCs w:val="24"/>
                <w:lang w:val="en-US" w:eastAsia="zh-CN"/>
              </w:rPr>
              <w:t>根据《一般工业固体废物管理台账制定指南（试行）》（生态环境部公告2021年第82号），建设单位应按照该指南中要求建立规范化工业固体废物管理台账，如实记录工业固体废物的种类、数量、流向、贮存、利用、处置等信息，推动企业提升固体废物管理水平。</w:t>
            </w:r>
          </w:p>
          <w:p w14:paraId="32025A94">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sz w:val="24"/>
                <w:szCs w:val="24"/>
              </w:rPr>
            </w:pPr>
            <w:r>
              <w:rPr>
                <w:rFonts w:hint="default" w:ascii="Times New Roman" w:hAnsi="Times New Roman" w:eastAsia="宋体" w:cs="Times New Roman"/>
                <w:b/>
                <w:smallCaps w:val="0"/>
                <w:color w:val="auto"/>
                <w:spacing w:val="0"/>
                <w:sz w:val="24"/>
                <w:szCs w:val="24"/>
              </w:rPr>
              <w:t>（</w:t>
            </w:r>
            <w:r>
              <w:rPr>
                <w:rFonts w:hint="default" w:ascii="Times New Roman" w:hAnsi="Times New Roman" w:eastAsia="宋体" w:cs="Times New Roman"/>
                <w:b/>
                <w:smallCaps w:val="0"/>
                <w:color w:val="auto"/>
                <w:spacing w:val="0"/>
                <w:sz w:val="24"/>
                <w:szCs w:val="24"/>
                <w:lang w:val="en-US" w:eastAsia="zh-CN"/>
              </w:rPr>
              <w:t>5</w:t>
            </w:r>
            <w:r>
              <w:rPr>
                <w:rFonts w:hint="default" w:ascii="Times New Roman" w:hAnsi="Times New Roman" w:eastAsia="宋体" w:cs="Times New Roman"/>
                <w:b/>
                <w:smallCaps w:val="0"/>
                <w:color w:val="auto"/>
                <w:spacing w:val="0"/>
                <w:sz w:val="24"/>
                <w:szCs w:val="24"/>
              </w:rPr>
              <w:t>）危废堆场防治措施</w:t>
            </w:r>
          </w:p>
          <w:p w14:paraId="32DCC8E6">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厂区危废堆场占地面积为</w:t>
            </w:r>
            <w:r>
              <w:rPr>
                <w:rFonts w:hint="default" w:ascii="Times New Roman" w:hAnsi="Times New Roman" w:eastAsia="宋体" w:cs="Times New Roman"/>
                <w:smallCaps w:val="0"/>
                <w:color w:val="auto"/>
                <w:spacing w:val="0"/>
                <w:sz w:val="24"/>
                <w:szCs w:val="24"/>
                <w:lang w:val="en-US" w:eastAsia="zh-CN"/>
              </w:rPr>
              <w:t>10</w:t>
            </w:r>
            <w:r>
              <w:rPr>
                <w:rFonts w:hint="default" w:ascii="Times New Roman" w:hAnsi="Times New Roman" w:eastAsia="宋体" w:cs="Times New Roman"/>
                <w:smallCaps w:val="0"/>
                <w:color w:val="auto"/>
                <w:spacing w:val="0"/>
                <w:sz w:val="24"/>
                <w:szCs w:val="24"/>
              </w:rPr>
              <w:t>m</w:t>
            </w:r>
            <w:r>
              <w:rPr>
                <w:rFonts w:hint="default" w:ascii="Times New Roman" w:hAnsi="Times New Roman" w:eastAsia="宋体" w:cs="Times New Roman"/>
                <w:smallCaps w:val="0"/>
                <w:color w:val="auto"/>
                <w:spacing w:val="0"/>
                <w:sz w:val="24"/>
                <w:szCs w:val="24"/>
                <w:vertAlign w:val="superscript"/>
              </w:rPr>
              <w:t>2</w:t>
            </w:r>
            <w:r>
              <w:rPr>
                <w:rFonts w:hint="default" w:ascii="Times New Roman" w:hAnsi="Times New Roman" w:eastAsia="宋体" w:cs="Times New Roman"/>
                <w:smallCaps w:val="0"/>
                <w:color w:val="auto"/>
                <w:spacing w:val="0"/>
                <w:sz w:val="24"/>
                <w:szCs w:val="24"/>
              </w:rPr>
              <w:t>，</w:t>
            </w:r>
            <w:r>
              <w:rPr>
                <w:rFonts w:hint="default" w:ascii="Times New Roman" w:hAnsi="Times New Roman" w:eastAsia="宋体" w:cs="Times New Roman"/>
                <w:smallCaps w:val="0"/>
                <w:color w:val="auto"/>
                <w:spacing w:val="0"/>
                <w:sz w:val="24"/>
                <w:szCs w:val="24"/>
                <w:lang w:val="en-US" w:eastAsia="zh-CN"/>
              </w:rPr>
              <w:t>主要贮存</w:t>
            </w:r>
            <w:r>
              <w:rPr>
                <w:rFonts w:hint="default" w:ascii="Times New Roman" w:hAnsi="Times New Roman" w:eastAsia="宋体" w:cs="Times New Roman"/>
                <w:smallCaps w:val="0"/>
                <w:color w:val="auto"/>
                <w:spacing w:val="0"/>
                <w:sz w:val="24"/>
                <w:lang w:val="en-US" w:eastAsia="zh-CN"/>
              </w:rPr>
              <w:t>废液压油、清洗废液、废包装桶</w:t>
            </w:r>
            <w:r>
              <w:rPr>
                <w:rFonts w:hint="default" w:ascii="Times New Roman" w:hAnsi="Times New Roman" w:eastAsia="宋体" w:cs="Times New Roman"/>
                <w:smallCaps w:val="0"/>
                <w:color w:val="auto"/>
                <w:spacing w:val="0"/>
                <w:sz w:val="24"/>
                <w:szCs w:val="24"/>
                <w:lang w:val="en-US" w:eastAsia="zh-CN"/>
              </w:rPr>
              <w:t>，</w:t>
            </w:r>
            <w:r>
              <w:rPr>
                <w:rFonts w:hint="default" w:ascii="Times New Roman" w:hAnsi="Times New Roman" w:eastAsia="宋体" w:cs="Times New Roman"/>
                <w:smallCaps w:val="0"/>
                <w:color w:val="auto"/>
                <w:spacing w:val="0"/>
                <w:sz w:val="24"/>
                <w:szCs w:val="24"/>
              </w:rPr>
              <w:t>危险废物贮存场所需落实以下要求：</w:t>
            </w:r>
          </w:p>
          <w:p w14:paraId="718B828C">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①所有危险废物装入容器内，不同种类的危险废物不得混放、混装。盛装危险废物的容器上须粘贴规范化的标签。</w:t>
            </w:r>
          </w:p>
          <w:p w14:paraId="45FE9933">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②危险废物贮存场所地面与裙脚要用坚固、防渗的材料建造，建筑材料必须与危险废物相容。危废仓库地面必须有耐腐蚀的硬化地面，且表面无裂隙。应设计堵截泄漏的裙脚，地面与裙脚所围建的容积不低于堵截最大容器的最大储量或总储量的l/5。危险废物贮存设施内清理出来的泄漏物，一律按危险废物处理。</w:t>
            </w:r>
          </w:p>
          <w:p w14:paraId="7297B205">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③危险废物贮存设施应配备通讯设备、照明设施、安全防护服装及工具，并设有应急防护设施。</w:t>
            </w:r>
          </w:p>
          <w:p w14:paraId="246C3670">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④贮存危险废物时应按危险废物的种类和特性进行分区贮存，每个贮存区域之间宜设置挡墙间隔，并应设置“四防”（防风、防雨、防晒、防渗漏）。</w:t>
            </w:r>
          </w:p>
          <w:p w14:paraId="17A519FE">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⑤危险废物贮存设施都必须按GB15562.2的规定设置警示标志。</w:t>
            </w:r>
          </w:p>
          <w:p w14:paraId="17E3CC91">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本项目产生的危险废物废活性炭</w:t>
            </w:r>
            <w:r>
              <w:rPr>
                <w:rFonts w:hint="default" w:ascii="Times New Roman" w:hAnsi="Times New Roman" w:eastAsia="宋体" w:cs="Times New Roman"/>
                <w:smallCaps w:val="0"/>
                <w:color w:val="auto"/>
                <w:spacing w:val="0"/>
                <w:sz w:val="24"/>
                <w:szCs w:val="24"/>
                <w:lang w:eastAsia="zh-CN"/>
              </w:rPr>
              <w:t>、</w:t>
            </w:r>
            <w:r>
              <w:rPr>
                <w:rFonts w:hint="default" w:ascii="Times New Roman" w:hAnsi="Times New Roman" w:eastAsia="宋体" w:cs="Times New Roman"/>
                <w:smallCaps w:val="0"/>
                <w:color w:val="auto"/>
                <w:spacing w:val="0"/>
                <w:sz w:val="24"/>
                <w:szCs w:val="24"/>
                <w:lang w:val="en-US" w:eastAsia="zh-CN"/>
              </w:rPr>
              <w:t>废润滑油</w:t>
            </w:r>
            <w:r>
              <w:rPr>
                <w:rFonts w:hint="default" w:ascii="Times New Roman" w:hAnsi="Times New Roman" w:eastAsia="宋体" w:cs="Times New Roman"/>
                <w:smallCaps w:val="0"/>
                <w:color w:val="auto"/>
                <w:spacing w:val="0"/>
                <w:sz w:val="24"/>
                <w:szCs w:val="24"/>
              </w:rPr>
              <w:t>属于可燃类废物，落实上述措施后，可满足《危险废物贮存污染控制标准》（GB18597-2023）、《危险废物收集贮存运输技术规范》（HJ2025-2012）的要求。</w:t>
            </w:r>
          </w:p>
          <w:p w14:paraId="29A1D6A9">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sz w:val="24"/>
                <w:szCs w:val="24"/>
              </w:rPr>
            </w:pPr>
            <w:r>
              <w:rPr>
                <w:rFonts w:hint="default" w:ascii="Times New Roman" w:hAnsi="Times New Roman" w:eastAsia="宋体" w:cs="Times New Roman"/>
                <w:b/>
                <w:smallCaps w:val="0"/>
                <w:color w:val="auto"/>
                <w:spacing w:val="0"/>
                <w:sz w:val="24"/>
                <w:szCs w:val="24"/>
              </w:rPr>
              <w:t>（</w:t>
            </w:r>
            <w:r>
              <w:rPr>
                <w:rFonts w:hint="default" w:ascii="Times New Roman" w:hAnsi="Times New Roman" w:eastAsia="宋体" w:cs="Times New Roman"/>
                <w:b/>
                <w:smallCaps w:val="0"/>
                <w:color w:val="auto"/>
                <w:spacing w:val="0"/>
                <w:sz w:val="24"/>
                <w:szCs w:val="24"/>
                <w:lang w:val="en-US" w:eastAsia="zh-CN"/>
              </w:rPr>
              <w:t>6</w:t>
            </w:r>
            <w:r>
              <w:rPr>
                <w:rFonts w:hint="default" w:ascii="Times New Roman" w:hAnsi="Times New Roman" w:eastAsia="宋体" w:cs="Times New Roman"/>
                <w:b/>
                <w:smallCaps w:val="0"/>
                <w:color w:val="auto"/>
                <w:spacing w:val="0"/>
                <w:sz w:val="24"/>
                <w:szCs w:val="24"/>
              </w:rPr>
              <w:t>）危险废物贮存要求</w:t>
            </w:r>
          </w:p>
          <w:p w14:paraId="0E82B42A">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根据《危险废物贮存污染控制标准》（GB18597-2023）</w:t>
            </w:r>
            <w:r>
              <w:rPr>
                <w:rFonts w:hint="default" w:ascii="Times New Roman" w:hAnsi="Times New Roman" w:eastAsia="宋体" w:cs="Times New Roman"/>
                <w:smallCaps w:val="0"/>
                <w:color w:val="auto"/>
                <w:spacing w:val="0"/>
                <w:sz w:val="24"/>
                <w:szCs w:val="24"/>
                <w:lang w:eastAsia="zh-CN"/>
              </w:rPr>
              <w:t>、</w:t>
            </w:r>
            <w:r>
              <w:rPr>
                <w:rFonts w:hint="default" w:ascii="Times New Roman" w:hAnsi="Times New Roman" w:eastAsia="宋体" w:cs="Times New Roman"/>
                <w:smallCaps w:val="0"/>
                <w:color w:val="auto"/>
                <w:spacing w:val="0"/>
                <w:sz w:val="24"/>
                <w:szCs w:val="24"/>
              </w:rPr>
              <w:t>《危险废物收集、贮存、运输技术规范》（HJ2025-2012）</w:t>
            </w:r>
            <w:r>
              <w:rPr>
                <w:rFonts w:hint="default" w:ascii="Times New Roman" w:hAnsi="Times New Roman" w:eastAsia="宋体" w:cs="Times New Roman"/>
                <w:smallCaps w:val="0"/>
                <w:color w:val="auto"/>
                <w:spacing w:val="0"/>
                <w:sz w:val="24"/>
                <w:szCs w:val="24"/>
                <w:lang w:val="en-US" w:eastAsia="zh-CN"/>
              </w:rPr>
              <w:t>和《江苏省危险废物集中收集体系建设工作方案（试行）（苏环保[2021]290号）》</w:t>
            </w:r>
            <w:r>
              <w:rPr>
                <w:rFonts w:hint="default" w:ascii="Times New Roman" w:hAnsi="Times New Roman" w:eastAsia="宋体" w:cs="Times New Roman"/>
                <w:smallCaps w:val="0"/>
                <w:color w:val="auto"/>
                <w:spacing w:val="0"/>
                <w:sz w:val="24"/>
                <w:szCs w:val="24"/>
              </w:rPr>
              <w:t>，对危险废物的贮存要求如下：</w:t>
            </w:r>
          </w:p>
          <w:p w14:paraId="2D31F6B9">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①在常温常压下不水解、不挥发的固体废物可在贮存设施内分别堆放；</w:t>
            </w:r>
          </w:p>
          <w:p w14:paraId="05D227A2">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②禁止将不相容（相互反应）的危险废物在同一容器内混装；</w:t>
            </w:r>
          </w:p>
          <w:p w14:paraId="716248A9">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③无法装入常用容器的危险废物可用防漏胶袋等盛装；</w:t>
            </w:r>
          </w:p>
          <w:p w14:paraId="559CDAB7">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lang w:eastAsia="zh-CN"/>
              </w:rPr>
            </w:pPr>
            <w:r>
              <w:rPr>
                <w:rFonts w:hint="default" w:ascii="Times New Roman" w:hAnsi="Times New Roman" w:eastAsia="宋体" w:cs="Times New Roman"/>
                <w:smallCaps w:val="0"/>
                <w:color w:val="auto"/>
                <w:spacing w:val="0"/>
                <w:sz w:val="24"/>
                <w:szCs w:val="24"/>
              </w:rPr>
              <w:t>④装载液体、半固体危险废物的容器内须留足够空间，容器顶部与液体表面之间保留100毫米以上的空间</w:t>
            </w:r>
            <w:r>
              <w:rPr>
                <w:rFonts w:hint="default" w:ascii="Times New Roman" w:hAnsi="Times New Roman" w:eastAsia="宋体" w:cs="Times New Roman"/>
                <w:smallCaps w:val="0"/>
                <w:color w:val="auto"/>
                <w:spacing w:val="0"/>
                <w:sz w:val="24"/>
                <w:szCs w:val="24"/>
                <w:lang w:eastAsia="zh-CN"/>
              </w:rPr>
              <w:t>。</w:t>
            </w:r>
          </w:p>
          <w:p w14:paraId="0A3064A6">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sz w:val="24"/>
                <w:szCs w:val="24"/>
              </w:rPr>
            </w:pPr>
            <w:r>
              <w:rPr>
                <w:rFonts w:hint="default" w:ascii="Times New Roman" w:hAnsi="Times New Roman" w:eastAsia="宋体" w:cs="Times New Roman"/>
                <w:b/>
                <w:smallCaps w:val="0"/>
                <w:color w:val="auto"/>
                <w:spacing w:val="0"/>
                <w:sz w:val="24"/>
                <w:szCs w:val="24"/>
              </w:rPr>
              <w:t>（</w:t>
            </w:r>
            <w:r>
              <w:rPr>
                <w:rFonts w:hint="default" w:ascii="Times New Roman" w:hAnsi="Times New Roman" w:eastAsia="宋体" w:cs="Times New Roman"/>
                <w:b/>
                <w:smallCaps w:val="0"/>
                <w:color w:val="auto"/>
                <w:spacing w:val="0"/>
                <w:sz w:val="24"/>
                <w:szCs w:val="24"/>
                <w:lang w:val="en-US" w:eastAsia="zh-CN"/>
              </w:rPr>
              <w:t>7</w:t>
            </w:r>
            <w:r>
              <w:rPr>
                <w:rFonts w:hint="default" w:ascii="Times New Roman" w:hAnsi="Times New Roman" w:eastAsia="宋体" w:cs="Times New Roman"/>
                <w:b/>
                <w:smallCaps w:val="0"/>
                <w:color w:val="auto"/>
                <w:spacing w:val="0"/>
                <w:sz w:val="24"/>
                <w:szCs w:val="24"/>
              </w:rPr>
              <w:t>）危险废物贮存容器要求</w:t>
            </w:r>
          </w:p>
          <w:p w14:paraId="28BDF4EB">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根据《危险废物贮存污染控制标准》（GB18597-2023），危险废物贮存容器要求如下：</w:t>
            </w:r>
          </w:p>
          <w:p w14:paraId="759B25D9">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①应当使用符合标准的容器盛装危险废物；</w:t>
            </w:r>
          </w:p>
          <w:p w14:paraId="7AA10038">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②盛装危险废物的容器及材质要满足相应的强度要求；</w:t>
            </w:r>
          </w:p>
          <w:p w14:paraId="107B0781">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③盛装危险废物的容器必须完好无损；</w:t>
            </w:r>
          </w:p>
          <w:p w14:paraId="67DCD105">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④盛装危险废物的容器材质和衬里要与危险废物相容（不相互反应）；</w:t>
            </w:r>
          </w:p>
          <w:p w14:paraId="3ECBB9E3">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⑤液体危险废物可注入开孔直径不超过70毫米并有放气孔的桶中。</w:t>
            </w:r>
          </w:p>
          <w:p w14:paraId="53CF84FE">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sz w:val="24"/>
                <w:szCs w:val="24"/>
              </w:rPr>
            </w:pPr>
            <w:r>
              <w:rPr>
                <w:rFonts w:hint="default" w:ascii="Times New Roman" w:hAnsi="Times New Roman" w:eastAsia="宋体" w:cs="Times New Roman"/>
                <w:b/>
                <w:smallCaps w:val="0"/>
                <w:color w:val="auto"/>
                <w:spacing w:val="0"/>
                <w:sz w:val="24"/>
                <w:szCs w:val="24"/>
              </w:rPr>
              <w:t>（</w:t>
            </w:r>
            <w:r>
              <w:rPr>
                <w:rFonts w:hint="default" w:ascii="Times New Roman" w:hAnsi="Times New Roman" w:eastAsia="宋体" w:cs="Times New Roman"/>
                <w:b/>
                <w:smallCaps w:val="0"/>
                <w:color w:val="auto"/>
                <w:spacing w:val="0"/>
                <w:sz w:val="24"/>
                <w:szCs w:val="24"/>
                <w:lang w:val="en-US" w:eastAsia="zh-CN"/>
              </w:rPr>
              <w:t>8</w:t>
            </w:r>
            <w:r>
              <w:rPr>
                <w:rFonts w:hint="default" w:ascii="Times New Roman" w:hAnsi="Times New Roman" w:eastAsia="宋体" w:cs="Times New Roman"/>
                <w:b/>
                <w:smallCaps w:val="0"/>
                <w:color w:val="auto"/>
                <w:spacing w:val="0"/>
                <w:sz w:val="24"/>
                <w:szCs w:val="24"/>
              </w:rPr>
              <w:t>）危险废物的堆放</w:t>
            </w:r>
          </w:p>
          <w:p w14:paraId="05DAEA28">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①危险废物在堆场内分类存放。一般包装容器底座设置木垫不直接与地面接触。</w:t>
            </w:r>
          </w:p>
          <w:p w14:paraId="177FD5E7">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②堆场周边设置径流疏导系统雨水收集。</w:t>
            </w:r>
          </w:p>
          <w:p w14:paraId="5F89F7DC">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③废物堆做好“三防”（防扬散、防流失、防渗漏）和防腐措施。</w:t>
            </w:r>
          </w:p>
          <w:p w14:paraId="34132A9C">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sz w:val="24"/>
                <w:szCs w:val="24"/>
              </w:rPr>
            </w:pPr>
            <w:r>
              <w:rPr>
                <w:rFonts w:hint="default" w:ascii="Times New Roman" w:hAnsi="Times New Roman" w:eastAsia="宋体" w:cs="Times New Roman"/>
                <w:b/>
                <w:smallCaps w:val="0"/>
                <w:color w:val="auto"/>
                <w:spacing w:val="0"/>
                <w:sz w:val="24"/>
                <w:szCs w:val="24"/>
              </w:rPr>
              <w:t>（</w:t>
            </w:r>
            <w:r>
              <w:rPr>
                <w:rFonts w:hint="default" w:ascii="Times New Roman" w:hAnsi="Times New Roman" w:eastAsia="宋体" w:cs="Times New Roman"/>
                <w:b/>
                <w:smallCaps w:val="0"/>
                <w:color w:val="auto"/>
                <w:spacing w:val="0"/>
                <w:sz w:val="24"/>
                <w:szCs w:val="24"/>
                <w:lang w:val="en-US" w:eastAsia="zh-CN"/>
              </w:rPr>
              <w:t>9</w:t>
            </w:r>
            <w:r>
              <w:rPr>
                <w:rFonts w:hint="default" w:ascii="Times New Roman" w:hAnsi="Times New Roman" w:eastAsia="宋体" w:cs="Times New Roman"/>
                <w:b/>
                <w:smallCaps w:val="0"/>
                <w:color w:val="auto"/>
                <w:spacing w:val="0"/>
                <w:sz w:val="24"/>
                <w:szCs w:val="24"/>
              </w:rPr>
              <w:t>）固废申报</w:t>
            </w:r>
          </w:p>
          <w:p w14:paraId="45A51094">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738B38E8">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此外，对照《省生态环境厅关于印发江苏省危险废物贮存规范化管理专项整治行动方案的通知》（苏环办〔2019〕149号）中排查内容及整治要求：</w:t>
            </w:r>
          </w:p>
          <w:p w14:paraId="34BA2774">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本项目需在明显位置按照</w:t>
            </w:r>
            <w:r>
              <w:rPr>
                <w:rFonts w:hint="default" w:ascii="Times New Roman" w:hAnsi="Times New Roman" w:eastAsia="宋体" w:cs="Times New Roman"/>
                <w:bCs/>
                <w:smallCaps w:val="0"/>
                <w:snapToGrid w:val="0"/>
                <w:color w:val="auto"/>
                <w:spacing w:val="0"/>
                <w:sz w:val="24"/>
              </w:rPr>
              <w:t>《危险废物贮存污染控制标准》(GB18597-2023)</w:t>
            </w:r>
            <w:r>
              <w:rPr>
                <w:rFonts w:hint="default" w:ascii="Times New Roman" w:hAnsi="Times New Roman" w:eastAsia="宋体" w:cs="Times New Roman"/>
                <w:smallCaps w:val="0"/>
                <w:color w:val="auto"/>
                <w:spacing w:val="0"/>
                <w:sz w:val="24"/>
                <w:szCs w:val="24"/>
              </w:rPr>
              <w:t>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375F28C2">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512BADA4">
            <w:pPr>
              <w:keepNext w:val="0"/>
              <w:keepLines w:val="0"/>
              <w:pageBreakBefore w:val="0"/>
              <w:widowControl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0013E995">
            <w:pPr>
              <w:keepNext w:val="0"/>
              <w:keepLines w:val="0"/>
              <w:pageBreakBefore w:val="0"/>
              <w:widowControl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sz w:val="24"/>
                <w:szCs w:val="24"/>
              </w:rPr>
            </w:pPr>
            <w:r>
              <w:rPr>
                <w:rFonts w:hint="default" w:ascii="Times New Roman" w:hAnsi="Times New Roman" w:eastAsia="宋体" w:cs="Times New Roman"/>
                <w:b/>
                <w:smallCaps w:val="0"/>
                <w:color w:val="auto"/>
                <w:spacing w:val="0"/>
                <w:sz w:val="24"/>
                <w:szCs w:val="24"/>
              </w:rPr>
              <w:t>（</w:t>
            </w:r>
            <w:r>
              <w:rPr>
                <w:rFonts w:hint="default" w:ascii="Times New Roman" w:hAnsi="Times New Roman" w:eastAsia="宋体" w:cs="Times New Roman"/>
                <w:b/>
                <w:smallCaps w:val="0"/>
                <w:color w:val="auto"/>
                <w:spacing w:val="0"/>
                <w:sz w:val="24"/>
                <w:szCs w:val="24"/>
                <w:lang w:val="en-US" w:eastAsia="zh-CN"/>
              </w:rPr>
              <w:t>10</w:t>
            </w:r>
            <w:r>
              <w:rPr>
                <w:rFonts w:hint="default" w:ascii="Times New Roman" w:hAnsi="Times New Roman" w:eastAsia="宋体" w:cs="Times New Roman"/>
                <w:b/>
                <w:smallCaps w:val="0"/>
                <w:color w:val="auto"/>
                <w:spacing w:val="0"/>
                <w:sz w:val="24"/>
                <w:szCs w:val="24"/>
              </w:rPr>
              <w:t>）环境管理要求</w:t>
            </w:r>
          </w:p>
          <w:p w14:paraId="1354B0F5">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根据《省生态环境厅关于进一步加强危险废物环境管理工作的通知》（苏环办[2021]207号）</w:t>
            </w:r>
            <w:r>
              <w:rPr>
                <w:rFonts w:hint="default" w:ascii="Times New Roman" w:hAnsi="Times New Roman" w:eastAsia="宋体" w:cs="Times New Roman"/>
                <w:smallCaps w:val="0"/>
                <w:color w:val="auto"/>
                <w:spacing w:val="0"/>
                <w:sz w:val="24"/>
                <w:szCs w:val="24"/>
                <w:lang w:val="en-US" w:eastAsia="zh-CN"/>
              </w:rPr>
              <w:t>和《江苏省固体废物全过程环境监管工作意见》的通知》（苏环办[2024]16号）</w:t>
            </w:r>
            <w:r>
              <w:rPr>
                <w:rFonts w:hint="default" w:ascii="Times New Roman" w:hAnsi="Times New Roman" w:eastAsia="宋体" w:cs="Times New Roman"/>
                <w:smallCaps w:val="0"/>
                <w:color w:val="auto"/>
                <w:spacing w:val="0"/>
                <w:sz w:val="24"/>
                <w:szCs w:val="24"/>
              </w:rPr>
              <w:t>要求。企业环境管理要求见表4</w:t>
            </w:r>
            <w:r>
              <w:rPr>
                <w:rFonts w:hint="default" w:ascii="Times New Roman" w:hAnsi="Times New Roman" w:eastAsia="宋体" w:cs="Times New Roman"/>
                <w:smallCaps w:val="0"/>
                <w:color w:val="auto"/>
                <w:spacing w:val="0"/>
                <w:sz w:val="24"/>
                <w:szCs w:val="24"/>
                <w:lang w:val="en-US" w:eastAsia="zh-CN"/>
              </w:rPr>
              <w:t>-18</w:t>
            </w:r>
            <w:r>
              <w:rPr>
                <w:rFonts w:hint="default" w:ascii="Times New Roman" w:hAnsi="Times New Roman" w:eastAsia="宋体" w:cs="Times New Roman"/>
                <w:smallCaps w:val="0"/>
                <w:color w:val="auto"/>
                <w:spacing w:val="0"/>
                <w:sz w:val="24"/>
                <w:szCs w:val="24"/>
              </w:rPr>
              <w:t>。</w:t>
            </w:r>
          </w:p>
          <w:p w14:paraId="65447458">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2"/>
                <w:sz w:val="21"/>
                <w:szCs w:val="22"/>
                <w:lang w:val="en-US" w:eastAsia="zh-CN" w:bidi="ar-SA"/>
              </w:rPr>
            </w:pPr>
            <w:r>
              <w:rPr>
                <w:rFonts w:hint="default" w:ascii="Times New Roman" w:hAnsi="Times New Roman" w:eastAsia="宋体" w:cs="Times New Roman"/>
                <w:b/>
                <w:smallCaps w:val="0"/>
                <w:color w:val="auto"/>
                <w:spacing w:val="0"/>
                <w:kern w:val="2"/>
                <w:sz w:val="21"/>
                <w:szCs w:val="22"/>
                <w:lang w:val="en-US" w:eastAsia="zh-CN" w:bidi="ar-SA"/>
              </w:rPr>
              <w:t>表4-18企业环境管理要求</w:t>
            </w:r>
          </w:p>
          <w:tbl>
            <w:tblPr>
              <w:tblStyle w:val="17"/>
              <w:tblpPr w:leftFromText="180" w:rightFromText="180" w:vertAnchor="text" w:tblpXSpec="center" w:tblpY="1"/>
              <w:tblOverlap w:val="never"/>
              <w:tblW w:w="495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1"/>
              <w:gridCol w:w="6852"/>
            </w:tblGrid>
            <w:tr w14:paraId="55918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noWrap w:val="0"/>
                  <w:vAlign w:val="center"/>
                </w:tcPr>
                <w:p w14:paraId="7F709D93">
                  <w:pPr>
                    <w:pStyle w:val="7"/>
                    <w:spacing w:after="0" w:line="240" w:lineRule="exact"/>
                    <w:ind w:firstLine="422"/>
                    <w:jc w:val="center"/>
                    <w:rPr>
                      <w:rFonts w:hint="default" w:ascii="Times New Roman" w:hAnsi="Times New Roman" w:eastAsia="宋体" w:cs="Times New Roman"/>
                      <w:b/>
                      <w:smallCaps w:val="0"/>
                      <w:color w:val="auto"/>
                      <w:spacing w:val="0"/>
                      <w:sz w:val="21"/>
                      <w:szCs w:val="21"/>
                    </w:rPr>
                  </w:pPr>
                  <w:r>
                    <w:rPr>
                      <w:rFonts w:hint="default" w:ascii="Times New Roman" w:hAnsi="Times New Roman" w:eastAsia="宋体" w:cs="Times New Roman"/>
                      <w:b/>
                      <w:smallCaps w:val="0"/>
                      <w:color w:val="auto"/>
                      <w:spacing w:val="0"/>
                      <w:sz w:val="21"/>
                      <w:szCs w:val="21"/>
                    </w:rPr>
                    <w:t>类别</w:t>
                  </w:r>
                </w:p>
              </w:tc>
              <w:tc>
                <w:tcPr>
                  <w:tcW w:w="4156" w:type="pct"/>
                  <w:noWrap w:val="0"/>
                  <w:vAlign w:val="center"/>
                </w:tcPr>
                <w:p w14:paraId="0AA8732B">
                  <w:pPr>
                    <w:pStyle w:val="7"/>
                    <w:spacing w:after="0" w:line="240" w:lineRule="exact"/>
                    <w:ind w:firstLine="422"/>
                    <w:jc w:val="center"/>
                    <w:rPr>
                      <w:rFonts w:hint="default" w:ascii="Times New Roman" w:hAnsi="Times New Roman" w:eastAsia="宋体" w:cs="Times New Roman"/>
                      <w:b/>
                      <w:smallCaps w:val="0"/>
                      <w:color w:val="auto"/>
                      <w:spacing w:val="0"/>
                      <w:sz w:val="21"/>
                      <w:szCs w:val="21"/>
                    </w:rPr>
                  </w:pPr>
                  <w:r>
                    <w:rPr>
                      <w:rFonts w:hint="default" w:ascii="Times New Roman" w:hAnsi="Times New Roman" w:eastAsia="宋体" w:cs="Times New Roman"/>
                      <w:b/>
                      <w:smallCaps w:val="0"/>
                      <w:color w:val="auto"/>
                      <w:spacing w:val="0"/>
                      <w:sz w:val="21"/>
                      <w:szCs w:val="21"/>
                    </w:rPr>
                    <w:t>管理要求</w:t>
                  </w:r>
                </w:p>
              </w:tc>
            </w:tr>
            <w:tr w14:paraId="1A187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noWrap w:val="0"/>
                  <w:vAlign w:val="center"/>
                </w:tcPr>
                <w:p w14:paraId="1F394B9D">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严格落实产废单位危险废物污染环境防治主体责任</w:t>
                  </w:r>
                </w:p>
              </w:tc>
              <w:tc>
                <w:tcPr>
                  <w:tcW w:w="4156" w:type="pct"/>
                  <w:noWrap w:val="0"/>
                  <w:vAlign w:val="center"/>
                </w:tcPr>
                <w:p w14:paraId="2D4DF289">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违反上述要求的，各地生态环境部门按照《固体废物污染环境防治法》“第一百一十二条”、“第一百一十四条”规定，追究产废单位和第三方中介机构法律责任。</w:t>
                  </w:r>
                </w:p>
              </w:tc>
            </w:tr>
            <w:tr w14:paraId="52790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noWrap w:val="0"/>
                  <w:vAlign w:val="center"/>
                </w:tcPr>
                <w:p w14:paraId="4960ABF1">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严格危险废物产生贮存环境监管</w:t>
                  </w:r>
                </w:p>
              </w:tc>
              <w:tc>
                <w:tcPr>
                  <w:tcW w:w="4156" w:type="pct"/>
                  <w:noWrap w:val="0"/>
                  <w:vAlign w:val="center"/>
                </w:tcPr>
                <w:p w14:paraId="1D3C144C">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通过“江苏环保脸谱”，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r>
            <w:tr w14:paraId="03DE4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noWrap w:val="0"/>
                  <w:vAlign w:val="center"/>
                </w:tcPr>
                <w:p w14:paraId="6EB77A33">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严格危险废物转移环境监管</w:t>
                  </w:r>
                </w:p>
              </w:tc>
              <w:tc>
                <w:tcPr>
                  <w:tcW w:w="4156" w:type="pct"/>
                  <w:noWrap w:val="0"/>
                  <w:vAlign w:val="center"/>
                </w:tcPr>
                <w:p w14:paraId="78DA8541">
                  <w:pPr>
                    <w:pStyle w:val="7"/>
                    <w:tabs>
                      <w:tab w:val="left" w:pos="221"/>
                    </w:tabs>
                    <w:spacing w:after="0" w:line="240" w:lineRule="auto"/>
                    <w:ind w:firstLine="420"/>
                    <w:jc w:val="center"/>
                    <w:rPr>
                      <w:rFonts w:hint="default" w:ascii="Times New Roman" w:hAnsi="Times New Roman" w:eastAsia="宋体" w:cs="Times New Roman"/>
                      <w:smallCaps w:val="0"/>
                      <w:color w:val="auto"/>
                      <w:spacing w:val="0"/>
                      <w:sz w:val="21"/>
                      <w:szCs w:val="21"/>
                      <w:lang w:bidi="zh-TW"/>
                    </w:rPr>
                  </w:pPr>
                  <w:r>
                    <w:rPr>
                      <w:rFonts w:hint="default" w:ascii="Times New Roman" w:hAnsi="Times New Roman" w:eastAsia="宋体" w:cs="Times New Roman"/>
                      <w:smallCaps w:val="0"/>
                      <w:color w:val="auto"/>
                      <w:spacing w:val="0"/>
                      <w:sz w:val="21"/>
                      <w:szCs w:val="21"/>
                      <w:lang w:bidi="zh-TW"/>
                    </w:rPr>
                    <w:t>全面推行危险废物转移电子联单，自2021年7月10日起，危险废物通过全生命周期监控系统扫描二维码转移，严禁无二维码转移行为(槽罐车、管道等除外)。各地要加强危险废物流向监控，建立电子档案，严厉打击危险废物转移过程中的环境违法行为。严禁生态环境系统人员直接或间接为产废单位指定或介绍收集、转运、利用处置单位。违反，上述要求的，各地生态环境部门可关闭相关企业危险废物转移系统功能，禁止其危险废物转移，并追究相关责任人责任。</w:t>
                  </w:r>
                </w:p>
              </w:tc>
            </w:tr>
          </w:tbl>
          <w:p w14:paraId="1D3114B3">
            <w:pPr>
              <w:keepNext w:val="0"/>
              <w:keepLines w:val="0"/>
              <w:pageBreakBefore w:val="0"/>
              <w:widowControl w:val="0"/>
              <w:kinsoku/>
              <w:wordWrap/>
              <w:overflowPunct/>
              <w:topLinePunct w:val="0"/>
              <w:autoSpaceDE w:val="0"/>
              <w:autoSpaceDN w:val="0"/>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sz w:val="24"/>
                <w:szCs w:val="24"/>
              </w:rPr>
            </w:pPr>
            <w:r>
              <w:rPr>
                <w:rFonts w:hint="default" w:ascii="Times New Roman" w:hAnsi="Times New Roman" w:eastAsia="宋体" w:cs="Times New Roman"/>
                <w:b/>
                <w:bCs/>
                <w:smallCaps w:val="0"/>
                <w:color w:val="auto"/>
                <w:spacing w:val="0"/>
                <w:sz w:val="24"/>
                <w:szCs w:val="24"/>
              </w:rPr>
              <w:t>（1</w:t>
            </w:r>
            <w:r>
              <w:rPr>
                <w:rFonts w:hint="default" w:ascii="Times New Roman" w:hAnsi="Times New Roman" w:eastAsia="宋体" w:cs="Times New Roman"/>
                <w:b/>
                <w:bCs/>
                <w:smallCaps w:val="0"/>
                <w:color w:val="auto"/>
                <w:spacing w:val="0"/>
                <w:sz w:val="24"/>
                <w:szCs w:val="24"/>
                <w:lang w:val="en-US" w:eastAsia="zh-CN"/>
              </w:rPr>
              <w:t>1</w:t>
            </w:r>
            <w:r>
              <w:rPr>
                <w:rFonts w:hint="default" w:ascii="Times New Roman" w:hAnsi="Times New Roman" w:eastAsia="宋体" w:cs="Times New Roman"/>
                <w:b/>
                <w:bCs/>
                <w:smallCaps w:val="0"/>
                <w:color w:val="auto"/>
                <w:spacing w:val="0"/>
                <w:sz w:val="24"/>
                <w:szCs w:val="24"/>
              </w:rPr>
              <w:t>）</w:t>
            </w:r>
            <w:r>
              <w:rPr>
                <w:rFonts w:hint="default" w:ascii="Times New Roman" w:hAnsi="Times New Roman" w:eastAsia="宋体" w:cs="Times New Roman"/>
                <w:b/>
                <w:bCs/>
                <w:smallCaps w:val="0"/>
                <w:color w:val="auto"/>
                <w:spacing w:val="0"/>
                <w:sz w:val="24"/>
                <w:szCs w:val="24"/>
                <w:lang w:val="en-US" w:eastAsia="zh-CN"/>
              </w:rPr>
              <w:t>固体废物</w:t>
            </w:r>
            <w:r>
              <w:rPr>
                <w:rFonts w:hint="default" w:ascii="Times New Roman" w:hAnsi="Times New Roman" w:eastAsia="宋体" w:cs="Times New Roman"/>
                <w:b/>
                <w:bCs/>
                <w:smallCaps w:val="0"/>
                <w:color w:val="auto"/>
                <w:spacing w:val="0"/>
                <w:sz w:val="24"/>
                <w:szCs w:val="24"/>
              </w:rPr>
              <w:t>管理要求</w:t>
            </w:r>
          </w:p>
          <w:p w14:paraId="497F58A1">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根据</w:t>
            </w:r>
            <w:r>
              <w:rPr>
                <w:rFonts w:hint="default" w:ascii="Times New Roman" w:hAnsi="Times New Roman" w:eastAsia="宋体" w:cs="Times New Roman"/>
                <w:smallCaps w:val="0"/>
                <w:color w:val="auto"/>
                <w:spacing w:val="0"/>
                <w:sz w:val="24"/>
                <w:szCs w:val="24"/>
                <w:lang w:val="en-US" w:eastAsia="zh-CN"/>
              </w:rPr>
              <w:t>《江苏省固体废物全过程环境监管工作意见》的通知》（苏环办[2024]16号）</w:t>
            </w:r>
            <w:r>
              <w:rPr>
                <w:rFonts w:hint="default" w:ascii="Times New Roman" w:hAnsi="Times New Roman" w:eastAsia="宋体" w:cs="Times New Roman"/>
                <w:smallCaps w:val="0"/>
                <w:color w:val="auto"/>
                <w:spacing w:val="0"/>
                <w:sz w:val="24"/>
                <w:szCs w:val="24"/>
              </w:rPr>
              <w:t>中要求，危废贮存场所管理要求见下表。</w:t>
            </w:r>
          </w:p>
          <w:p w14:paraId="7E90B925">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2"/>
                <w:sz w:val="21"/>
                <w:szCs w:val="22"/>
                <w:lang w:val="en-US" w:eastAsia="zh-CN" w:bidi="ar-SA"/>
              </w:rPr>
            </w:pPr>
            <w:r>
              <w:rPr>
                <w:rFonts w:hint="default" w:ascii="Times New Roman" w:hAnsi="Times New Roman" w:eastAsia="宋体" w:cs="Times New Roman"/>
                <w:b/>
                <w:smallCaps w:val="0"/>
                <w:color w:val="auto"/>
                <w:spacing w:val="0"/>
                <w:kern w:val="2"/>
                <w:sz w:val="21"/>
                <w:szCs w:val="22"/>
                <w:lang w:val="en-US" w:eastAsia="zh-CN" w:bidi="ar-SA"/>
              </w:rPr>
              <w:t>表4-19危险废物贮存场所管理要求一览表</w:t>
            </w:r>
          </w:p>
          <w:tbl>
            <w:tblPr>
              <w:tblStyle w:val="17"/>
              <w:tblpPr w:leftFromText="180" w:rightFromText="180" w:vertAnchor="text" w:tblpXSpec="center" w:tblpY="1"/>
              <w:tblOverlap w:val="never"/>
              <w:tblW w:w="4959" w:type="pct"/>
              <w:tblInd w:w="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6665"/>
            </w:tblGrid>
            <w:tr w14:paraId="69FCA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noWrap w:val="0"/>
                  <w:vAlign w:val="center"/>
                </w:tcPr>
                <w:p w14:paraId="467F6A75">
                  <w:pPr>
                    <w:pStyle w:val="7"/>
                    <w:spacing w:after="0" w:line="240" w:lineRule="auto"/>
                    <w:ind w:firstLine="0" w:firstLineChars="0"/>
                    <w:jc w:val="center"/>
                    <w:rPr>
                      <w:rFonts w:hint="default" w:ascii="Times New Roman" w:hAnsi="Times New Roman" w:eastAsia="宋体" w:cs="Times New Roman"/>
                      <w:b/>
                      <w:bCs/>
                      <w:smallCaps w:val="0"/>
                      <w:color w:val="auto"/>
                      <w:spacing w:val="0"/>
                      <w:sz w:val="21"/>
                      <w:szCs w:val="21"/>
                    </w:rPr>
                  </w:pPr>
                  <w:r>
                    <w:rPr>
                      <w:rFonts w:hint="default" w:ascii="Times New Roman" w:hAnsi="Times New Roman" w:eastAsia="宋体" w:cs="Times New Roman"/>
                      <w:b/>
                      <w:bCs/>
                      <w:smallCaps w:val="0"/>
                      <w:color w:val="auto"/>
                      <w:spacing w:val="0"/>
                      <w:sz w:val="21"/>
                      <w:szCs w:val="21"/>
                    </w:rPr>
                    <w:t>管理类别</w:t>
                  </w:r>
                </w:p>
              </w:tc>
              <w:tc>
                <w:tcPr>
                  <w:tcW w:w="4042" w:type="pct"/>
                  <w:noWrap w:val="0"/>
                  <w:vAlign w:val="center"/>
                </w:tcPr>
                <w:p w14:paraId="4921B418">
                  <w:pPr>
                    <w:pStyle w:val="7"/>
                    <w:spacing w:after="0" w:line="240" w:lineRule="auto"/>
                    <w:ind w:firstLine="0" w:firstLineChars="0"/>
                    <w:jc w:val="center"/>
                    <w:rPr>
                      <w:rFonts w:hint="default" w:ascii="Times New Roman" w:hAnsi="Times New Roman" w:eastAsia="宋体" w:cs="Times New Roman"/>
                      <w:b/>
                      <w:bCs/>
                      <w:smallCaps w:val="0"/>
                      <w:color w:val="auto"/>
                      <w:spacing w:val="0"/>
                      <w:sz w:val="21"/>
                      <w:szCs w:val="21"/>
                    </w:rPr>
                  </w:pPr>
                  <w:r>
                    <w:rPr>
                      <w:rFonts w:hint="default" w:ascii="Times New Roman" w:hAnsi="Times New Roman" w:eastAsia="宋体" w:cs="Times New Roman"/>
                      <w:b/>
                      <w:bCs/>
                      <w:smallCaps w:val="0"/>
                      <w:color w:val="auto"/>
                      <w:spacing w:val="0"/>
                      <w:sz w:val="21"/>
                      <w:szCs w:val="21"/>
                    </w:rPr>
                    <w:t>管理要求</w:t>
                  </w:r>
                </w:p>
              </w:tc>
            </w:tr>
            <w:tr w14:paraId="1DF29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noWrap w:val="0"/>
                  <w:vAlign w:val="center"/>
                </w:tcPr>
                <w:p w14:paraId="0D046231">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落实排污许可制度</w:t>
                  </w:r>
                </w:p>
              </w:tc>
              <w:tc>
                <w:tcPr>
                  <w:tcW w:w="4042" w:type="pct"/>
                  <w:noWrap w:val="0"/>
                  <w:vAlign w:val="center"/>
                </w:tcPr>
                <w:p w14:paraId="6FB9CC80">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r>
            <w:tr w14:paraId="4F907B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noWrap w:val="0"/>
                  <w:vAlign w:val="center"/>
                </w:tcPr>
                <w:p w14:paraId="6A0F65C4">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规范贮存管理要求</w:t>
                  </w:r>
                </w:p>
              </w:tc>
              <w:tc>
                <w:tcPr>
                  <w:tcW w:w="4042" w:type="pct"/>
                  <w:noWrap w:val="0"/>
                  <w:vAlign w:val="center"/>
                </w:tcPr>
                <w:p w14:paraId="28740C3A">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I级、III级危险废物贮存时间分别不得超过30天、60天、90天，最大贮存量不得超过1吨。</w:t>
                  </w:r>
                </w:p>
              </w:tc>
            </w:tr>
            <w:tr w14:paraId="49213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noWrap w:val="0"/>
                  <w:vAlign w:val="center"/>
                </w:tcPr>
                <w:p w14:paraId="1113E27F">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强化转移过程管理</w:t>
                  </w:r>
                </w:p>
              </w:tc>
              <w:tc>
                <w:tcPr>
                  <w:tcW w:w="4042" w:type="pct"/>
                  <w:noWrap w:val="0"/>
                  <w:vAlign w:val="center"/>
                </w:tcPr>
                <w:p w14:paraId="4C60130D">
                  <w:pPr>
                    <w:pStyle w:val="7"/>
                    <w:tabs>
                      <w:tab w:val="left" w:pos="221"/>
                    </w:tabs>
                    <w:spacing w:after="0" w:line="240" w:lineRule="auto"/>
                    <w:ind w:firstLine="0" w:firstLineChars="0"/>
                    <w:jc w:val="center"/>
                    <w:rPr>
                      <w:rFonts w:hint="default" w:ascii="Times New Roman" w:hAnsi="Times New Roman" w:eastAsia="宋体" w:cs="Times New Roman"/>
                      <w:smallCaps w:val="0"/>
                      <w:color w:val="auto"/>
                      <w:spacing w:val="0"/>
                      <w:sz w:val="21"/>
                      <w:szCs w:val="21"/>
                      <w:lang w:eastAsia="zh-CN" w:bidi="zh-TW"/>
                    </w:rPr>
                  </w:pPr>
                  <w:r>
                    <w:rPr>
                      <w:rFonts w:hint="default" w:ascii="Times New Roman" w:hAnsi="Times New Roman" w:eastAsia="宋体" w:cs="Times New Roman"/>
                      <w:smallCaps w:val="0"/>
                      <w:color w:val="auto"/>
                      <w:spacing w:val="0"/>
                      <w:sz w:val="21"/>
                      <w:szCs w:val="21"/>
                      <w:lang w:bidi="zh-TW"/>
                    </w:rPr>
                    <w:t>全面落实危险废物转移电子联单制度，实行省内全域扫描“二维码”转移。加强与危险货物道路运输电子运单数据共享，实现运输轨迹可溯可查。危险废物产生单位须依法核实经营单位主体资格和技术能力，直接签订委托合同</w:t>
                  </w:r>
                  <w:r>
                    <w:rPr>
                      <w:rFonts w:hint="default" w:ascii="Times New Roman" w:hAnsi="Times New Roman" w:eastAsia="宋体" w:cs="Times New Roman"/>
                      <w:smallCaps w:val="0"/>
                      <w:color w:val="auto"/>
                      <w:spacing w:val="0"/>
                      <w:sz w:val="21"/>
                      <w:szCs w:val="21"/>
                      <w:lang w:eastAsia="zh-CN" w:bidi="zh-TW"/>
                    </w:rPr>
                    <w:t>：</w:t>
                  </w:r>
                  <w:r>
                    <w:rPr>
                      <w:rFonts w:hint="default" w:ascii="Times New Roman" w:hAnsi="Times New Roman" w:eastAsia="宋体" w:cs="Times New Roman"/>
                      <w:smallCaps w:val="0"/>
                      <w:color w:val="auto"/>
                      <w:spacing w:val="0"/>
                      <w:sz w:val="21"/>
                      <w:szCs w:val="21"/>
                      <w:lang w:bidi="zh-TW"/>
                    </w:rPr>
                    <w:t>并向经营单位</w:t>
                  </w:r>
                  <w:bookmarkStart w:id="6" w:name="_GoBack"/>
                  <w:bookmarkEnd w:id="6"/>
                  <w:r>
                    <w:rPr>
                      <w:rFonts w:hint="default" w:ascii="Times New Roman" w:hAnsi="Times New Roman" w:eastAsia="宋体" w:cs="Times New Roman"/>
                      <w:smallCaps w:val="0"/>
                      <w:color w:val="auto"/>
                      <w:spacing w:val="0"/>
                      <w:sz w:val="21"/>
                      <w:szCs w:val="21"/>
                      <w:lang w:bidi="zh-TW"/>
                    </w:rPr>
                    <w:t>提供相关危险废物产生工艺、具体成分，以及是否易燃易爆等信息，违法委托的，应当与造成环境污染和生态破坏的受托方承担连带责任</w:t>
                  </w:r>
                  <w:r>
                    <w:rPr>
                      <w:rFonts w:hint="default" w:ascii="Times New Roman" w:hAnsi="Times New Roman" w:eastAsia="宋体" w:cs="Times New Roman"/>
                      <w:smallCaps w:val="0"/>
                      <w:color w:val="auto"/>
                      <w:spacing w:val="0"/>
                      <w:sz w:val="21"/>
                      <w:szCs w:val="21"/>
                      <w:lang w:eastAsia="zh-CN" w:bidi="zh-TW"/>
                    </w:rPr>
                    <w:t>：</w:t>
                  </w:r>
                  <w:r>
                    <w:rPr>
                      <w:rFonts w:hint="default" w:ascii="Times New Roman" w:hAnsi="Times New Roman" w:eastAsia="宋体" w:cs="Times New Roman"/>
                      <w:smallCaps w:val="0"/>
                      <w:color w:val="auto"/>
                      <w:spacing w:val="0"/>
                      <w:sz w:val="21"/>
                      <w:szCs w:val="21"/>
                      <w:lang w:bidi="zh-TW"/>
                    </w:rPr>
                    <w:t>经营单位须按合同及包装物扫码签收危险废物，签收人、车辆信息等须拍照上传至系统，严禁“空转”二维码。积极推行一般工业固体废物转移电子联单制度，优先选择环境风险较大的污泥、矿渣等固体废物试行</w:t>
                  </w:r>
                  <w:r>
                    <w:rPr>
                      <w:rFonts w:hint="default" w:ascii="Times New Roman" w:hAnsi="Times New Roman" w:eastAsia="宋体" w:cs="Times New Roman"/>
                      <w:smallCaps w:val="0"/>
                      <w:color w:val="auto"/>
                      <w:spacing w:val="0"/>
                      <w:sz w:val="21"/>
                      <w:szCs w:val="21"/>
                      <w:lang w:eastAsia="zh-CN" w:bidi="zh-TW"/>
                    </w:rPr>
                    <w:t>。</w:t>
                  </w:r>
                </w:p>
              </w:tc>
            </w:tr>
            <w:tr w14:paraId="12ADC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noWrap w:val="0"/>
                  <w:vAlign w:val="center"/>
                </w:tcPr>
                <w:p w14:paraId="70A4E29F">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落实信息公开制度</w:t>
                  </w:r>
                </w:p>
              </w:tc>
              <w:tc>
                <w:tcPr>
                  <w:tcW w:w="4042" w:type="pct"/>
                  <w:noWrap w:val="0"/>
                  <w:vAlign w:val="center"/>
                </w:tcPr>
                <w:p w14:paraId="4D59EF89">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tc>
            </w:tr>
            <w:tr w14:paraId="48D8F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noWrap w:val="0"/>
                  <w:vAlign w:val="center"/>
                </w:tcPr>
                <w:p w14:paraId="2239B922">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lang w:eastAsia="zh-CN"/>
                    </w:rPr>
                  </w:pPr>
                  <w:r>
                    <w:rPr>
                      <w:rFonts w:hint="default" w:ascii="Times New Roman" w:hAnsi="Times New Roman" w:eastAsia="宋体" w:cs="Times New Roman"/>
                      <w:smallCaps w:val="0"/>
                      <w:color w:val="auto"/>
                      <w:spacing w:val="0"/>
                      <w:kern w:val="0"/>
                      <w:sz w:val="21"/>
                      <w:szCs w:val="21"/>
                      <w:lang w:eastAsia="zh-CN"/>
                    </w:rPr>
                    <w:t>加强企业产物监管</w:t>
                  </w:r>
                </w:p>
              </w:tc>
              <w:tc>
                <w:tcPr>
                  <w:tcW w:w="4042" w:type="pct"/>
                  <w:noWrap w:val="0"/>
                  <w:vAlign w:val="center"/>
                </w:tcPr>
                <w:p w14:paraId="363B2EBF">
                  <w:pPr>
                    <w:pStyle w:val="7"/>
                    <w:spacing w:after="0" w:line="240" w:lineRule="auto"/>
                    <w:ind w:firstLine="0" w:firstLineChars="0"/>
                    <w:jc w:val="center"/>
                    <w:rPr>
                      <w:rFonts w:hint="default" w:ascii="Times New Roman" w:hAnsi="Times New Roman" w:eastAsia="宋体" w:cs="Times New Roman"/>
                      <w:smallCaps w:val="0"/>
                      <w:color w:val="auto"/>
                      <w:spacing w:val="0"/>
                      <w:sz w:val="21"/>
                      <w:szCs w:val="21"/>
                      <w:lang w:eastAsia="zh-CN"/>
                    </w:rPr>
                  </w:pPr>
                  <w:r>
                    <w:rPr>
                      <w:rFonts w:hint="default" w:ascii="Times New Roman" w:hAnsi="Times New Roman" w:eastAsia="宋体" w:cs="Times New Roman"/>
                      <w:smallCaps w:val="0"/>
                      <w:color w:val="auto"/>
                      <w:spacing w:val="0"/>
                      <w:sz w:val="21"/>
                      <w:szCs w:val="21"/>
                    </w:rPr>
                    <w:t>危险废物利用单位的所有产物须按照本文件第2条明确的五类属性进行分类管理，其中按产品管理的需要对其特征污染物开展检测分析，严防污染物向下游转移。全国性行业协会或江苏省地方行业协会制定的团体标准若包括危险废物来源、利用工艺、利用产物功能性指标、有效成分含量、特征污染物含量和利用产物用途的，可作为用于工业生产替代原料的综合利用产物环境风险评价的依据，其环境风险评价要重点阐述标准落实情况。严格执行风险评价要求的利用产物可按照产品管理</w:t>
                  </w:r>
                  <w:r>
                    <w:rPr>
                      <w:rFonts w:hint="default" w:ascii="Times New Roman" w:hAnsi="Times New Roman" w:eastAsia="宋体" w:cs="Times New Roman"/>
                      <w:smallCaps w:val="0"/>
                      <w:color w:val="auto"/>
                      <w:spacing w:val="0"/>
                      <w:sz w:val="21"/>
                      <w:szCs w:val="21"/>
                      <w:lang w:eastAsia="zh-CN"/>
                    </w:rPr>
                    <w:t>。</w:t>
                  </w:r>
                </w:p>
              </w:tc>
            </w:tr>
            <w:tr w14:paraId="40402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 w:type="pct"/>
                  <w:noWrap w:val="0"/>
                  <w:vAlign w:val="center"/>
                </w:tcPr>
                <w:p w14:paraId="72D4F703">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lang w:eastAsia="zh-CN"/>
                    </w:rPr>
                  </w:pPr>
                  <w:r>
                    <w:rPr>
                      <w:rFonts w:hint="default" w:ascii="Times New Roman" w:hAnsi="Times New Roman" w:eastAsia="宋体" w:cs="Times New Roman"/>
                      <w:smallCaps w:val="0"/>
                      <w:color w:val="auto"/>
                      <w:spacing w:val="0"/>
                      <w:kern w:val="0"/>
                      <w:sz w:val="21"/>
                      <w:szCs w:val="21"/>
                      <w:lang w:eastAsia="zh-CN"/>
                    </w:rPr>
                    <w:t>规范一般工业固废管理</w:t>
                  </w:r>
                </w:p>
              </w:tc>
              <w:tc>
                <w:tcPr>
                  <w:tcW w:w="4042" w:type="pct"/>
                  <w:noWrap w:val="0"/>
                  <w:vAlign w:val="center"/>
                </w:tcPr>
                <w:p w14:paraId="74DAF862">
                  <w:pPr>
                    <w:pStyle w:val="7"/>
                    <w:spacing w:after="0"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sz w:val="21"/>
                      <w:szCs w:val="21"/>
                    </w:rPr>
                    <w:t>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w:t>
                  </w:r>
                  <w:r>
                    <w:rPr>
                      <w:rFonts w:hint="default" w:ascii="Times New Roman" w:hAnsi="Times New Roman" w:eastAsia="宋体" w:cs="Times New Roman"/>
                      <w:smallCaps w:val="0"/>
                      <w:color w:val="auto"/>
                      <w:spacing w:val="0"/>
                      <w:sz w:val="21"/>
                      <w:szCs w:val="21"/>
                      <w:lang w:eastAsia="zh-CN"/>
                    </w:rPr>
                    <w:t>，</w:t>
                  </w:r>
                  <w:r>
                    <w:rPr>
                      <w:rFonts w:hint="default" w:ascii="Times New Roman" w:hAnsi="Times New Roman" w:eastAsia="宋体" w:cs="Times New Roman"/>
                      <w:smallCaps w:val="0"/>
                      <w:color w:val="auto"/>
                      <w:spacing w:val="0"/>
                      <w:sz w:val="21"/>
                      <w:szCs w:val="21"/>
                    </w:rPr>
                    <w:t>建立收运处体系。一般工业固废用于矿山采坑回填和生态恢复的</w:t>
                  </w:r>
                  <w:r>
                    <w:rPr>
                      <w:rFonts w:hint="default" w:ascii="Times New Roman" w:hAnsi="Times New Roman" w:eastAsia="宋体" w:cs="Times New Roman"/>
                      <w:smallCaps w:val="0"/>
                      <w:color w:val="auto"/>
                      <w:spacing w:val="0"/>
                      <w:sz w:val="21"/>
                      <w:szCs w:val="21"/>
                      <w:lang w:eastAsia="zh-CN"/>
                    </w:rPr>
                    <w:t>：</w:t>
                  </w:r>
                  <w:r>
                    <w:rPr>
                      <w:rFonts w:hint="default" w:ascii="Times New Roman" w:hAnsi="Times New Roman" w:eastAsia="宋体" w:cs="Times New Roman"/>
                      <w:smallCaps w:val="0"/>
                      <w:color w:val="auto"/>
                      <w:spacing w:val="0"/>
                      <w:sz w:val="21"/>
                      <w:szCs w:val="21"/>
                    </w:rPr>
                    <w:t>参照《一般工业固体废物用于矿山采坑回填和生态恢复技术规范》(DB15/T2763-2022)执行</w:t>
                  </w:r>
                </w:p>
              </w:tc>
            </w:tr>
          </w:tbl>
          <w:p w14:paraId="1CD7801D">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sz w:val="24"/>
                <w:szCs w:val="24"/>
              </w:rPr>
            </w:pPr>
            <w:r>
              <w:rPr>
                <w:rFonts w:hint="default" w:ascii="Times New Roman" w:hAnsi="Times New Roman" w:eastAsia="宋体" w:cs="Times New Roman"/>
                <w:smallCaps w:val="0"/>
                <w:color w:val="auto"/>
                <w:spacing w:val="0"/>
                <w:sz w:val="24"/>
                <w:szCs w:val="24"/>
              </w:rPr>
              <w:t>危废贮存场所视频监控设施布设基本要求见下表。</w:t>
            </w:r>
          </w:p>
          <w:p w14:paraId="4819DF5D">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2"/>
                <w:sz w:val="21"/>
                <w:szCs w:val="22"/>
                <w:lang w:val="en-US" w:eastAsia="zh-CN" w:bidi="ar-SA"/>
              </w:rPr>
            </w:pPr>
            <w:r>
              <w:rPr>
                <w:rFonts w:hint="default" w:ascii="Times New Roman" w:hAnsi="Times New Roman" w:eastAsia="宋体" w:cs="Times New Roman"/>
                <w:b/>
                <w:smallCaps w:val="0"/>
                <w:color w:val="auto"/>
                <w:spacing w:val="0"/>
                <w:kern w:val="2"/>
                <w:sz w:val="21"/>
                <w:szCs w:val="22"/>
                <w:lang w:val="en-US" w:eastAsia="zh-CN" w:bidi="ar-SA"/>
              </w:rPr>
              <w:t>表4-20危险废物贮存场所（设施）监控设施布设要求表</w:t>
            </w:r>
          </w:p>
          <w:tbl>
            <w:tblPr>
              <w:tblStyle w:val="17"/>
              <w:tblpPr w:leftFromText="180" w:rightFromText="180" w:vertAnchor="text" w:tblpXSpec="center" w:tblpY="1"/>
              <w:tblOverlap w:val="never"/>
              <w:tblW w:w="4956" w:type="pct"/>
              <w:tblInd w:w="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997"/>
              <w:gridCol w:w="1633"/>
              <w:gridCol w:w="2060"/>
              <w:gridCol w:w="1447"/>
              <w:gridCol w:w="1229"/>
            </w:tblGrid>
            <w:tr w14:paraId="4A462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7" w:type="pct"/>
                  <w:gridSpan w:val="2"/>
                  <w:vMerge w:val="restart"/>
                  <w:noWrap w:val="0"/>
                  <w:vAlign w:val="center"/>
                </w:tcPr>
                <w:p w14:paraId="75C5C93C">
                  <w:pPr>
                    <w:pStyle w:val="7"/>
                    <w:spacing w:after="0" w:line="240" w:lineRule="auto"/>
                    <w:ind w:firstLine="0" w:firstLineChars="0"/>
                    <w:jc w:val="center"/>
                    <w:rPr>
                      <w:rFonts w:hint="default" w:ascii="Times New Roman" w:hAnsi="Times New Roman" w:eastAsia="宋体" w:cs="Times New Roman"/>
                      <w:b/>
                      <w:bCs/>
                      <w:smallCaps w:val="0"/>
                      <w:color w:val="auto"/>
                      <w:spacing w:val="0"/>
                      <w:sz w:val="21"/>
                      <w:szCs w:val="21"/>
                    </w:rPr>
                  </w:pPr>
                  <w:r>
                    <w:rPr>
                      <w:rFonts w:hint="default" w:ascii="Times New Roman" w:hAnsi="Times New Roman" w:eastAsia="宋体" w:cs="Times New Roman"/>
                      <w:b/>
                      <w:bCs/>
                      <w:smallCaps w:val="0"/>
                      <w:color w:val="auto"/>
                      <w:spacing w:val="0"/>
                      <w:sz w:val="21"/>
                      <w:szCs w:val="21"/>
                    </w:rPr>
                    <w:t>设置位置</w:t>
                  </w:r>
                </w:p>
              </w:tc>
              <w:tc>
                <w:tcPr>
                  <w:tcW w:w="1017" w:type="pct"/>
                  <w:vMerge w:val="restart"/>
                  <w:noWrap w:val="0"/>
                  <w:vAlign w:val="center"/>
                </w:tcPr>
                <w:p w14:paraId="6A5C2B7C">
                  <w:pPr>
                    <w:pStyle w:val="7"/>
                    <w:spacing w:after="0" w:line="240" w:lineRule="auto"/>
                    <w:ind w:firstLine="0" w:firstLineChars="0"/>
                    <w:jc w:val="center"/>
                    <w:rPr>
                      <w:rFonts w:hint="default" w:ascii="Times New Roman" w:hAnsi="Times New Roman" w:eastAsia="宋体" w:cs="Times New Roman"/>
                      <w:b/>
                      <w:bCs/>
                      <w:smallCaps w:val="0"/>
                      <w:color w:val="auto"/>
                      <w:spacing w:val="0"/>
                      <w:sz w:val="21"/>
                      <w:szCs w:val="21"/>
                    </w:rPr>
                  </w:pPr>
                  <w:r>
                    <w:rPr>
                      <w:rFonts w:hint="default" w:ascii="Times New Roman" w:hAnsi="Times New Roman" w:eastAsia="宋体" w:cs="Times New Roman"/>
                      <w:b/>
                      <w:bCs/>
                      <w:smallCaps w:val="0"/>
                      <w:color w:val="auto"/>
                      <w:spacing w:val="0"/>
                      <w:sz w:val="21"/>
                      <w:szCs w:val="21"/>
                    </w:rPr>
                    <w:t>监控范围</w:t>
                  </w:r>
                </w:p>
              </w:tc>
              <w:tc>
                <w:tcPr>
                  <w:tcW w:w="2795" w:type="pct"/>
                  <w:gridSpan w:val="3"/>
                  <w:noWrap w:val="0"/>
                  <w:vAlign w:val="center"/>
                </w:tcPr>
                <w:p w14:paraId="3FE24680">
                  <w:pPr>
                    <w:pStyle w:val="7"/>
                    <w:spacing w:after="0" w:line="240" w:lineRule="auto"/>
                    <w:ind w:firstLine="0" w:firstLineChars="0"/>
                    <w:jc w:val="center"/>
                    <w:rPr>
                      <w:rFonts w:hint="default" w:ascii="Times New Roman" w:hAnsi="Times New Roman" w:eastAsia="宋体" w:cs="Times New Roman"/>
                      <w:b/>
                      <w:bCs/>
                      <w:smallCaps w:val="0"/>
                      <w:color w:val="auto"/>
                      <w:spacing w:val="0"/>
                      <w:sz w:val="21"/>
                      <w:szCs w:val="21"/>
                    </w:rPr>
                  </w:pPr>
                  <w:r>
                    <w:rPr>
                      <w:rFonts w:hint="default" w:ascii="Times New Roman" w:hAnsi="Times New Roman" w:eastAsia="宋体" w:cs="Times New Roman"/>
                      <w:b/>
                      <w:bCs/>
                      <w:smallCaps w:val="0"/>
                      <w:color w:val="auto"/>
                      <w:spacing w:val="0"/>
                      <w:sz w:val="21"/>
                      <w:szCs w:val="21"/>
                    </w:rPr>
                    <w:t>监控系统要求</w:t>
                  </w:r>
                </w:p>
              </w:tc>
            </w:tr>
            <w:tr w14:paraId="6FED77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92" w:type="dxa"/>
                  <w:gridSpan w:val="2"/>
                  <w:vMerge w:val="continue"/>
                  <w:noWrap w:val="0"/>
                  <w:vAlign w:val="center"/>
                </w:tcPr>
                <w:p w14:paraId="558976AC">
                  <w:pPr>
                    <w:widowControl/>
                    <w:spacing w:line="240" w:lineRule="auto"/>
                    <w:ind w:firstLine="0" w:firstLineChars="0"/>
                    <w:jc w:val="left"/>
                    <w:rPr>
                      <w:rFonts w:hint="default" w:ascii="Times New Roman" w:hAnsi="Times New Roman" w:eastAsia="宋体" w:cs="Times New Roman"/>
                      <w:b/>
                      <w:bCs/>
                      <w:smallCaps w:val="0"/>
                      <w:color w:val="auto"/>
                      <w:spacing w:val="0"/>
                      <w:szCs w:val="21"/>
                    </w:rPr>
                  </w:pPr>
                </w:p>
              </w:tc>
              <w:tc>
                <w:tcPr>
                  <w:tcW w:w="1645" w:type="dxa"/>
                  <w:vMerge w:val="continue"/>
                  <w:noWrap w:val="0"/>
                  <w:vAlign w:val="center"/>
                </w:tcPr>
                <w:p w14:paraId="220CBE83">
                  <w:pPr>
                    <w:widowControl/>
                    <w:spacing w:line="240" w:lineRule="auto"/>
                    <w:ind w:firstLine="0" w:firstLineChars="0"/>
                    <w:jc w:val="left"/>
                    <w:rPr>
                      <w:rFonts w:hint="default" w:ascii="Times New Roman" w:hAnsi="Times New Roman" w:eastAsia="宋体" w:cs="Times New Roman"/>
                      <w:b/>
                      <w:bCs/>
                      <w:smallCaps w:val="0"/>
                      <w:color w:val="auto"/>
                      <w:spacing w:val="0"/>
                      <w:szCs w:val="21"/>
                    </w:rPr>
                  </w:pPr>
                </w:p>
              </w:tc>
              <w:tc>
                <w:tcPr>
                  <w:tcW w:w="1119" w:type="pct"/>
                  <w:noWrap w:val="0"/>
                  <w:vAlign w:val="center"/>
                </w:tcPr>
                <w:p w14:paraId="55343978">
                  <w:pPr>
                    <w:pStyle w:val="7"/>
                    <w:spacing w:after="0" w:line="240" w:lineRule="auto"/>
                    <w:ind w:firstLine="0" w:firstLineChars="0"/>
                    <w:jc w:val="center"/>
                    <w:rPr>
                      <w:rFonts w:hint="default" w:ascii="Times New Roman" w:hAnsi="Times New Roman" w:eastAsia="宋体" w:cs="Times New Roman"/>
                      <w:b/>
                      <w:bCs/>
                      <w:smallCaps w:val="0"/>
                      <w:color w:val="auto"/>
                      <w:spacing w:val="0"/>
                      <w:sz w:val="21"/>
                      <w:szCs w:val="21"/>
                    </w:rPr>
                  </w:pPr>
                  <w:r>
                    <w:rPr>
                      <w:rFonts w:hint="default" w:ascii="Times New Roman" w:hAnsi="Times New Roman" w:eastAsia="宋体" w:cs="Times New Roman"/>
                      <w:b/>
                      <w:bCs/>
                      <w:smallCaps w:val="0"/>
                      <w:color w:val="auto"/>
                      <w:spacing w:val="0"/>
                      <w:sz w:val="21"/>
                      <w:szCs w:val="21"/>
                    </w:rPr>
                    <w:t>设置标准</w:t>
                  </w:r>
                </w:p>
              </w:tc>
              <w:tc>
                <w:tcPr>
                  <w:tcW w:w="904" w:type="pct"/>
                  <w:noWrap w:val="0"/>
                  <w:vAlign w:val="center"/>
                </w:tcPr>
                <w:p w14:paraId="32B4A1DD">
                  <w:pPr>
                    <w:pStyle w:val="7"/>
                    <w:spacing w:after="0" w:line="240" w:lineRule="auto"/>
                    <w:ind w:firstLine="0" w:firstLineChars="0"/>
                    <w:jc w:val="center"/>
                    <w:rPr>
                      <w:rFonts w:hint="default" w:ascii="Times New Roman" w:hAnsi="Times New Roman" w:eastAsia="宋体" w:cs="Times New Roman"/>
                      <w:b/>
                      <w:bCs/>
                      <w:smallCaps w:val="0"/>
                      <w:color w:val="auto"/>
                      <w:spacing w:val="0"/>
                      <w:sz w:val="21"/>
                      <w:szCs w:val="21"/>
                    </w:rPr>
                  </w:pPr>
                  <w:r>
                    <w:rPr>
                      <w:rFonts w:hint="default" w:ascii="Times New Roman" w:hAnsi="Times New Roman" w:eastAsia="宋体" w:cs="Times New Roman"/>
                      <w:b/>
                      <w:bCs/>
                      <w:smallCaps w:val="0"/>
                      <w:color w:val="auto"/>
                      <w:spacing w:val="0"/>
                      <w:sz w:val="21"/>
                      <w:szCs w:val="21"/>
                    </w:rPr>
                    <w:t>监控质量要求</w:t>
                  </w:r>
                </w:p>
              </w:tc>
              <w:tc>
                <w:tcPr>
                  <w:tcW w:w="771" w:type="pct"/>
                  <w:noWrap w:val="0"/>
                  <w:vAlign w:val="center"/>
                </w:tcPr>
                <w:p w14:paraId="44C67504">
                  <w:pPr>
                    <w:pStyle w:val="7"/>
                    <w:spacing w:after="0" w:line="240" w:lineRule="auto"/>
                    <w:ind w:firstLine="0" w:firstLineChars="0"/>
                    <w:jc w:val="center"/>
                    <w:rPr>
                      <w:rFonts w:hint="default" w:ascii="Times New Roman" w:hAnsi="Times New Roman" w:eastAsia="宋体" w:cs="Times New Roman"/>
                      <w:b/>
                      <w:bCs/>
                      <w:smallCaps w:val="0"/>
                      <w:color w:val="auto"/>
                      <w:spacing w:val="0"/>
                      <w:sz w:val="21"/>
                      <w:szCs w:val="21"/>
                    </w:rPr>
                  </w:pPr>
                  <w:r>
                    <w:rPr>
                      <w:rFonts w:hint="default" w:ascii="Times New Roman" w:hAnsi="Times New Roman" w:eastAsia="宋体" w:cs="Times New Roman"/>
                      <w:b/>
                      <w:bCs/>
                      <w:smallCaps w:val="0"/>
                      <w:color w:val="auto"/>
                      <w:spacing w:val="0"/>
                      <w:sz w:val="21"/>
                      <w:szCs w:val="21"/>
                    </w:rPr>
                    <w:t>存储传输</w:t>
                  </w:r>
                </w:p>
              </w:tc>
            </w:tr>
            <w:tr w14:paraId="0B899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6" w:type="pct"/>
                  <w:vMerge w:val="restart"/>
                  <w:noWrap w:val="0"/>
                  <w:vAlign w:val="center"/>
                </w:tcPr>
                <w:p w14:paraId="7CE08B5B">
                  <w:pPr>
                    <w:pStyle w:val="7"/>
                    <w:spacing w:after="0"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sz w:val="21"/>
                      <w:szCs w:val="21"/>
                    </w:rPr>
                    <w:t>一、贮存设施</w:t>
                  </w:r>
                </w:p>
              </w:tc>
              <w:tc>
                <w:tcPr>
                  <w:tcW w:w="631" w:type="pct"/>
                  <w:noWrap w:val="0"/>
                  <w:vAlign w:val="center"/>
                </w:tcPr>
                <w:p w14:paraId="3B9B8A29">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rPr>
                  </w:pPr>
                  <w:r>
                    <w:rPr>
                      <w:rFonts w:hint="default" w:ascii="Times New Roman" w:hAnsi="Times New Roman" w:eastAsia="宋体" w:cs="Times New Roman"/>
                      <w:smallCaps w:val="0"/>
                      <w:color w:val="auto"/>
                      <w:spacing w:val="0"/>
                      <w:kern w:val="0"/>
                      <w:sz w:val="21"/>
                      <w:szCs w:val="21"/>
                    </w:rPr>
                    <w:t>全封闭式仓库出入口</w:t>
                  </w:r>
                </w:p>
              </w:tc>
              <w:tc>
                <w:tcPr>
                  <w:tcW w:w="1017" w:type="pct"/>
                  <w:noWrap w:val="0"/>
                  <w:vAlign w:val="center"/>
                </w:tcPr>
                <w:p w14:paraId="1BCEB16A">
                  <w:pPr>
                    <w:pStyle w:val="7"/>
                    <w:spacing w:after="0" w:line="240" w:lineRule="auto"/>
                    <w:ind w:firstLine="0" w:firstLineChars="0"/>
                    <w:jc w:val="center"/>
                    <w:rPr>
                      <w:rFonts w:hint="default" w:ascii="Times New Roman" w:hAnsi="Times New Roman" w:eastAsia="宋体" w:cs="Times New Roman"/>
                      <w:smallCaps w:val="0"/>
                      <w:color w:val="auto"/>
                      <w:spacing w:val="0"/>
                      <w:sz w:val="21"/>
                      <w:szCs w:val="21"/>
                      <w:lang w:val="zh-TW" w:eastAsia="zh-TW"/>
                    </w:rPr>
                  </w:pPr>
                  <w:r>
                    <w:rPr>
                      <w:rFonts w:hint="default" w:ascii="Times New Roman" w:hAnsi="Times New Roman" w:eastAsia="宋体" w:cs="Times New Roman"/>
                      <w:smallCaps w:val="0"/>
                      <w:color w:val="auto"/>
                      <w:spacing w:val="0"/>
                      <w:sz w:val="21"/>
                      <w:szCs w:val="21"/>
                    </w:rPr>
                    <w:t>全景视频监控，清晰记录危险废物入库、出库行为。</w:t>
                  </w:r>
                </w:p>
              </w:tc>
              <w:tc>
                <w:tcPr>
                  <w:tcW w:w="1119" w:type="pct"/>
                  <w:vMerge w:val="restart"/>
                  <w:noWrap w:val="0"/>
                  <w:vAlign w:val="center"/>
                </w:tcPr>
                <w:p w14:paraId="7267C23A">
                  <w:pPr>
                    <w:pStyle w:val="44"/>
                    <w:tabs>
                      <w:tab w:val="left" w:pos="216"/>
                    </w:tabs>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kern w:val="0"/>
                      <w:sz w:val="21"/>
                      <w:szCs w:val="21"/>
                      <w:lang w:val="en-US" w:eastAsia="zh-CN"/>
                    </w:rPr>
                    <w:t>1、</w:t>
                  </w:r>
                  <w:r>
                    <w:rPr>
                      <w:rFonts w:hint="default" w:ascii="Times New Roman" w:hAnsi="Times New Roman" w:eastAsia="宋体" w:cs="Times New Roman"/>
                      <w:smallCaps w:val="0"/>
                      <w:color w:val="auto"/>
                      <w:spacing w:val="0"/>
                      <w:kern w:val="0"/>
                      <w:sz w:val="21"/>
                      <w:szCs w:val="21"/>
                    </w:rPr>
                    <w:t>监控系统须满足《公共安全视频监控联网系统信息传输、交换、控制技术要求》</w:t>
                  </w:r>
                  <w:r>
                    <w:rPr>
                      <w:rFonts w:hint="default" w:ascii="Times New Roman" w:hAnsi="Times New Roman" w:eastAsia="宋体" w:cs="Times New Roman"/>
                      <w:smallCaps w:val="0"/>
                      <w:color w:val="auto"/>
                      <w:spacing w:val="0"/>
                      <w:kern w:val="0"/>
                      <w:sz w:val="21"/>
                      <w:szCs w:val="21"/>
                      <w:lang w:val="en-US" w:eastAsia="zh-CN" w:bidi="en-US"/>
                    </w:rPr>
                    <w:t>(GB/T28181-2022)，</w:t>
                  </w:r>
                  <w:r>
                    <w:rPr>
                      <w:rFonts w:hint="default" w:ascii="Times New Roman" w:hAnsi="Times New Roman" w:eastAsia="宋体" w:cs="Times New Roman"/>
                      <w:smallCaps w:val="0"/>
                      <w:color w:val="auto"/>
                      <w:spacing w:val="0"/>
                      <w:kern w:val="0"/>
                      <w:sz w:val="21"/>
                      <w:szCs w:val="21"/>
                    </w:rPr>
                    <w:t>《安全防范高清视频监控系统技术要求》</w:t>
                  </w:r>
                  <w:r>
                    <w:rPr>
                      <w:rFonts w:hint="default" w:ascii="Times New Roman" w:hAnsi="Times New Roman" w:eastAsia="宋体" w:cs="Times New Roman"/>
                      <w:smallCaps w:val="0"/>
                      <w:color w:val="auto"/>
                      <w:spacing w:val="0"/>
                      <w:kern w:val="0"/>
                      <w:sz w:val="21"/>
                      <w:szCs w:val="21"/>
                      <w:lang w:val="en-US" w:eastAsia="zh-CN" w:bidi="en-US"/>
                    </w:rPr>
                    <w:t>(GA/T1211-2014)</w:t>
                  </w:r>
                  <w:r>
                    <w:rPr>
                      <w:rFonts w:hint="default" w:ascii="Times New Roman" w:hAnsi="Times New Roman" w:eastAsia="宋体" w:cs="Times New Roman"/>
                      <w:smallCaps w:val="0"/>
                      <w:color w:val="auto"/>
                      <w:spacing w:val="0"/>
                      <w:kern w:val="0"/>
                      <w:sz w:val="21"/>
                      <w:szCs w:val="21"/>
                    </w:rPr>
                    <w:t>等标准；</w:t>
                  </w:r>
                </w:p>
                <w:p w14:paraId="32EBB809">
                  <w:pPr>
                    <w:pStyle w:val="44"/>
                    <w:tabs>
                      <w:tab w:val="left" w:pos="230"/>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2、</w:t>
                  </w:r>
                  <w:r>
                    <w:rPr>
                      <w:rFonts w:hint="default" w:ascii="Times New Roman" w:hAnsi="Times New Roman" w:eastAsia="宋体" w:cs="Times New Roman"/>
                      <w:smallCaps w:val="0"/>
                      <w:color w:val="auto"/>
                      <w:spacing w:val="0"/>
                      <w:kern w:val="0"/>
                      <w:sz w:val="21"/>
                      <w:szCs w:val="21"/>
                    </w:rPr>
                    <w:t>所有摄像机须支持</w:t>
                  </w:r>
                  <w:r>
                    <w:rPr>
                      <w:rFonts w:hint="default" w:ascii="Times New Roman" w:hAnsi="Times New Roman" w:eastAsia="宋体" w:cs="Times New Roman"/>
                      <w:smallCaps w:val="0"/>
                      <w:color w:val="auto"/>
                      <w:spacing w:val="0"/>
                      <w:kern w:val="0"/>
                      <w:sz w:val="21"/>
                      <w:szCs w:val="21"/>
                      <w:lang w:val="en-US" w:eastAsia="zh-CN" w:bidi="en-US"/>
                    </w:rPr>
                    <w:t>0NVIF</w:t>
                  </w:r>
                  <w:r>
                    <w:rPr>
                      <w:rFonts w:hint="default" w:ascii="Times New Roman" w:hAnsi="Times New Roman" w:eastAsia="宋体" w:cs="Times New Roman"/>
                      <w:smallCaps w:val="0"/>
                      <w:color w:val="auto"/>
                      <w:spacing w:val="0"/>
                      <w:kern w:val="0"/>
                      <w:sz w:val="21"/>
                      <w:szCs w:val="21"/>
                    </w:rPr>
                    <w:t>、</w:t>
                  </w:r>
                  <w:r>
                    <w:rPr>
                      <w:rFonts w:hint="default" w:ascii="Times New Roman" w:hAnsi="Times New Roman" w:eastAsia="宋体" w:cs="Times New Roman"/>
                      <w:smallCaps w:val="0"/>
                      <w:color w:val="auto"/>
                      <w:spacing w:val="0"/>
                      <w:kern w:val="0"/>
                      <w:sz w:val="21"/>
                      <w:szCs w:val="21"/>
                      <w:lang w:val="en-US" w:eastAsia="zh-CN" w:bidi="en-US"/>
                    </w:rPr>
                    <w:t>GB/T28181-2022</w:t>
                  </w:r>
                  <w:r>
                    <w:rPr>
                      <w:rFonts w:hint="default" w:ascii="Times New Roman" w:hAnsi="Times New Roman" w:eastAsia="宋体" w:cs="Times New Roman"/>
                      <w:smallCaps w:val="0"/>
                      <w:color w:val="auto"/>
                      <w:spacing w:val="0"/>
                      <w:kern w:val="0"/>
                      <w:sz w:val="21"/>
                      <w:szCs w:val="21"/>
                    </w:rPr>
                    <w:t>标准协议。</w:t>
                  </w:r>
                </w:p>
              </w:tc>
              <w:tc>
                <w:tcPr>
                  <w:tcW w:w="904" w:type="pct"/>
                  <w:vMerge w:val="restart"/>
                  <w:noWrap w:val="0"/>
                  <w:vAlign w:val="center"/>
                </w:tcPr>
                <w:p w14:paraId="584A3009">
                  <w:pPr>
                    <w:pStyle w:val="44"/>
                    <w:tabs>
                      <w:tab w:val="left" w:pos="226"/>
                    </w:tabs>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kern w:val="0"/>
                      <w:sz w:val="21"/>
                      <w:szCs w:val="21"/>
                      <w:lang w:val="en-US" w:eastAsia="zh-CN"/>
                    </w:rPr>
                    <w:t>1、</w:t>
                  </w:r>
                  <w:r>
                    <w:rPr>
                      <w:rFonts w:hint="default" w:ascii="Times New Roman" w:hAnsi="Times New Roman" w:eastAsia="宋体" w:cs="Times New Roman"/>
                      <w:smallCaps w:val="0"/>
                      <w:color w:val="auto"/>
                      <w:spacing w:val="0"/>
                      <w:kern w:val="0"/>
                      <w:sz w:val="21"/>
                      <w:szCs w:val="21"/>
                    </w:rPr>
                    <w:t>须连续记录危险废物出入库情况和物流情况，包含录制日期及时间显示，不得对原始影像文件进行拼接、剪辑和编辑，保证影像连贯；</w:t>
                  </w:r>
                </w:p>
                <w:p w14:paraId="02F7072F">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rPr>
                  </w:pPr>
                  <w:r>
                    <w:rPr>
                      <w:rFonts w:hint="default" w:ascii="Times New Roman" w:hAnsi="Times New Roman" w:eastAsia="宋体" w:cs="Times New Roman"/>
                      <w:smallCaps w:val="0"/>
                      <w:color w:val="auto"/>
                      <w:spacing w:val="0"/>
                      <w:kern w:val="0"/>
                      <w:sz w:val="21"/>
                      <w:szCs w:val="21"/>
                      <w:lang w:val="en-US" w:eastAsia="zh-CN"/>
                    </w:rPr>
                    <w:t>2、</w:t>
                  </w:r>
                  <w:r>
                    <w:rPr>
                      <w:rFonts w:hint="default" w:ascii="Times New Roman" w:hAnsi="Times New Roman" w:eastAsia="宋体" w:cs="Times New Roman"/>
                      <w:smallCaps w:val="0"/>
                      <w:color w:val="auto"/>
                      <w:spacing w:val="0"/>
                      <w:kern w:val="0"/>
                      <w:sz w:val="21"/>
                      <w:szCs w:val="21"/>
                    </w:rPr>
                    <w:t>摄像头距离监控对象的位置应保证监控对象全部摄入监控视频中，同时避免人员、设备、建筑物等的遮挡，清楚辨识贮存、处理等关键环节；</w:t>
                  </w:r>
                </w:p>
                <w:p w14:paraId="1E6CFFDE">
                  <w:pPr>
                    <w:pStyle w:val="44"/>
                    <w:tabs>
                      <w:tab w:val="left" w:pos="216"/>
                    </w:tabs>
                    <w:spacing w:line="240" w:lineRule="auto"/>
                    <w:ind w:firstLine="0" w:firstLineChars="0"/>
                    <w:jc w:val="center"/>
                    <w:rPr>
                      <w:rFonts w:hint="default" w:ascii="Times New Roman" w:hAnsi="Times New Roman" w:eastAsia="宋体" w:cs="Times New Roman"/>
                      <w:smallCaps w:val="0"/>
                      <w:color w:val="auto"/>
                      <w:spacing w:val="0"/>
                      <w:kern w:val="0"/>
                      <w:sz w:val="21"/>
                      <w:szCs w:val="21"/>
                    </w:rPr>
                  </w:pPr>
                  <w:r>
                    <w:rPr>
                      <w:rFonts w:hint="default" w:ascii="Times New Roman" w:hAnsi="Times New Roman" w:eastAsia="宋体" w:cs="Times New Roman"/>
                      <w:smallCaps w:val="0"/>
                      <w:color w:val="auto"/>
                      <w:spacing w:val="0"/>
                      <w:kern w:val="0"/>
                      <w:sz w:val="21"/>
                      <w:szCs w:val="21"/>
                      <w:lang w:val="en-US" w:eastAsia="zh-CN"/>
                    </w:rPr>
                    <w:t>3、</w:t>
                  </w:r>
                  <w:r>
                    <w:rPr>
                      <w:rFonts w:hint="default" w:ascii="Times New Roman" w:hAnsi="Times New Roman" w:eastAsia="宋体" w:cs="Times New Roman"/>
                      <w:smallCaps w:val="0"/>
                      <w:color w:val="auto"/>
                      <w:spacing w:val="0"/>
                      <w:kern w:val="0"/>
                      <w:sz w:val="21"/>
                      <w:szCs w:val="21"/>
                    </w:rPr>
                    <w:t>监控区域24小时须有足够的光源以保证画面清晰辨识。无法保证24小时足够光源的区域，应安装全景红外夜视高清视频监控；</w:t>
                  </w:r>
                </w:p>
                <w:p w14:paraId="32C3E04D">
                  <w:pPr>
                    <w:pStyle w:val="44"/>
                    <w:tabs>
                      <w:tab w:val="left" w:pos="21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4、</w:t>
                  </w:r>
                  <w:r>
                    <w:rPr>
                      <w:rFonts w:hint="default" w:ascii="Times New Roman" w:hAnsi="Times New Roman" w:eastAsia="宋体" w:cs="Times New Roman"/>
                      <w:smallCaps w:val="0"/>
                      <w:color w:val="auto"/>
                      <w:spacing w:val="0"/>
                      <w:kern w:val="0"/>
                      <w:sz w:val="21"/>
                      <w:szCs w:val="21"/>
                    </w:rPr>
                    <w:t>视频监控录像画面分辨率须达到300万像素以上。</w:t>
                  </w:r>
                </w:p>
              </w:tc>
              <w:tc>
                <w:tcPr>
                  <w:tcW w:w="771" w:type="pct"/>
                  <w:vMerge w:val="restart"/>
                  <w:noWrap w:val="0"/>
                  <w:vAlign w:val="center"/>
                </w:tcPr>
                <w:p w14:paraId="17CAFB01">
                  <w:pPr>
                    <w:pStyle w:val="44"/>
                    <w:tabs>
                      <w:tab w:val="left" w:pos="216"/>
                    </w:tabs>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kern w:val="0"/>
                      <w:sz w:val="21"/>
                      <w:szCs w:val="21"/>
                      <w:lang w:val="en-US" w:eastAsia="zh-CN"/>
                    </w:rPr>
                    <w:t>1、</w:t>
                  </w:r>
                  <w:r>
                    <w:rPr>
                      <w:rFonts w:hint="default" w:ascii="Times New Roman" w:hAnsi="Times New Roman" w:eastAsia="宋体" w:cs="Times New Roman"/>
                      <w:smallCaps w:val="0"/>
                      <w:color w:val="auto"/>
                      <w:spacing w:val="0"/>
                      <w:kern w:val="0"/>
                      <w:sz w:val="21"/>
                      <w:szCs w:val="21"/>
                    </w:rPr>
                    <w:t>包含储罐、贮槽液位计在内的视频监控系统应与中控室联网，并存储于中控系统。没有配备中控系统的，应采用硬盘或其他安全的方式存储，鼓励使用云存储方式，将视频记录传输至网络云端按相关规定存储；</w:t>
                  </w:r>
                </w:p>
                <w:p w14:paraId="4260C008">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lang w:val="en-US" w:eastAsia="zh-CN"/>
                    </w:rPr>
                  </w:pPr>
                  <w:r>
                    <w:rPr>
                      <w:rFonts w:hint="default" w:ascii="Times New Roman" w:hAnsi="Times New Roman" w:eastAsia="宋体" w:cs="Times New Roman"/>
                      <w:smallCaps w:val="0"/>
                      <w:color w:val="auto"/>
                      <w:spacing w:val="0"/>
                      <w:kern w:val="0"/>
                      <w:sz w:val="21"/>
                      <w:szCs w:val="21"/>
                      <w:lang w:val="en-US" w:eastAsia="zh-CN"/>
                    </w:rPr>
                    <w:t>2、</w:t>
                  </w:r>
                  <w:r>
                    <w:rPr>
                      <w:rFonts w:hint="default" w:ascii="Times New Roman" w:hAnsi="Times New Roman" w:eastAsia="宋体" w:cs="Times New Roman"/>
                      <w:smallCaps w:val="0"/>
                      <w:color w:val="auto"/>
                      <w:spacing w:val="0"/>
                      <w:kern w:val="0"/>
                      <w:sz w:val="21"/>
                      <w:szCs w:val="21"/>
                    </w:rPr>
                    <w:t>企业应当做好备用电源、视频双备份等保障措施，确保视频监控全天24小时不间断录像，监控视频保存时间至少为3个月。</w:t>
                  </w:r>
                </w:p>
              </w:tc>
            </w:tr>
            <w:tr w14:paraId="12488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4" w:type="dxa"/>
                  <w:vMerge w:val="continue"/>
                  <w:noWrap w:val="0"/>
                  <w:vAlign w:val="center"/>
                </w:tcPr>
                <w:p w14:paraId="649B7390">
                  <w:pPr>
                    <w:widowControl/>
                    <w:spacing w:line="240" w:lineRule="auto"/>
                    <w:ind w:firstLine="0" w:firstLineChars="0"/>
                    <w:jc w:val="left"/>
                    <w:rPr>
                      <w:rFonts w:hint="default" w:ascii="Times New Roman" w:hAnsi="Times New Roman" w:eastAsia="宋体" w:cs="Times New Roman"/>
                      <w:smallCaps w:val="0"/>
                      <w:color w:val="auto"/>
                      <w:spacing w:val="0"/>
                      <w:szCs w:val="21"/>
                    </w:rPr>
                  </w:pPr>
                </w:p>
              </w:tc>
              <w:tc>
                <w:tcPr>
                  <w:tcW w:w="631" w:type="pct"/>
                  <w:noWrap w:val="0"/>
                  <w:vAlign w:val="center"/>
                </w:tcPr>
                <w:p w14:paraId="7C922747">
                  <w:pPr>
                    <w:pStyle w:val="44"/>
                    <w:tabs>
                      <w:tab w:val="left" w:pos="221"/>
                    </w:tabs>
                    <w:spacing w:line="240" w:lineRule="auto"/>
                    <w:ind w:firstLine="0" w:firstLineChars="0"/>
                    <w:jc w:val="center"/>
                    <w:rPr>
                      <w:rFonts w:hint="default" w:ascii="Times New Roman" w:hAnsi="Times New Roman" w:eastAsia="宋体" w:cs="Times New Roman"/>
                      <w:smallCaps w:val="0"/>
                      <w:color w:val="auto"/>
                      <w:spacing w:val="0"/>
                      <w:kern w:val="0"/>
                      <w:sz w:val="21"/>
                      <w:szCs w:val="21"/>
                    </w:rPr>
                  </w:pPr>
                  <w:r>
                    <w:rPr>
                      <w:rFonts w:hint="default" w:ascii="Times New Roman" w:hAnsi="Times New Roman" w:eastAsia="宋体" w:cs="Times New Roman"/>
                      <w:smallCaps w:val="0"/>
                      <w:color w:val="auto"/>
                      <w:spacing w:val="0"/>
                      <w:kern w:val="0"/>
                      <w:sz w:val="21"/>
                      <w:szCs w:val="21"/>
                    </w:rPr>
                    <w:t>全封闭式仓库内部</w:t>
                  </w:r>
                </w:p>
              </w:tc>
              <w:tc>
                <w:tcPr>
                  <w:tcW w:w="1017" w:type="pct"/>
                  <w:noWrap w:val="0"/>
                  <w:vAlign w:val="center"/>
                </w:tcPr>
                <w:p w14:paraId="0EAC1AC0">
                  <w:pPr>
                    <w:pStyle w:val="7"/>
                    <w:spacing w:after="0" w:line="240" w:lineRule="auto"/>
                    <w:ind w:firstLine="0" w:firstLineChars="0"/>
                    <w:jc w:val="center"/>
                    <w:rPr>
                      <w:rFonts w:hint="default" w:ascii="Times New Roman" w:hAnsi="Times New Roman" w:eastAsia="宋体" w:cs="Times New Roman"/>
                      <w:smallCaps w:val="0"/>
                      <w:color w:val="auto"/>
                      <w:spacing w:val="0"/>
                      <w:sz w:val="21"/>
                      <w:szCs w:val="21"/>
                      <w:lang w:val="zh-TW" w:eastAsia="zh-TW"/>
                    </w:rPr>
                  </w:pPr>
                  <w:r>
                    <w:rPr>
                      <w:rFonts w:hint="default" w:ascii="Times New Roman" w:hAnsi="Times New Roman" w:eastAsia="宋体" w:cs="Times New Roman"/>
                      <w:smallCaps w:val="0"/>
                      <w:color w:val="auto"/>
                      <w:spacing w:val="0"/>
                      <w:sz w:val="21"/>
                      <w:szCs w:val="21"/>
                    </w:rPr>
                    <w:t>全景视频监控，清晰记录仓库内部所有位置危险废物情况。</w:t>
                  </w:r>
                </w:p>
              </w:tc>
              <w:tc>
                <w:tcPr>
                  <w:tcW w:w="2001" w:type="dxa"/>
                  <w:vMerge w:val="continue"/>
                  <w:noWrap w:val="0"/>
                  <w:vAlign w:val="center"/>
                </w:tcPr>
                <w:p w14:paraId="2FBAE6DE">
                  <w:pPr>
                    <w:widowControl/>
                    <w:spacing w:line="240" w:lineRule="auto"/>
                    <w:ind w:firstLine="0" w:firstLineChars="0"/>
                    <w:jc w:val="left"/>
                    <w:rPr>
                      <w:rFonts w:hint="default" w:ascii="Times New Roman" w:hAnsi="Times New Roman" w:eastAsia="宋体" w:cs="Times New Roman"/>
                      <w:smallCaps w:val="0"/>
                      <w:color w:val="auto"/>
                      <w:spacing w:val="0"/>
                      <w:szCs w:val="21"/>
                      <w:lang w:bidi="zh-TW"/>
                    </w:rPr>
                  </w:pPr>
                </w:p>
              </w:tc>
              <w:tc>
                <w:tcPr>
                  <w:tcW w:w="1459" w:type="dxa"/>
                  <w:vMerge w:val="continue"/>
                  <w:noWrap w:val="0"/>
                  <w:vAlign w:val="center"/>
                </w:tcPr>
                <w:p w14:paraId="76988341">
                  <w:pPr>
                    <w:widowControl/>
                    <w:spacing w:line="240" w:lineRule="auto"/>
                    <w:ind w:firstLine="0" w:firstLineChars="0"/>
                    <w:jc w:val="left"/>
                    <w:rPr>
                      <w:rFonts w:hint="default" w:ascii="Times New Roman" w:hAnsi="Times New Roman" w:eastAsia="宋体" w:cs="Times New Roman"/>
                      <w:smallCaps w:val="0"/>
                      <w:color w:val="auto"/>
                      <w:spacing w:val="0"/>
                      <w:szCs w:val="21"/>
                      <w:lang w:bidi="zh-TW"/>
                    </w:rPr>
                  </w:pPr>
                </w:p>
              </w:tc>
              <w:tc>
                <w:tcPr>
                  <w:tcW w:w="1241" w:type="dxa"/>
                  <w:vMerge w:val="continue"/>
                  <w:noWrap w:val="0"/>
                  <w:vAlign w:val="center"/>
                </w:tcPr>
                <w:p w14:paraId="673BD034">
                  <w:pPr>
                    <w:widowControl/>
                    <w:spacing w:line="240" w:lineRule="auto"/>
                    <w:ind w:firstLine="0" w:firstLineChars="0"/>
                    <w:jc w:val="left"/>
                    <w:rPr>
                      <w:rFonts w:hint="default" w:ascii="Times New Roman" w:hAnsi="Times New Roman" w:eastAsia="宋体" w:cs="Times New Roman"/>
                      <w:smallCaps w:val="0"/>
                      <w:color w:val="auto"/>
                      <w:spacing w:val="0"/>
                      <w:szCs w:val="21"/>
                      <w:lang w:bidi="zh-TW"/>
                    </w:rPr>
                  </w:pPr>
                </w:p>
              </w:tc>
            </w:tr>
            <w:tr w14:paraId="0DD48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4" w:type="dxa"/>
                  <w:vMerge w:val="continue"/>
                  <w:noWrap w:val="0"/>
                  <w:vAlign w:val="center"/>
                </w:tcPr>
                <w:p w14:paraId="717C6C38">
                  <w:pPr>
                    <w:widowControl/>
                    <w:spacing w:line="240" w:lineRule="auto"/>
                    <w:ind w:firstLine="0" w:firstLineChars="0"/>
                    <w:jc w:val="left"/>
                    <w:rPr>
                      <w:rFonts w:hint="default" w:ascii="Times New Roman" w:hAnsi="Times New Roman" w:eastAsia="宋体" w:cs="Times New Roman"/>
                      <w:smallCaps w:val="0"/>
                      <w:color w:val="auto"/>
                      <w:spacing w:val="0"/>
                      <w:szCs w:val="21"/>
                    </w:rPr>
                  </w:pPr>
                </w:p>
              </w:tc>
              <w:tc>
                <w:tcPr>
                  <w:tcW w:w="631" w:type="pct"/>
                  <w:noWrap w:val="0"/>
                  <w:vAlign w:val="center"/>
                </w:tcPr>
                <w:p w14:paraId="4910A09D">
                  <w:pPr>
                    <w:pStyle w:val="7"/>
                    <w:spacing w:after="0"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sz w:val="21"/>
                      <w:szCs w:val="21"/>
                    </w:rPr>
                    <w:t>围墙、防护栅栏隔离区域</w:t>
                  </w:r>
                </w:p>
              </w:tc>
              <w:tc>
                <w:tcPr>
                  <w:tcW w:w="1017" w:type="pct"/>
                  <w:noWrap w:val="0"/>
                  <w:vAlign w:val="center"/>
                </w:tcPr>
                <w:p w14:paraId="62078C6F">
                  <w:pPr>
                    <w:pStyle w:val="7"/>
                    <w:spacing w:after="0"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sz w:val="21"/>
                      <w:szCs w:val="21"/>
                    </w:rPr>
                    <w:t>全景视频监控，画面须完全覆盖围墙围挡区域、防护栅栏隔离区域。</w:t>
                  </w:r>
                </w:p>
              </w:tc>
              <w:tc>
                <w:tcPr>
                  <w:tcW w:w="2001" w:type="dxa"/>
                  <w:vMerge w:val="continue"/>
                  <w:noWrap w:val="0"/>
                  <w:vAlign w:val="center"/>
                </w:tcPr>
                <w:p w14:paraId="20DD9EE7">
                  <w:pPr>
                    <w:widowControl/>
                    <w:spacing w:line="240" w:lineRule="auto"/>
                    <w:ind w:firstLine="0" w:firstLineChars="0"/>
                    <w:jc w:val="left"/>
                    <w:rPr>
                      <w:rFonts w:hint="default" w:ascii="Times New Roman" w:hAnsi="Times New Roman" w:eastAsia="宋体" w:cs="Times New Roman"/>
                      <w:smallCaps w:val="0"/>
                      <w:color w:val="auto"/>
                      <w:spacing w:val="0"/>
                      <w:szCs w:val="21"/>
                      <w:lang w:bidi="zh-TW"/>
                    </w:rPr>
                  </w:pPr>
                </w:p>
              </w:tc>
              <w:tc>
                <w:tcPr>
                  <w:tcW w:w="1459" w:type="dxa"/>
                  <w:vMerge w:val="continue"/>
                  <w:noWrap w:val="0"/>
                  <w:vAlign w:val="center"/>
                </w:tcPr>
                <w:p w14:paraId="43AB5BA5">
                  <w:pPr>
                    <w:widowControl/>
                    <w:spacing w:line="240" w:lineRule="auto"/>
                    <w:ind w:firstLine="0" w:firstLineChars="0"/>
                    <w:jc w:val="left"/>
                    <w:rPr>
                      <w:rFonts w:hint="default" w:ascii="Times New Roman" w:hAnsi="Times New Roman" w:eastAsia="宋体" w:cs="Times New Roman"/>
                      <w:smallCaps w:val="0"/>
                      <w:color w:val="auto"/>
                      <w:spacing w:val="0"/>
                      <w:szCs w:val="21"/>
                      <w:lang w:bidi="zh-TW"/>
                    </w:rPr>
                  </w:pPr>
                </w:p>
              </w:tc>
              <w:tc>
                <w:tcPr>
                  <w:tcW w:w="1241" w:type="dxa"/>
                  <w:vMerge w:val="continue"/>
                  <w:noWrap w:val="0"/>
                  <w:vAlign w:val="center"/>
                </w:tcPr>
                <w:p w14:paraId="478A0EB2">
                  <w:pPr>
                    <w:widowControl/>
                    <w:spacing w:line="240" w:lineRule="auto"/>
                    <w:ind w:firstLine="0" w:firstLineChars="0"/>
                    <w:jc w:val="left"/>
                    <w:rPr>
                      <w:rFonts w:hint="default" w:ascii="Times New Roman" w:hAnsi="Times New Roman" w:eastAsia="宋体" w:cs="Times New Roman"/>
                      <w:smallCaps w:val="0"/>
                      <w:color w:val="auto"/>
                      <w:spacing w:val="0"/>
                      <w:szCs w:val="21"/>
                      <w:lang w:bidi="zh-TW"/>
                    </w:rPr>
                  </w:pPr>
                </w:p>
              </w:tc>
            </w:tr>
            <w:tr w14:paraId="0AF90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7" w:type="pct"/>
                  <w:gridSpan w:val="2"/>
                  <w:noWrap w:val="0"/>
                  <w:vAlign w:val="center"/>
                </w:tcPr>
                <w:p w14:paraId="27415F6F">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rPr>
                  </w:pPr>
                  <w:r>
                    <w:rPr>
                      <w:rFonts w:hint="default" w:ascii="Times New Roman" w:hAnsi="Times New Roman" w:eastAsia="宋体" w:cs="Times New Roman"/>
                      <w:smallCaps w:val="0"/>
                      <w:color w:val="auto"/>
                      <w:spacing w:val="0"/>
                      <w:kern w:val="0"/>
                      <w:sz w:val="21"/>
                      <w:szCs w:val="21"/>
                    </w:rPr>
                    <w:t>二、装卸区域</w:t>
                  </w:r>
                </w:p>
              </w:tc>
              <w:tc>
                <w:tcPr>
                  <w:tcW w:w="1017" w:type="pct"/>
                  <w:noWrap w:val="0"/>
                  <w:vAlign w:val="center"/>
                </w:tcPr>
                <w:p w14:paraId="4450F9AB">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rPr>
                  </w:pPr>
                  <w:r>
                    <w:rPr>
                      <w:rFonts w:hint="default" w:ascii="Times New Roman" w:hAnsi="Times New Roman" w:eastAsia="宋体" w:cs="Times New Roman"/>
                      <w:smallCaps w:val="0"/>
                      <w:color w:val="auto"/>
                      <w:spacing w:val="0"/>
                      <w:kern w:val="0"/>
                      <w:sz w:val="21"/>
                      <w:szCs w:val="21"/>
                    </w:rPr>
                    <w:t>全景视频监控，能清晰记录装卸过程，抓拍驾驶员和运输车辆车牌号码等信息。</w:t>
                  </w:r>
                </w:p>
              </w:tc>
              <w:tc>
                <w:tcPr>
                  <w:tcW w:w="1119" w:type="pct"/>
                  <w:noWrap w:val="0"/>
                  <w:vAlign w:val="center"/>
                </w:tcPr>
                <w:p w14:paraId="28F7F632">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lang w:eastAsia="zh-CN"/>
                    </w:rPr>
                  </w:pPr>
                  <w:r>
                    <w:rPr>
                      <w:rFonts w:hint="default" w:ascii="Times New Roman" w:hAnsi="Times New Roman" w:eastAsia="宋体" w:cs="Times New Roman"/>
                      <w:smallCaps w:val="0"/>
                      <w:color w:val="auto"/>
                      <w:spacing w:val="0"/>
                      <w:kern w:val="0"/>
                      <w:sz w:val="21"/>
                      <w:szCs w:val="21"/>
                    </w:rPr>
                    <w:t>同上。</w:t>
                  </w:r>
                </w:p>
              </w:tc>
              <w:tc>
                <w:tcPr>
                  <w:tcW w:w="904" w:type="pct"/>
                  <w:noWrap w:val="0"/>
                  <w:vAlign w:val="center"/>
                </w:tcPr>
                <w:p w14:paraId="6E378B77">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lang w:eastAsia="zh-CN"/>
                    </w:rPr>
                  </w:pPr>
                  <w:r>
                    <w:rPr>
                      <w:rFonts w:hint="default" w:ascii="Times New Roman" w:hAnsi="Times New Roman" w:eastAsia="宋体" w:cs="Times New Roman"/>
                      <w:smallCaps w:val="0"/>
                      <w:color w:val="auto"/>
                      <w:spacing w:val="0"/>
                      <w:kern w:val="0"/>
                      <w:sz w:val="21"/>
                      <w:szCs w:val="21"/>
                    </w:rPr>
                    <w:t>同上。</w:t>
                  </w:r>
                </w:p>
              </w:tc>
              <w:tc>
                <w:tcPr>
                  <w:tcW w:w="771" w:type="pct"/>
                  <w:noWrap w:val="0"/>
                  <w:vAlign w:val="center"/>
                </w:tcPr>
                <w:p w14:paraId="0C8929DD">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lang w:eastAsia="zh-CN"/>
                    </w:rPr>
                  </w:pPr>
                  <w:r>
                    <w:rPr>
                      <w:rFonts w:hint="default" w:ascii="Times New Roman" w:hAnsi="Times New Roman" w:eastAsia="宋体" w:cs="Times New Roman"/>
                      <w:smallCaps w:val="0"/>
                      <w:color w:val="auto"/>
                      <w:spacing w:val="0"/>
                      <w:kern w:val="0"/>
                      <w:sz w:val="21"/>
                      <w:szCs w:val="21"/>
                    </w:rPr>
                    <w:t>同上。</w:t>
                  </w:r>
                </w:p>
              </w:tc>
            </w:tr>
            <w:tr w14:paraId="60676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7" w:type="pct"/>
                  <w:gridSpan w:val="2"/>
                  <w:noWrap w:val="0"/>
                  <w:vAlign w:val="center"/>
                </w:tcPr>
                <w:p w14:paraId="47D87953">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rPr>
                  </w:pPr>
                  <w:r>
                    <w:rPr>
                      <w:rFonts w:hint="default" w:ascii="Times New Roman" w:hAnsi="Times New Roman" w:eastAsia="宋体" w:cs="Times New Roman"/>
                      <w:smallCaps w:val="0"/>
                      <w:color w:val="auto"/>
                      <w:spacing w:val="0"/>
                      <w:kern w:val="0"/>
                      <w:sz w:val="21"/>
                      <w:szCs w:val="21"/>
                    </w:rPr>
                    <w:t>三、危废运输车辆通道(含车辆出口和入口)</w:t>
                  </w:r>
                </w:p>
              </w:tc>
              <w:tc>
                <w:tcPr>
                  <w:tcW w:w="1017" w:type="pct"/>
                  <w:noWrap w:val="0"/>
                  <w:vAlign w:val="center"/>
                </w:tcPr>
                <w:p w14:paraId="5C42618F">
                  <w:pPr>
                    <w:pStyle w:val="44"/>
                    <w:tabs>
                      <w:tab w:val="left" w:pos="192"/>
                    </w:tabs>
                    <w:spacing w:line="240" w:lineRule="auto"/>
                    <w:ind w:firstLine="0" w:firstLineChars="0"/>
                    <w:jc w:val="center"/>
                    <w:rPr>
                      <w:rFonts w:hint="default" w:ascii="Times New Roman" w:hAnsi="Times New Roman" w:eastAsia="宋体" w:cs="Times New Roman"/>
                      <w:smallCaps w:val="0"/>
                      <w:color w:val="auto"/>
                      <w:spacing w:val="0"/>
                      <w:sz w:val="21"/>
                      <w:szCs w:val="21"/>
                    </w:rPr>
                  </w:pPr>
                  <w:r>
                    <w:rPr>
                      <w:rFonts w:hint="default" w:ascii="Times New Roman" w:hAnsi="Times New Roman" w:eastAsia="宋体" w:cs="Times New Roman"/>
                      <w:smallCaps w:val="0"/>
                      <w:color w:val="auto"/>
                      <w:spacing w:val="0"/>
                      <w:kern w:val="0"/>
                      <w:sz w:val="21"/>
                      <w:szCs w:val="21"/>
                      <w:lang w:val="en-US" w:eastAsia="zh-CN"/>
                    </w:rPr>
                    <w:t>1、</w:t>
                  </w:r>
                  <w:r>
                    <w:rPr>
                      <w:rFonts w:hint="default" w:ascii="Times New Roman" w:hAnsi="Times New Roman" w:eastAsia="宋体" w:cs="Times New Roman"/>
                      <w:smallCaps w:val="0"/>
                      <w:color w:val="auto"/>
                      <w:spacing w:val="0"/>
                      <w:kern w:val="0"/>
                      <w:sz w:val="21"/>
                      <w:szCs w:val="21"/>
                    </w:rPr>
                    <w:t>全景视频监控，清晰记录车辆出入况；</w:t>
                  </w:r>
                </w:p>
                <w:p w14:paraId="76264C47">
                  <w:pPr>
                    <w:pStyle w:val="44"/>
                    <w:tabs>
                      <w:tab w:val="left" w:pos="206"/>
                    </w:tabs>
                    <w:spacing w:line="240" w:lineRule="auto"/>
                    <w:ind w:firstLine="0" w:firstLineChars="0"/>
                    <w:jc w:val="center"/>
                    <w:rPr>
                      <w:rFonts w:hint="default" w:ascii="Times New Roman" w:hAnsi="Times New Roman" w:eastAsia="宋体" w:cs="Times New Roman"/>
                      <w:smallCaps w:val="0"/>
                      <w:color w:val="auto"/>
                      <w:spacing w:val="0"/>
                      <w:kern w:val="0"/>
                      <w:sz w:val="21"/>
                      <w:szCs w:val="21"/>
                    </w:rPr>
                  </w:pPr>
                  <w:r>
                    <w:rPr>
                      <w:rFonts w:hint="default" w:ascii="Times New Roman" w:hAnsi="Times New Roman" w:eastAsia="宋体" w:cs="Times New Roman"/>
                      <w:smallCaps w:val="0"/>
                      <w:color w:val="auto"/>
                      <w:spacing w:val="0"/>
                      <w:kern w:val="0"/>
                      <w:sz w:val="21"/>
                      <w:szCs w:val="21"/>
                      <w:lang w:val="en-US" w:eastAsia="zh-CN"/>
                    </w:rPr>
                    <w:t>2、</w:t>
                  </w:r>
                  <w:r>
                    <w:rPr>
                      <w:rFonts w:hint="default" w:ascii="Times New Roman" w:hAnsi="Times New Roman" w:eastAsia="宋体" w:cs="Times New Roman"/>
                      <w:smallCaps w:val="0"/>
                      <w:color w:val="auto"/>
                      <w:spacing w:val="0"/>
                      <w:kern w:val="0"/>
                      <w:sz w:val="21"/>
                      <w:szCs w:val="21"/>
                    </w:rPr>
                    <w:t>摄像机应具备抓拍驾驶员和车牌号码功能。</w:t>
                  </w:r>
                </w:p>
              </w:tc>
              <w:tc>
                <w:tcPr>
                  <w:tcW w:w="1119" w:type="pct"/>
                  <w:noWrap w:val="0"/>
                  <w:vAlign w:val="center"/>
                </w:tcPr>
                <w:p w14:paraId="4F67BDB7">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lang w:eastAsia="zh-CN"/>
                    </w:rPr>
                  </w:pPr>
                  <w:r>
                    <w:rPr>
                      <w:rFonts w:hint="default" w:ascii="Times New Roman" w:hAnsi="Times New Roman" w:eastAsia="宋体" w:cs="Times New Roman"/>
                      <w:smallCaps w:val="0"/>
                      <w:color w:val="auto"/>
                      <w:spacing w:val="0"/>
                      <w:kern w:val="0"/>
                      <w:sz w:val="21"/>
                      <w:szCs w:val="21"/>
                    </w:rPr>
                    <w:t>同上。</w:t>
                  </w:r>
                </w:p>
              </w:tc>
              <w:tc>
                <w:tcPr>
                  <w:tcW w:w="904" w:type="pct"/>
                  <w:noWrap w:val="0"/>
                  <w:vAlign w:val="center"/>
                </w:tcPr>
                <w:p w14:paraId="59E2FD62">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lang w:eastAsia="zh-CN"/>
                    </w:rPr>
                  </w:pPr>
                  <w:r>
                    <w:rPr>
                      <w:rFonts w:hint="default" w:ascii="Times New Roman" w:hAnsi="Times New Roman" w:eastAsia="宋体" w:cs="Times New Roman"/>
                      <w:smallCaps w:val="0"/>
                      <w:color w:val="auto"/>
                      <w:spacing w:val="0"/>
                      <w:kern w:val="0"/>
                      <w:sz w:val="21"/>
                      <w:szCs w:val="21"/>
                    </w:rPr>
                    <w:t>同上。</w:t>
                  </w:r>
                </w:p>
              </w:tc>
              <w:tc>
                <w:tcPr>
                  <w:tcW w:w="771" w:type="pct"/>
                  <w:noWrap w:val="0"/>
                  <w:vAlign w:val="center"/>
                </w:tcPr>
                <w:p w14:paraId="03282DEE">
                  <w:pPr>
                    <w:pStyle w:val="44"/>
                    <w:spacing w:line="240" w:lineRule="auto"/>
                    <w:ind w:firstLine="0" w:firstLineChars="0"/>
                    <w:jc w:val="center"/>
                    <w:rPr>
                      <w:rFonts w:hint="default" w:ascii="Times New Roman" w:hAnsi="Times New Roman" w:eastAsia="宋体" w:cs="Times New Roman"/>
                      <w:smallCaps w:val="0"/>
                      <w:color w:val="auto"/>
                      <w:spacing w:val="0"/>
                      <w:kern w:val="0"/>
                      <w:sz w:val="21"/>
                      <w:szCs w:val="21"/>
                      <w:lang w:eastAsia="zh-CN"/>
                    </w:rPr>
                  </w:pPr>
                  <w:r>
                    <w:rPr>
                      <w:rFonts w:hint="default" w:ascii="Times New Roman" w:hAnsi="Times New Roman" w:eastAsia="宋体" w:cs="Times New Roman"/>
                      <w:smallCaps w:val="0"/>
                      <w:color w:val="auto"/>
                      <w:spacing w:val="0"/>
                      <w:kern w:val="0"/>
                      <w:sz w:val="21"/>
                      <w:szCs w:val="21"/>
                    </w:rPr>
                    <w:t>同上。</w:t>
                  </w:r>
                </w:p>
              </w:tc>
            </w:tr>
          </w:tbl>
          <w:p w14:paraId="3C38C082">
            <w:pPr>
              <w:pStyle w:val="9"/>
              <w:keepNext w:val="0"/>
              <w:keepLines w:val="0"/>
              <w:pageBreakBefore w:val="0"/>
              <w:kinsoku/>
              <w:wordWrap/>
              <w:overflowPunct/>
              <w:topLinePunct w:val="0"/>
              <w:autoSpaceDE/>
              <w:autoSpaceDN/>
              <w:bidi w:val="0"/>
              <w:adjustRightInd w:val="0"/>
              <w:snapToGrid w:val="0"/>
              <w:spacing w:after="0" w:line="440" w:lineRule="exact"/>
              <w:ind w:left="0" w:leftChars="0" w:firstLine="482" w:firstLineChars="200"/>
              <w:textAlignment w:val="auto"/>
              <w:rPr>
                <w:rFonts w:hint="default" w:ascii="Times New Roman" w:hAnsi="Times New Roman" w:eastAsia="宋体" w:cs="Times New Roman"/>
                <w:b/>
                <w:bCs/>
                <w:smallCaps w:val="0"/>
                <w:color w:val="auto"/>
                <w:spacing w:val="0"/>
                <w:sz w:val="24"/>
                <w:szCs w:val="24"/>
              </w:rPr>
            </w:pPr>
            <w:r>
              <w:rPr>
                <w:rFonts w:hint="default" w:ascii="Times New Roman" w:hAnsi="Times New Roman" w:eastAsia="宋体" w:cs="Times New Roman"/>
                <w:b/>
                <w:bCs/>
                <w:smallCaps w:val="0"/>
                <w:color w:val="auto"/>
                <w:spacing w:val="0"/>
                <w:sz w:val="24"/>
                <w:szCs w:val="24"/>
              </w:rPr>
              <w:t>（1</w:t>
            </w:r>
            <w:r>
              <w:rPr>
                <w:rFonts w:hint="default" w:ascii="Times New Roman" w:hAnsi="Times New Roman" w:eastAsia="宋体" w:cs="Times New Roman"/>
                <w:b/>
                <w:bCs/>
                <w:smallCaps w:val="0"/>
                <w:color w:val="auto"/>
                <w:spacing w:val="0"/>
                <w:sz w:val="24"/>
                <w:szCs w:val="24"/>
                <w:lang w:val="en-US" w:eastAsia="zh-CN"/>
              </w:rPr>
              <w:t>2</w:t>
            </w:r>
            <w:r>
              <w:rPr>
                <w:rFonts w:hint="default" w:ascii="Times New Roman" w:hAnsi="Times New Roman" w:eastAsia="宋体" w:cs="Times New Roman"/>
                <w:b/>
                <w:bCs/>
                <w:smallCaps w:val="0"/>
                <w:color w:val="auto"/>
                <w:spacing w:val="0"/>
                <w:sz w:val="24"/>
                <w:szCs w:val="24"/>
              </w:rPr>
              <w:t>）采用委托利用处置的污染防治措施</w:t>
            </w:r>
          </w:p>
          <w:p w14:paraId="2079E08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smallCaps w:val="0"/>
                <w:color w:val="auto"/>
                <w:spacing w:val="0"/>
                <w:sz w:val="24"/>
                <w:szCs w:val="24"/>
              </w:rPr>
            </w:pPr>
            <w:r>
              <w:rPr>
                <w:rFonts w:hint="default" w:ascii="Times New Roman" w:hAnsi="Times New Roman" w:eastAsia="宋体" w:cs="Times New Roman"/>
                <w:smallCaps w:val="0"/>
                <w:color w:val="auto"/>
                <w:spacing w:val="0"/>
                <w:sz w:val="24"/>
                <w:szCs w:val="24"/>
              </w:rPr>
              <w:t>本项目建成后将与有资质单位签订危险废物处理协议，定期交由有资质单位处理处置，可以得到合理的处理处置。危险废物的处置应在江苏省危险废物环境监管平台，在线填报并提交危险废物省内转移信息，保证运输安全，防止非法转移和非法处置，保证危险废物的安全监控，防止危险废物污染事故发生。</w:t>
            </w:r>
          </w:p>
          <w:p w14:paraId="3D606E19">
            <w:pPr>
              <w:pStyle w:val="45"/>
              <w:keepNext w:val="0"/>
              <w:keepLines w:val="0"/>
              <w:pageBreakBefore w:val="0"/>
              <w:kinsoku/>
              <w:wordWrap/>
              <w:overflowPunct/>
              <w:topLinePunct w:val="0"/>
              <w:autoSpaceDE/>
              <w:autoSpaceDN/>
              <w:bidi w:val="0"/>
              <w:adjustRightInd w:val="0"/>
              <w:snapToGrid w:val="0"/>
              <w:spacing w:before="0" w:beforeLines="0" w:after="0" w:afterLines="0" w:line="440" w:lineRule="exact"/>
              <w:ind w:firstLine="482" w:firstLineChars="200"/>
              <w:jc w:val="both"/>
              <w:textAlignment w:val="auto"/>
              <w:rPr>
                <w:rFonts w:hint="default" w:ascii="Times New Roman" w:hAnsi="Times New Roman" w:eastAsia="宋体" w:cs="Times New Roman"/>
                <w:b/>
                <w:smallCaps w:val="0"/>
                <w:color w:val="auto"/>
                <w:spacing w:val="0"/>
                <w:kern w:val="0"/>
                <w:position w:val="0"/>
                <w:sz w:val="24"/>
                <w:szCs w:val="24"/>
              </w:rPr>
            </w:pPr>
            <w:r>
              <w:rPr>
                <w:rFonts w:hint="default" w:ascii="Times New Roman" w:hAnsi="Times New Roman" w:eastAsia="宋体" w:cs="Times New Roman"/>
                <w:b/>
                <w:smallCaps w:val="0"/>
                <w:color w:val="auto"/>
                <w:spacing w:val="0"/>
                <w:kern w:val="0"/>
                <w:position w:val="0"/>
                <w:sz w:val="24"/>
                <w:szCs w:val="24"/>
              </w:rPr>
              <w:t>5</w:t>
            </w:r>
            <w:r>
              <w:rPr>
                <w:rFonts w:hint="default" w:ascii="Times New Roman" w:hAnsi="Times New Roman" w:eastAsia="宋体" w:cs="Times New Roman"/>
                <w:b/>
                <w:smallCaps w:val="0"/>
                <w:color w:val="auto"/>
                <w:spacing w:val="0"/>
                <w:kern w:val="0"/>
                <w:position w:val="0"/>
                <w:sz w:val="24"/>
                <w:szCs w:val="24"/>
                <w:lang w:eastAsia="zh-CN"/>
              </w:rPr>
              <w:t>、</w:t>
            </w:r>
            <w:r>
              <w:rPr>
                <w:rFonts w:hint="default" w:ascii="Times New Roman" w:hAnsi="Times New Roman" w:eastAsia="宋体" w:cs="Times New Roman"/>
                <w:b/>
                <w:smallCaps w:val="0"/>
                <w:color w:val="auto"/>
                <w:spacing w:val="0"/>
                <w:kern w:val="0"/>
                <w:position w:val="0"/>
                <w:sz w:val="24"/>
                <w:szCs w:val="24"/>
              </w:rPr>
              <w:t>地下水及土壤污染防治措施及环境影响分析</w:t>
            </w:r>
          </w:p>
          <w:p w14:paraId="6AC27429">
            <w:pPr>
              <w:pStyle w:val="45"/>
              <w:keepNext w:val="0"/>
              <w:keepLines w:val="0"/>
              <w:pageBreakBefore w:val="0"/>
              <w:kinsoku/>
              <w:wordWrap/>
              <w:overflowPunct/>
              <w:topLinePunct w:val="0"/>
              <w:autoSpaceDE/>
              <w:autoSpaceDN/>
              <w:bidi w:val="0"/>
              <w:adjustRightInd w:val="0"/>
              <w:snapToGrid w:val="0"/>
              <w:spacing w:before="0" w:beforeLines="0" w:after="0" w:afterLines="0" w:line="440" w:lineRule="exact"/>
              <w:ind w:firstLine="480" w:firstLineChars="200"/>
              <w:jc w:val="both"/>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本项目中，可能对地下水、土壤造成污染的途径包括：</w:t>
            </w:r>
            <w:r>
              <w:rPr>
                <w:rFonts w:hint="default" w:ascii="Times New Roman" w:hAnsi="Times New Roman" w:eastAsia="宋体" w:cs="Times New Roman"/>
                <w:smallCaps w:val="0"/>
                <w:color w:val="auto"/>
                <w:spacing w:val="0"/>
                <w:kern w:val="0"/>
                <w:position w:val="0"/>
                <w:sz w:val="24"/>
                <w:szCs w:val="24"/>
                <w:lang w:val="en-US" w:eastAsia="zh-CN"/>
              </w:rPr>
              <w:t>颗粒物和非甲烷总烃</w:t>
            </w:r>
            <w:r>
              <w:rPr>
                <w:rFonts w:hint="default" w:ascii="Times New Roman" w:hAnsi="Times New Roman" w:eastAsia="宋体" w:cs="Times New Roman"/>
                <w:smallCaps w:val="0"/>
                <w:color w:val="auto"/>
                <w:spacing w:val="0"/>
                <w:kern w:val="0"/>
                <w:position w:val="0"/>
                <w:sz w:val="24"/>
                <w:szCs w:val="24"/>
              </w:rPr>
              <w:t>通过大气沉降污染土壤和地下水。</w:t>
            </w:r>
          </w:p>
          <w:p w14:paraId="751302F4">
            <w:pPr>
              <w:pStyle w:val="45"/>
              <w:keepNext w:val="0"/>
              <w:keepLines w:val="0"/>
              <w:pageBreakBefore w:val="0"/>
              <w:kinsoku/>
              <w:wordWrap/>
              <w:overflowPunct/>
              <w:topLinePunct w:val="0"/>
              <w:autoSpaceDE/>
              <w:autoSpaceDN/>
              <w:bidi w:val="0"/>
              <w:adjustRightInd w:val="0"/>
              <w:snapToGrid w:val="0"/>
              <w:spacing w:before="0" w:beforeLines="0" w:after="0" w:afterLines="0" w:line="440" w:lineRule="exact"/>
              <w:ind w:firstLine="480" w:firstLineChars="200"/>
              <w:jc w:val="both"/>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地下水、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54547BCB">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szCs w:val="24"/>
              </w:rPr>
            </w:pPr>
            <w:r>
              <w:rPr>
                <w:rFonts w:hint="default" w:ascii="Times New Roman" w:hAnsi="Times New Roman" w:eastAsia="宋体" w:cs="Times New Roman"/>
                <w:b/>
                <w:bCs/>
                <w:smallCaps w:val="0"/>
                <w:color w:val="auto"/>
                <w:spacing w:val="0"/>
                <w:kern w:val="0"/>
                <w:position w:val="0"/>
                <w:sz w:val="24"/>
                <w:szCs w:val="24"/>
              </w:rPr>
              <w:t>（1）地下水、土壤污染分析</w:t>
            </w:r>
          </w:p>
          <w:p w14:paraId="4DE5E46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本项目厂区地面及厂房均已水泥硬化，生产车间均已防渗处理，顾造成地下水、土壤污染影响的区域以及污染途径的可能性较小。</w:t>
            </w:r>
          </w:p>
          <w:p w14:paraId="1EEE7786">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val="0"/>
                <w:smallCaps w:val="0"/>
                <w:color w:val="auto"/>
                <w:spacing w:val="0"/>
                <w:kern w:val="0"/>
                <w:position w:val="0"/>
                <w:sz w:val="24"/>
                <w:szCs w:val="24"/>
              </w:rPr>
            </w:pPr>
            <w:r>
              <w:rPr>
                <w:rFonts w:hint="default" w:ascii="Times New Roman" w:hAnsi="Times New Roman" w:eastAsia="宋体" w:cs="Times New Roman"/>
                <w:b/>
                <w:bCs w:val="0"/>
                <w:smallCaps w:val="0"/>
                <w:color w:val="auto"/>
                <w:spacing w:val="0"/>
                <w:kern w:val="0"/>
                <w:position w:val="0"/>
                <w:sz w:val="24"/>
                <w:szCs w:val="24"/>
              </w:rPr>
              <w:t>（2）地下水、土壤污染防控措施</w:t>
            </w:r>
          </w:p>
          <w:p w14:paraId="0E6ACB5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①源头控制措施</w:t>
            </w:r>
          </w:p>
          <w:p w14:paraId="2ED2339E">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车间内应有应急处理设施，防止污染物的跑、冒、滴、漏，将污染物泄漏的可能性降到最低限度。</w:t>
            </w:r>
            <w:r>
              <w:rPr>
                <w:rFonts w:hint="default" w:ascii="Times New Roman" w:hAnsi="Times New Roman" w:eastAsia="宋体" w:cs="Times New Roman"/>
                <w:smallCaps w:val="0"/>
                <w:color w:val="auto"/>
                <w:spacing w:val="0"/>
                <w:kern w:val="0"/>
                <w:position w:val="0"/>
                <w:sz w:val="24"/>
                <w:szCs w:val="24"/>
                <w:lang w:val="en-US" w:eastAsia="zh-CN"/>
              </w:rPr>
              <w:t>厂区</w:t>
            </w:r>
            <w:r>
              <w:rPr>
                <w:rFonts w:hint="default" w:ascii="Times New Roman" w:hAnsi="Times New Roman" w:eastAsia="宋体" w:cs="Times New Roman"/>
                <w:smallCaps w:val="0"/>
                <w:color w:val="auto"/>
                <w:spacing w:val="0"/>
                <w:kern w:val="0"/>
                <w:position w:val="0"/>
                <w:sz w:val="24"/>
                <w:szCs w:val="24"/>
              </w:rPr>
              <w:t>建立有效的事故废水收集系统，污水和雨水排放口设置雨水截止阀。尽快将地面上的废水收集进入废水收集系统，防止事故状态下事故废水进入雨水系统进而污染地下水。</w:t>
            </w:r>
          </w:p>
          <w:p w14:paraId="4BA7C06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②分区防渗措施</w:t>
            </w:r>
          </w:p>
          <w:p w14:paraId="2C2E338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根据《环境影响评价技术导则地下水环境》(HJ610-2016)，对已颁布污染控制国家标准或防渗技术规范的行业，防渗技术要求按照相应标准或规范执行，具体防控措施及措施有效相符性见下表。</w:t>
            </w:r>
          </w:p>
          <w:p w14:paraId="7005F872">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0"/>
                <w:position w:val="0"/>
                <w:sz w:val="21"/>
                <w:szCs w:val="22"/>
                <w:lang w:val="en-US" w:eastAsia="zh-CN" w:bidi="ar-SA"/>
              </w:rPr>
            </w:pPr>
            <w:r>
              <w:rPr>
                <w:rFonts w:hint="default" w:ascii="Times New Roman" w:hAnsi="Times New Roman" w:eastAsia="宋体" w:cs="Times New Roman"/>
                <w:b/>
                <w:smallCaps w:val="0"/>
                <w:color w:val="auto"/>
                <w:spacing w:val="0"/>
                <w:kern w:val="0"/>
                <w:position w:val="0"/>
                <w:sz w:val="21"/>
                <w:szCs w:val="22"/>
                <w:lang w:val="en-US" w:eastAsia="zh-CN" w:bidi="ar-SA"/>
              </w:rPr>
              <w:t>表4-21本项目地下水、土壤污染防渗措施</w:t>
            </w:r>
          </w:p>
          <w:tbl>
            <w:tblPr>
              <w:tblStyle w:val="17"/>
              <w:tblW w:w="49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831"/>
              <w:gridCol w:w="2760"/>
              <w:gridCol w:w="3110"/>
              <w:gridCol w:w="826"/>
            </w:tblGrid>
            <w:tr w14:paraId="30DBA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 w:type="pct"/>
                  <w:gridSpan w:val="2"/>
                  <w:noWrap w:val="0"/>
                  <w:vAlign w:val="center"/>
                </w:tcPr>
                <w:p w14:paraId="71D8F3F2">
                  <w:pPr>
                    <w:spacing w:line="360" w:lineRule="exact"/>
                    <w:ind w:firstLine="0" w:firstLineChars="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区域位置</w:t>
                  </w:r>
                </w:p>
              </w:tc>
              <w:tc>
                <w:tcPr>
                  <w:tcW w:w="1680" w:type="pct"/>
                  <w:noWrap w:val="0"/>
                  <w:vAlign w:val="center"/>
                </w:tcPr>
                <w:p w14:paraId="6BD7DE4E">
                  <w:pPr>
                    <w:spacing w:line="360" w:lineRule="exact"/>
                    <w:ind w:firstLine="0" w:firstLineChars="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GB18597防渗技术要求</w:t>
                  </w:r>
                </w:p>
              </w:tc>
              <w:tc>
                <w:tcPr>
                  <w:tcW w:w="1893" w:type="pct"/>
                  <w:noWrap w:val="0"/>
                  <w:vAlign w:val="center"/>
                </w:tcPr>
                <w:p w14:paraId="33569AB8">
                  <w:pPr>
                    <w:spacing w:line="360" w:lineRule="exact"/>
                    <w:ind w:firstLine="0" w:firstLineChars="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本项目采取的防控措施</w:t>
                  </w:r>
                </w:p>
              </w:tc>
              <w:tc>
                <w:tcPr>
                  <w:tcW w:w="503" w:type="pct"/>
                  <w:noWrap w:val="0"/>
                  <w:vAlign w:val="center"/>
                </w:tcPr>
                <w:p w14:paraId="35CF27DE">
                  <w:pPr>
                    <w:spacing w:line="360" w:lineRule="exact"/>
                    <w:ind w:firstLine="0" w:firstLineChars="0"/>
                    <w:jc w:val="center"/>
                    <w:rPr>
                      <w:rFonts w:hint="default" w:ascii="Times New Roman" w:hAnsi="Times New Roman" w:eastAsia="宋体" w:cs="Times New Roman"/>
                      <w:b/>
                      <w:bCs/>
                      <w:smallCaps w:val="0"/>
                      <w:color w:val="auto"/>
                      <w:spacing w:val="0"/>
                      <w:kern w:val="0"/>
                      <w:position w:val="0"/>
                      <w:szCs w:val="21"/>
                    </w:rPr>
                  </w:pPr>
                  <w:r>
                    <w:rPr>
                      <w:rFonts w:hint="default" w:ascii="Times New Roman" w:hAnsi="Times New Roman" w:eastAsia="宋体" w:cs="Times New Roman"/>
                      <w:b/>
                      <w:bCs/>
                      <w:smallCaps w:val="0"/>
                      <w:color w:val="auto"/>
                      <w:spacing w:val="0"/>
                      <w:kern w:val="0"/>
                      <w:position w:val="0"/>
                      <w:szCs w:val="21"/>
                    </w:rPr>
                    <w:t>相符性</w:t>
                  </w:r>
                </w:p>
              </w:tc>
            </w:tr>
            <w:tr w14:paraId="47670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noWrap w:val="0"/>
                  <w:vAlign w:val="center"/>
                </w:tcPr>
                <w:p w14:paraId="345D7F23">
                  <w:pPr>
                    <w:spacing w:line="360" w:lineRule="exact"/>
                    <w:ind w:firstLine="0" w:firstLineChars="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重点防渗区</w:t>
                  </w:r>
                </w:p>
              </w:tc>
              <w:tc>
                <w:tcPr>
                  <w:tcW w:w="506" w:type="pct"/>
                  <w:noWrap w:val="0"/>
                  <w:vAlign w:val="center"/>
                </w:tcPr>
                <w:p w14:paraId="61FDE65C">
                  <w:pPr>
                    <w:spacing w:line="360" w:lineRule="exact"/>
                    <w:ind w:firstLine="0" w:firstLineChars="0"/>
                    <w:jc w:val="center"/>
                    <w:rPr>
                      <w:rFonts w:hint="eastAsia"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rPr>
                    <w:t>生产车间</w:t>
                  </w:r>
                  <w:r>
                    <w:rPr>
                      <w:rFonts w:hint="eastAsia" w:cs="Times New Roman"/>
                      <w:smallCaps w:val="0"/>
                      <w:color w:val="auto"/>
                      <w:spacing w:val="0"/>
                      <w:kern w:val="0"/>
                      <w:position w:val="0"/>
                      <w:szCs w:val="21"/>
                      <w:lang w:val="en-US" w:eastAsia="zh-CN"/>
                    </w:rPr>
                    <w:t>二</w:t>
                  </w:r>
                </w:p>
              </w:tc>
              <w:tc>
                <w:tcPr>
                  <w:tcW w:w="1680" w:type="pct"/>
                  <w:noWrap w:val="0"/>
                  <w:vAlign w:val="center"/>
                </w:tcPr>
                <w:p w14:paraId="297366ED">
                  <w:pPr>
                    <w:widowControl/>
                    <w:spacing w:line="360" w:lineRule="exact"/>
                    <w:ind w:firstLine="0" w:firstLineChars="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基础必须防渗，防渗层为至少1m厚粘土层（渗透系数≤10</w:t>
                  </w:r>
                  <w:r>
                    <w:rPr>
                      <w:rFonts w:hint="default" w:ascii="Times New Roman" w:hAnsi="Times New Roman" w:eastAsia="宋体" w:cs="Times New Roman"/>
                      <w:smallCaps w:val="0"/>
                      <w:color w:val="auto"/>
                      <w:spacing w:val="0"/>
                      <w:kern w:val="0"/>
                      <w:position w:val="0"/>
                      <w:szCs w:val="21"/>
                      <w:vertAlign w:val="superscript"/>
                    </w:rPr>
                    <w:t>-7</w:t>
                  </w:r>
                  <w:r>
                    <w:rPr>
                      <w:rFonts w:hint="default" w:ascii="Times New Roman" w:hAnsi="Times New Roman" w:eastAsia="宋体" w:cs="Times New Roman"/>
                      <w:smallCaps w:val="0"/>
                      <w:color w:val="auto"/>
                      <w:spacing w:val="0"/>
                      <w:kern w:val="0"/>
                      <w:position w:val="0"/>
                      <w:szCs w:val="21"/>
                    </w:rPr>
                    <w:t>cm/s），或2mm厚高密度聚乙烯，或至少2mm厚的其他人工材料，渗透系数≤10</w:t>
                  </w:r>
                  <w:r>
                    <w:rPr>
                      <w:rFonts w:hint="default" w:ascii="Times New Roman" w:hAnsi="Times New Roman" w:eastAsia="宋体" w:cs="Times New Roman"/>
                      <w:smallCaps w:val="0"/>
                      <w:color w:val="auto"/>
                      <w:spacing w:val="0"/>
                      <w:kern w:val="0"/>
                      <w:position w:val="0"/>
                      <w:szCs w:val="21"/>
                      <w:vertAlign w:val="superscript"/>
                    </w:rPr>
                    <w:t>-10</w:t>
                  </w:r>
                  <w:r>
                    <w:rPr>
                      <w:rFonts w:hint="default" w:ascii="Times New Roman" w:hAnsi="Times New Roman" w:eastAsia="宋体" w:cs="Times New Roman"/>
                      <w:smallCaps w:val="0"/>
                      <w:color w:val="auto"/>
                      <w:spacing w:val="0"/>
                      <w:kern w:val="0"/>
                      <w:position w:val="0"/>
                      <w:szCs w:val="21"/>
                    </w:rPr>
                    <w:t>cm/s</w:t>
                  </w:r>
                </w:p>
              </w:tc>
              <w:tc>
                <w:tcPr>
                  <w:tcW w:w="1893" w:type="pct"/>
                  <w:noWrap w:val="0"/>
                  <w:vAlign w:val="center"/>
                </w:tcPr>
                <w:p w14:paraId="04C80A2C">
                  <w:pPr>
                    <w:spacing w:line="360" w:lineRule="exact"/>
                    <w:ind w:firstLine="0" w:firstLineChars="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由下至上防渗层做法为</w:t>
                  </w:r>
                  <w:r>
                    <w:rPr>
                      <w:rFonts w:hint="default" w:ascii="Times New Roman" w:hAnsi="Times New Roman" w:eastAsia="宋体" w:cs="Times New Roman"/>
                      <w:smallCaps w:val="0"/>
                      <w:color w:val="auto"/>
                      <w:spacing w:val="0"/>
                      <w:kern w:val="0"/>
                      <w:position w:val="0"/>
                      <w:szCs w:val="21"/>
                    </w:rPr>
                    <w:fldChar w:fldCharType="begin"/>
                  </w:r>
                  <w:r>
                    <w:rPr>
                      <w:rFonts w:hint="default" w:ascii="Times New Roman" w:hAnsi="Times New Roman" w:eastAsia="宋体" w:cs="Times New Roman"/>
                      <w:smallCaps w:val="0"/>
                      <w:color w:val="auto"/>
                      <w:spacing w:val="0"/>
                      <w:kern w:val="0"/>
                      <w:position w:val="0"/>
                      <w:szCs w:val="21"/>
                    </w:rPr>
                    <w:instrText xml:space="preserve"> = 1 \* GB3 \* MERGEFORMAT </w:instrText>
                  </w:r>
                  <w:r>
                    <w:rPr>
                      <w:rFonts w:hint="default" w:ascii="Times New Roman" w:hAnsi="Times New Roman" w:eastAsia="宋体" w:cs="Times New Roman"/>
                      <w:smallCaps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①</w:t>
                  </w:r>
                  <w:r>
                    <w:rPr>
                      <w:rFonts w:hint="default" w:ascii="Times New Roman" w:hAnsi="Times New Roman" w:eastAsia="宋体" w:cs="Times New Roman"/>
                      <w:smallCaps w:val="0"/>
                      <w:color w:val="auto"/>
                      <w:spacing w:val="0"/>
                      <w:kern w:val="0"/>
                      <w:position w:val="0"/>
                      <w:szCs w:val="21"/>
                    </w:rPr>
                    <w:fldChar w:fldCharType="end"/>
                  </w:r>
                  <w:r>
                    <w:rPr>
                      <w:rFonts w:hint="default" w:ascii="Times New Roman" w:hAnsi="Times New Roman" w:eastAsia="宋体" w:cs="Times New Roman"/>
                      <w:smallCaps w:val="0"/>
                      <w:color w:val="auto"/>
                      <w:spacing w:val="0"/>
                      <w:kern w:val="0"/>
                      <w:position w:val="0"/>
                      <w:szCs w:val="21"/>
                    </w:rPr>
                    <w:t>0.2m厚C30钢筋抗渗等级P8混凝土层；</w:t>
                  </w:r>
                  <w:r>
                    <w:rPr>
                      <w:rFonts w:hint="default" w:ascii="Times New Roman" w:hAnsi="Times New Roman" w:eastAsia="宋体" w:cs="Times New Roman"/>
                      <w:smallCaps w:val="0"/>
                      <w:color w:val="auto"/>
                      <w:spacing w:val="0"/>
                      <w:kern w:val="0"/>
                      <w:position w:val="0"/>
                      <w:szCs w:val="21"/>
                    </w:rPr>
                    <w:fldChar w:fldCharType="begin"/>
                  </w:r>
                  <w:r>
                    <w:rPr>
                      <w:rFonts w:hint="default" w:ascii="Times New Roman" w:hAnsi="Times New Roman" w:eastAsia="宋体" w:cs="Times New Roman"/>
                      <w:smallCaps w:val="0"/>
                      <w:color w:val="auto"/>
                      <w:spacing w:val="0"/>
                      <w:kern w:val="0"/>
                      <w:position w:val="0"/>
                      <w:szCs w:val="21"/>
                    </w:rPr>
                    <w:instrText xml:space="preserve"> = 2 \* GB3 \* MERGEFORMAT </w:instrText>
                  </w:r>
                  <w:r>
                    <w:rPr>
                      <w:rFonts w:hint="default" w:ascii="Times New Roman" w:hAnsi="Times New Roman" w:eastAsia="宋体" w:cs="Times New Roman"/>
                      <w:smallCaps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②</w:t>
                  </w:r>
                  <w:r>
                    <w:rPr>
                      <w:rFonts w:hint="default" w:ascii="Times New Roman" w:hAnsi="Times New Roman" w:eastAsia="宋体" w:cs="Times New Roman"/>
                      <w:smallCaps w:val="0"/>
                      <w:color w:val="auto"/>
                      <w:spacing w:val="0"/>
                      <w:kern w:val="0"/>
                      <w:position w:val="0"/>
                      <w:szCs w:val="21"/>
                    </w:rPr>
                    <w:fldChar w:fldCharType="end"/>
                  </w:r>
                  <w:r>
                    <w:rPr>
                      <w:rFonts w:hint="default" w:ascii="Times New Roman" w:hAnsi="Times New Roman" w:eastAsia="宋体" w:cs="Times New Roman"/>
                      <w:smallCaps w:val="0"/>
                      <w:color w:val="auto"/>
                      <w:spacing w:val="0"/>
                      <w:kern w:val="0"/>
                      <w:position w:val="0"/>
                      <w:szCs w:val="21"/>
                    </w:rPr>
                    <w:t>2mm厚600g/m</w:t>
                  </w:r>
                  <w:r>
                    <w:rPr>
                      <w:rFonts w:hint="default" w:ascii="Times New Roman" w:hAnsi="Times New Roman" w:eastAsia="宋体" w:cs="Times New Roman"/>
                      <w:smallCaps w:val="0"/>
                      <w:color w:val="auto"/>
                      <w:spacing w:val="0"/>
                      <w:kern w:val="0"/>
                      <w:position w:val="0"/>
                      <w:szCs w:val="21"/>
                      <w:vertAlign w:val="superscript"/>
                    </w:rPr>
                    <w:t>2</w:t>
                  </w:r>
                  <w:r>
                    <w:rPr>
                      <w:rFonts w:hint="default" w:ascii="Times New Roman" w:hAnsi="Times New Roman" w:eastAsia="宋体" w:cs="Times New Roman"/>
                      <w:smallCaps w:val="0"/>
                      <w:color w:val="auto"/>
                      <w:spacing w:val="0"/>
                      <w:kern w:val="0"/>
                      <w:position w:val="0"/>
                      <w:szCs w:val="21"/>
                    </w:rPr>
                    <w:t>HDPE膜；</w:t>
                  </w:r>
                  <w:r>
                    <w:rPr>
                      <w:rFonts w:hint="default" w:ascii="Times New Roman" w:hAnsi="Times New Roman" w:eastAsia="宋体" w:cs="Times New Roman"/>
                      <w:smallCaps w:val="0"/>
                      <w:color w:val="auto"/>
                      <w:spacing w:val="0"/>
                      <w:kern w:val="0"/>
                      <w:position w:val="0"/>
                      <w:szCs w:val="21"/>
                    </w:rPr>
                    <w:fldChar w:fldCharType="begin"/>
                  </w:r>
                  <w:r>
                    <w:rPr>
                      <w:rFonts w:hint="default" w:ascii="Times New Roman" w:hAnsi="Times New Roman" w:eastAsia="宋体" w:cs="Times New Roman"/>
                      <w:smallCaps w:val="0"/>
                      <w:color w:val="auto"/>
                      <w:spacing w:val="0"/>
                      <w:kern w:val="0"/>
                      <w:position w:val="0"/>
                      <w:szCs w:val="21"/>
                    </w:rPr>
                    <w:instrText xml:space="preserve"> = 3 \* GB3 \* MERGEFORMAT </w:instrText>
                  </w:r>
                  <w:r>
                    <w:rPr>
                      <w:rFonts w:hint="default" w:ascii="Times New Roman" w:hAnsi="Times New Roman" w:eastAsia="宋体" w:cs="Times New Roman"/>
                      <w:smallCaps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③</w:t>
                  </w:r>
                  <w:r>
                    <w:rPr>
                      <w:rFonts w:hint="default" w:ascii="Times New Roman" w:hAnsi="Times New Roman" w:eastAsia="宋体" w:cs="Times New Roman"/>
                      <w:smallCaps w:val="0"/>
                      <w:color w:val="auto"/>
                      <w:spacing w:val="0"/>
                      <w:kern w:val="0"/>
                      <w:position w:val="0"/>
                      <w:szCs w:val="21"/>
                    </w:rPr>
                    <w:fldChar w:fldCharType="end"/>
                  </w:r>
                  <w:r>
                    <w:rPr>
                      <w:rFonts w:hint="default" w:ascii="Times New Roman" w:hAnsi="Times New Roman" w:eastAsia="宋体" w:cs="Times New Roman"/>
                      <w:smallCaps w:val="0"/>
                      <w:color w:val="auto"/>
                      <w:spacing w:val="0"/>
                      <w:kern w:val="0"/>
                      <w:position w:val="0"/>
                      <w:szCs w:val="21"/>
                    </w:rPr>
                    <w:t>土工布保护层；</w:t>
                  </w:r>
                  <w:r>
                    <w:rPr>
                      <w:rFonts w:hint="default" w:ascii="Times New Roman" w:hAnsi="Times New Roman" w:eastAsia="宋体" w:cs="Times New Roman"/>
                      <w:smallCaps w:val="0"/>
                      <w:color w:val="auto"/>
                      <w:spacing w:val="0"/>
                      <w:kern w:val="0"/>
                      <w:position w:val="0"/>
                      <w:szCs w:val="21"/>
                    </w:rPr>
                    <w:fldChar w:fldCharType="begin"/>
                  </w:r>
                  <w:r>
                    <w:rPr>
                      <w:rFonts w:hint="default" w:ascii="Times New Roman" w:hAnsi="Times New Roman" w:eastAsia="宋体" w:cs="Times New Roman"/>
                      <w:smallCaps w:val="0"/>
                      <w:color w:val="auto"/>
                      <w:spacing w:val="0"/>
                      <w:kern w:val="0"/>
                      <w:position w:val="0"/>
                      <w:szCs w:val="21"/>
                    </w:rPr>
                    <w:instrText xml:space="preserve"> = 4 \* GB3 \* MERGEFORMAT </w:instrText>
                  </w:r>
                  <w:r>
                    <w:rPr>
                      <w:rFonts w:hint="default" w:ascii="Times New Roman" w:hAnsi="Times New Roman" w:eastAsia="宋体" w:cs="Times New Roman"/>
                      <w:smallCaps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④</w:t>
                  </w:r>
                  <w:r>
                    <w:rPr>
                      <w:rFonts w:hint="default" w:ascii="Times New Roman" w:hAnsi="Times New Roman" w:eastAsia="宋体" w:cs="Times New Roman"/>
                      <w:smallCaps w:val="0"/>
                      <w:color w:val="auto"/>
                      <w:spacing w:val="0"/>
                      <w:kern w:val="0"/>
                      <w:position w:val="0"/>
                      <w:szCs w:val="21"/>
                    </w:rPr>
                    <w:fldChar w:fldCharType="end"/>
                  </w:r>
                  <w:r>
                    <w:rPr>
                      <w:rFonts w:hint="default" w:ascii="Times New Roman" w:hAnsi="Times New Roman" w:eastAsia="宋体" w:cs="Times New Roman"/>
                      <w:smallCaps w:val="0"/>
                      <w:color w:val="auto"/>
                      <w:spacing w:val="0"/>
                      <w:kern w:val="0"/>
                      <w:position w:val="0"/>
                      <w:szCs w:val="21"/>
                    </w:rPr>
                    <w:t>0.12m厚混凝土层；</w:t>
                  </w:r>
                  <w:r>
                    <w:rPr>
                      <w:rFonts w:hint="default" w:ascii="Times New Roman" w:hAnsi="Times New Roman" w:eastAsia="宋体" w:cs="Times New Roman"/>
                      <w:smallCaps w:val="0"/>
                      <w:color w:val="auto"/>
                      <w:spacing w:val="0"/>
                      <w:kern w:val="0"/>
                      <w:position w:val="0"/>
                      <w:szCs w:val="21"/>
                    </w:rPr>
                    <w:fldChar w:fldCharType="begin"/>
                  </w:r>
                  <w:r>
                    <w:rPr>
                      <w:rFonts w:hint="default" w:ascii="Times New Roman" w:hAnsi="Times New Roman" w:eastAsia="宋体" w:cs="Times New Roman"/>
                      <w:smallCaps w:val="0"/>
                      <w:color w:val="auto"/>
                      <w:spacing w:val="0"/>
                      <w:kern w:val="0"/>
                      <w:position w:val="0"/>
                      <w:szCs w:val="21"/>
                    </w:rPr>
                    <w:instrText xml:space="preserve"> = 5 \* GB3 \* MERGEFORMAT </w:instrText>
                  </w:r>
                  <w:r>
                    <w:rPr>
                      <w:rFonts w:hint="default" w:ascii="Times New Roman" w:hAnsi="Times New Roman" w:eastAsia="宋体" w:cs="Times New Roman"/>
                      <w:smallCaps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⑤</w:t>
                  </w:r>
                  <w:r>
                    <w:rPr>
                      <w:rFonts w:hint="default" w:ascii="Times New Roman" w:hAnsi="Times New Roman" w:eastAsia="宋体" w:cs="Times New Roman"/>
                      <w:smallCaps w:val="0"/>
                      <w:color w:val="auto"/>
                      <w:spacing w:val="0"/>
                      <w:kern w:val="0"/>
                      <w:position w:val="0"/>
                      <w:szCs w:val="21"/>
                    </w:rPr>
                    <w:fldChar w:fldCharType="end"/>
                  </w:r>
                  <w:r>
                    <w:rPr>
                      <w:rFonts w:hint="default" w:ascii="Times New Roman" w:hAnsi="Times New Roman" w:eastAsia="宋体" w:cs="Times New Roman"/>
                      <w:smallCaps w:val="0"/>
                      <w:color w:val="auto"/>
                      <w:spacing w:val="0"/>
                      <w:kern w:val="0"/>
                      <w:position w:val="0"/>
                      <w:szCs w:val="21"/>
                    </w:rPr>
                    <w:t>4mm厚环氧树脂防渗、耐腐蚀涂层（渗透系数≤10</w:t>
                  </w:r>
                  <w:r>
                    <w:rPr>
                      <w:rFonts w:hint="default" w:ascii="Times New Roman" w:hAnsi="Times New Roman" w:eastAsia="宋体" w:cs="Times New Roman"/>
                      <w:smallCaps w:val="0"/>
                      <w:color w:val="auto"/>
                      <w:spacing w:val="0"/>
                      <w:kern w:val="0"/>
                      <w:position w:val="0"/>
                      <w:szCs w:val="21"/>
                      <w:vertAlign w:val="superscript"/>
                    </w:rPr>
                    <w:t>-10</w:t>
                  </w:r>
                  <w:r>
                    <w:rPr>
                      <w:rFonts w:hint="default" w:ascii="Times New Roman" w:hAnsi="Times New Roman" w:eastAsia="宋体" w:cs="Times New Roman"/>
                      <w:smallCaps w:val="0"/>
                      <w:color w:val="auto"/>
                      <w:spacing w:val="0"/>
                      <w:kern w:val="0"/>
                      <w:position w:val="0"/>
                      <w:szCs w:val="21"/>
                    </w:rPr>
                    <w:t>cm/s）</w:t>
                  </w:r>
                </w:p>
              </w:tc>
              <w:tc>
                <w:tcPr>
                  <w:tcW w:w="503" w:type="pct"/>
                  <w:noWrap w:val="0"/>
                  <w:vAlign w:val="center"/>
                </w:tcPr>
                <w:p w14:paraId="33616E42">
                  <w:pPr>
                    <w:spacing w:line="360" w:lineRule="exact"/>
                    <w:ind w:firstLine="0" w:firstLineChars="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符合</w:t>
                  </w:r>
                </w:p>
              </w:tc>
            </w:tr>
          </w:tbl>
          <w:p w14:paraId="04F180F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fldChar w:fldCharType="begin"/>
            </w:r>
            <w:r>
              <w:rPr>
                <w:rFonts w:hint="default" w:ascii="Times New Roman" w:hAnsi="Times New Roman" w:eastAsia="宋体" w:cs="Times New Roman"/>
                <w:smallCaps w:val="0"/>
                <w:color w:val="auto"/>
                <w:spacing w:val="0"/>
                <w:kern w:val="0"/>
                <w:position w:val="0"/>
                <w:sz w:val="24"/>
                <w:szCs w:val="24"/>
              </w:rPr>
              <w:instrText xml:space="preserve"> = 3 \* GB3 \* MERGEFORMAT </w:instrText>
            </w:r>
            <w:r>
              <w:rPr>
                <w:rFonts w:hint="default" w:ascii="Times New Roman" w:hAnsi="Times New Roman" w:eastAsia="宋体" w:cs="Times New Roman"/>
                <w:smallCaps w:val="0"/>
                <w:color w:val="auto"/>
                <w:spacing w:val="0"/>
                <w:kern w:val="0"/>
                <w:position w:val="0"/>
                <w:sz w:val="24"/>
                <w:szCs w:val="24"/>
              </w:rPr>
              <w:fldChar w:fldCharType="separate"/>
            </w:r>
            <w:r>
              <w:rPr>
                <w:rFonts w:hint="default" w:ascii="Times New Roman" w:hAnsi="Times New Roman" w:eastAsia="宋体" w:cs="Times New Roman"/>
                <w:smallCaps w:val="0"/>
                <w:color w:val="auto"/>
                <w:spacing w:val="0"/>
                <w:kern w:val="0"/>
                <w:position w:val="0"/>
                <w:sz w:val="24"/>
                <w:szCs w:val="24"/>
              </w:rPr>
              <w:t>③</w:t>
            </w:r>
            <w:r>
              <w:rPr>
                <w:rFonts w:hint="default" w:ascii="Times New Roman" w:hAnsi="Times New Roman" w:eastAsia="宋体" w:cs="Times New Roman"/>
                <w:smallCaps w:val="0"/>
                <w:color w:val="auto"/>
                <w:spacing w:val="0"/>
                <w:kern w:val="0"/>
                <w:position w:val="0"/>
                <w:sz w:val="24"/>
                <w:szCs w:val="24"/>
              </w:rPr>
              <w:fldChar w:fldCharType="end"/>
            </w:r>
            <w:r>
              <w:rPr>
                <w:rFonts w:hint="default" w:ascii="Times New Roman" w:hAnsi="Times New Roman" w:eastAsia="宋体" w:cs="Times New Roman"/>
                <w:smallCaps w:val="0"/>
                <w:color w:val="auto"/>
                <w:spacing w:val="0"/>
                <w:kern w:val="0"/>
                <w:position w:val="0"/>
                <w:sz w:val="24"/>
                <w:szCs w:val="24"/>
              </w:rPr>
              <w:t>应急响应措施</w:t>
            </w:r>
          </w:p>
          <w:p w14:paraId="2F1FAB31">
            <w:pPr>
              <w:pStyle w:val="7"/>
              <w:keepNext w:val="0"/>
              <w:keepLines w:val="0"/>
              <w:pageBreakBefore w:val="0"/>
              <w:kinsoku/>
              <w:wordWrap/>
              <w:overflowPunct/>
              <w:topLinePunct w:val="0"/>
              <w:autoSpaceDE/>
              <w:autoSpaceDN/>
              <w:bidi w:val="0"/>
              <w:adjustRightInd w:val="0"/>
              <w:snapToGrid w:val="0"/>
              <w:spacing w:before="0" w:after="0" w:line="440" w:lineRule="exact"/>
              <w:ind w:right="0"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制定风险事故应急响应的目的是为了在发生风险事故时，能以最快的速度发挥最大的效能，尽快控制事态的发展，降低事故对地下水及土壤的污染。根据地下水、土壤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2D70F4AC">
            <w:pPr>
              <w:pStyle w:val="7"/>
              <w:keepNext w:val="0"/>
              <w:keepLines w:val="0"/>
              <w:pageBreakBefore w:val="0"/>
              <w:kinsoku/>
              <w:wordWrap/>
              <w:overflowPunct/>
              <w:topLinePunct w:val="0"/>
              <w:autoSpaceDE/>
              <w:autoSpaceDN/>
              <w:bidi w:val="0"/>
              <w:adjustRightInd w:val="0"/>
              <w:snapToGrid w:val="0"/>
              <w:spacing w:before="0" w:after="0" w:line="440" w:lineRule="exact"/>
              <w:ind w:right="0" w:firstLine="482" w:firstLineChars="200"/>
              <w:textAlignment w:val="auto"/>
              <w:rPr>
                <w:rFonts w:hint="default" w:ascii="Times New Roman" w:hAnsi="Times New Roman" w:eastAsia="宋体" w:cs="Times New Roman"/>
                <w:b/>
                <w:bCs/>
                <w:smallCaps w:val="0"/>
                <w:color w:val="auto"/>
                <w:spacing w:val="0"/>
                <w:kern w:val="0"/>
                <w:position w:val="0"/>
                <w:sz w:val="24"/>
                <w:szCs w:val="24"/>
              </w:rPr>
            </w:pPr>
            <w:r>
              <w:rPr>
                <w:rFonts w:hint="default" w:ascii="Times New Roman" w:hAnsi="Times New Roman" w:eastAsia="宋体" w:cs="Times New Roman"/>
                <w:b/>
                <w:bCs/>
                <w:smallCaps w:val="0"/>
                <w:color w:val="auto"/>
                <w:spacing w:val="0"/>
                <w:kern w:val="0"/>
                <w:position w:val="0"/>
                <w:sz w:val="24"/>
                <w:szCs w:val="24"/>
              </w:rPr>
              <w:t>（3）地下水、土壤环境影响分析</w:t>
            </w:r>
          </w:p>
          <w:p w14:paraId="5FFD5CE7">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本项目可能对地下水、土壤产生影响的主要区域在生产车间</w:t>
            </w:r>
            <w:r>
              <w:rPr>
                <w:rFonts w:hint="eastAsia" w:cs="Times New Roman"/>
                <w:bCs/>
                <w:smallCaps w:val="0"/>
                <w:color w:val="auto"/>
                <w:spacing w:val="0"/>
                <w:kern w:val="0"/>
                <w:position w:val="0"/>
                <w:sz w:val="24"/>
                <w:szCs w:val="24"/>
                <w:lang w:val="en-US" w:eastAsia="zh-CN"/>
              </w:rPr>
              <w:t>二</w:t>
            </w:r>
            <w:r>
              <w:rPr>
                <w:rFonts w:hint="default" w:ascii="Times New Roman" w:hAnsi="Times New Roman" w:eastAsia="宋体" w:cs="Times New Roman"/>
                <w:bCs/>
                <w:smallCaps w:val="0"/>
                <w:color w:val="auto"/>
                <w:spacing w:val="0"/>
                <w:kern w:val="0"/>
                <w:position w:val="0"/>
                <w:sz w:val="24"/>
                <w:szCs w:val="24"/>
              </w:rPr>
              <w:t>，但因本项目一般防渗区、重点防渗区均考虑采取地下水防渗处理措施。正常</w:t>
            </w:r>
            <w:r>
              <w:rPr>
                <w:rFonts w:hint="default" w:ascii="Times New Roman" w:hAnsi="Times New Roman" w:eastAsia="宋体" w:cs="Times New Roman"/>
                <w:smallCaps w:val="0"/>
                <w:color w:val="auto"/>
                <w:spacing w:val="0"/>
                <w:kern w:val="0"/>
                <w:position w:val="0"/>
                <w:sz w:val="24"/>
                <w:szCs w:val="24"/>
              </w:rPr>
              <w:t>生产过程中</w:t>
            </w:r>
            <w:r>
              <w:rPr>
                <w:rFonts w:hint="default" w:ascii="Times New Roman" w:hAnsi="Times New Roman" w:eastAsia="宋体" w:cs="Times New Roman"/>
                <w:bCs/>
                <w:smallCaps w:val="0"/>
                <w:color w:val="auto"/>
                <w:spacing w:val="0"/>
                <w:kern w:val="0"/>
                <w:position w:val="0"/>
                <w:sz w:val="24"/>
                <w:szCs w:val="24"/>
              </w:rPr>
              <w:t>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136E5B5A">
            <w:pPr>
              <w:pStyle w:val="9"/>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2" w:firstLineChars="200"/>
              <w:textAlignment w:val="auto"/>
              <w:rPr>
                <w:rFonts w:hint="default" w:ascii="Times New Roman" w:hAnsi="Times New Roman" w:eastAsia="宋体" w:cs="Times New Roman"/>
                <w:b/>
                <w:smallCaps w:val="0"/>
                <w:color w:val="auto"/>
                <w:spacing w:val="0"/>
                <w:kern w:val="0"/>
                <w:position w:val="0"/>
                <w:sz w:val="24"/>
                <w:szCs w:val="24"/>
              </w:rPr>
            </w:pPr>
            <w:r>
              <w:rPr>
                <w:rFonts w:hint="default" w:ascii="Times New Roman" w:hAnsi="Times New Roman" w:eastAsia="宋体" w:cs="Times New Roman"/>
                <w:b/>
                <w:smallCaps w:val="0"/>
                <w:color w:val="auto"/>
                <w:spacing w:val="0"/>
                <w:kern w:val="0"/>
                <w:position w:val="0"/>
                <w:sz w:val="24"/>
                <w:szCs w:val="24"/>
              </w:rPr>
              <w:t>6、环境风险分析</w:t>
            </w:r>
          </w:p>
          <w:p w14:paraId="2B50EF8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szCs w:val="24"/>
              </w:rPr>
            </w:pPr>
            <w:r>
              <w:rPr>
                <w:rFonts w:hint="default" w:ascii="Times New Roman" w:hAnsi="Times New Roman" w:eastAsia="宋体" w:cs="Times New Roman"/>
                <w:b/>
                <w:bCs/>
                <w:smallCaps w:val="0"/>
                <w:color w:val="auto"/>
                <w:spacing w:val="0"/>
                <w:kern w:val="0"/>
                <w:position w:val="0"/>
                <w:sz w:val="24"/>
                <w:szCs w:val="24"/>
              </w:rPr>
              <w:t>（1）风险物质识别</w:t>
            </w:r>
          </w:p>
          <w:p w14:paraId="738FF626">
            <w:pPr>
              <w:pStyle w:val="9"/>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textAlignment w:val="auto"/>
              <w:rPr>
                <w:rFonts w:hint="default" w:ascii="Times New Roman" w:hAnsi="Times New Roman" w:eastAsia="宋体" w:cs="Times New Roman"/>
                <w:smallCaps w:val="0"/>
                <w:color w:val="auto"/>
                <w:spacing w:val="0"/>
                <w:sz w:val="24"/>
                <w:szCs w:val="24"/>
                <w:lang w:eastAsia="zh-CN"/>
              </w:rPr>
            </w:pPr>
            <w:r>
              <w:rPr>
                <w:rFonts w:hint="default" w:ascii="Times New Roman" w:hAnsi="Times New Roman" w:eastAsia="宋体" w:cs="Times New Roman"/>
                <w:smallCaps w:val="0"/>
                <w:color w:val="auto"/>
                <w:spacing w:val="0"/>
                <w:kern w:val="0"/>
                <w:position w:val="0"/>
                <w:sz w:val="24"/>
                <w:szCs w:val="24"/>
              </w:rPr>
              <w:t>本项目涉及到的</w:t>
            </w:r>
            <w:r>
              <w:rPr>
                <w:rFonts w:hint="default" w:ascii="Times New Roman" w:hAnsi="Times New Roman" w:eastAsia="宋体" w:cs="Times New Roman"/>
                <w:smallCaps w:val="0"/>
                <w:color w:val="auto"/>
                <w:spacing w:val="0"/>
                <w:kern w:val="0"/>
                <w:position w:val="0"/>
                <w:sz w:val="24"/>
                <w:szCs w:val="24"/>
                <w:lang w:val="en-US" w:eastAsia="zh-CN"/>
              </w:rPr>
              <w:t>危化品</w:t>
            </w:r>
            <w:r>
              <w:rPr>
                <w:rFonts w:hint="default" w:ascii="Times New Roman" w:hAnsi="Times New Roman" w:eastAsia="宋体" w:cs="Times New Roman"/>
                <w:smallCaps w:val="0"/>
                <w:color w:val="auto"/>
                <w:spacing w:val="0"/>
                <w:kern w:val="0"/>
                <w:position w:val="0"/>
                <w:sz w:val="24"/>
                <w:szCs w:val="24"/>
              </w:rPr>
              <w:t>主要</w:t>
            </w:r>
            <w:r>
              <w:rPr>
                <w:rFonts w:hint="default" w:ascii="Times New Roman" w:hAnsi="Times New Roman" w:eastAsia="宋体" w:cs="Times New Roman"/>
                <w:smallCaps w:val="0"/>
                <w:color w:val="auto"/>
                <w:spacing w:val="0"/>
                <w:kern w:val="0"/>
                <w:position w:val="0"/>
                <w:sz w:val="24"/>
                <w:szCs w:val="24"/>
                <w:lang w:val="en-US" w:eastAsia="zh-CN"/>
              </w:rPr>
              <w:t>为</w:t>
            </w:r>
            <w:r>
              <w:rPr>
                <w:rFonts w:hint="default" w:ascii="Times New Roman" w:hAnsi="Times New Roman" w:eastAsia="宋体" w:cs="Times New Roman"/>
                <w:smallCaps w:val="0"/>
                <w:color w:val="auto"/>
                <w:spacing w:val="0"/>
                <w:sz w:val="24"/>
                <w:szCs w:val="24"/>
                <w:lang w:val="en-US" w:eastAsia="zh-CN"/>
              </w:rPr>
              <w:t>危险废物（</w:t>
            </w:r>
            <w:r>
              <w:rPr>
                <w:rFonts w:hint="default" w:ascii="Times New Roman" w:hAnsi="Times New Roman" w:eastAsia="宋体" w:cs="Times New Roman"/>
                <w:smallCaps w:val="0"/>
                <w:color w:val="auto"/>
                <w:spacing w:val="0"/>
                <w:sz w:val="24"/>
                <w:lang w:val="en-US" w:eastAsia="zh-CN"/>
              </w:rPr>
              <w:t>废液压油、清洗废液、废包装桶</w:t>
            </w:r>
            <w:r>
              <w:rPr>
                <w:rFonts w:hint="default" w:ascii="Times New Roman" w:hAnsi="Times New Roman" w:eastAsia="宋体" w:cs="Times New Roman"/>
                <w:smallCaps w:val="0"/>
                <w:color w:val="auto"/>
                <w:spacing w:val="0"/>
                <w:sz w:val="24"/>
                <w:szCs w:val="24"/>
                <w:lang w:val="en-US" w:eastAsia="zh-CN"/>
              </w:rPr>
              <w:t>）</w:t>
            </w:r>
            <w:r>
              <w:rPr>
                <w:rFonts w:hint="default" w:ascii="Times New Roman" w:hAnsi="Times New Roman" w:eastAsia="宋体" w:cs="Times New Roman"/>
                <w:smallCaps w:val="0"/>
                <w:color w:val="auto"/>
                <w:spacing w:val="0"/>
                <w:sz w:val="24"/>
                <w:lang w:val="en-US" w:eastAsia="zh-CN"/>
              </w:rPr>
              <w:t>和液态原辅料液压油、UV油墨</w:t>
            </w:r>
            <w:r>
              <w:rPr>
                <w:rFonts w:hint="default" w:ascii="Times New Roman" w:hAnsi="Times New Roman" w:eastAsia="宋体" w:cs="Times New Roman"/>
                <w:smallCaps w:val="0"/>
                <w:color w:val="auto"/>
                <w:spacing w:val="0"/>
                <w:sz w:val="24"/>
                <w:szCs w:val="24"/>
              </w:rPr>
              <w:t>等。</w:t>
            </w:r>
          </w:p>
          <w:p w14:paraId="1857B7EC">
            <w:pPr>
              <w:pStyle w:val="9"/>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lang w:val="en-US"/>
              </w:rPr>
              <w:t>根据以上分析判别，结合各危险物质的用量、储量情况等，选取</w:t>
            </w:r>
            <w:r>
              <w:rPr>
                <w:rFonts w:hint="default" w:ascii="Times New Roman" w:hAnsi="Times New Roman" w:eastAsia="宋体" w:cs="Times New Roman"/>
                <w:smallCaps w:val="0"/>
                <w:color w:val="auto"/>
                <w:spacing w:val="0"/>
                <w:kern w:val="0"/>
                <w:position w:val="0"/>
                <w:sz w:val="24"/>
                <w:szCs w:val="24"/>
                <w:lang w:val="en-US" w:eastAsia="zh-CN"/>
              </w:rPr>
              <w:t>废活性炭</w:t>
            </w:r>
            <w:r>
              <w:rPr>
                <w:rFonts w:hint="default" w:ascii="Times New Roman" w:hAnsi="Times New Roman" w:eastAsia="宋体" w:cs="Times New Roman"/>
                <w:smallCaps w:val="0"/>
                <w:color w:val="auto"/>
                <w:spacing w:val="0"/>
                <w:kern w:val="0"/>
                <w:position w:val="0"/>
                <w:sz w:val="24"/>
                <w:szCs w:val="24"/>
                <w:lang w:val="en-US"/>
              </w:rPr>
              <w:t>作为公司风险评价因子，环境风险类型为泄漏、火灾和爆炸。对照附录B，计算所涉及的每种危险物质在厂界内的最大存在总量与其在附录B中对应临界量的比值Q。</w:t>
            </w:r>
          </w:p>
          <w:p w14:paraId="513DE7CE">
            <w:pPr>
              <w:pStyle w:val="9"/>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textAlignment w:val="auto"/>
              <w:rPr>
                <w:rFonts w:hint="default" w:ascii="Times New Roman" w:hAnsi="Times New Roman" w:eastAsia="宋体" w:cs="Times New Roman"/>
                <w:smallCaps w:val="0"/>
                <w:color w:val="auto"/>
                <w:spacing w:val="0"/>
                <w:kern w:val="0"/>
                <w:position w:val="0"/>
                <w:sz w:val="24"/>
                <w:szCs w:val="24"/>
                <w:lang w:val="en-US"/>
              </w:rPr>
            </w:pPr>
            <w:r>
              <w:rPr>
                <w:rFonts w:hint="default" w:ascii="Times New Roman" w:hAnsi="Times New Roman" w:eastAsia="宋体" w:cs="Times New Roman"/>
                <w:smallCaps w:val="0"/>
                <w:color w:val="auto"/>
                <w:spacing w:val="0"/>
                <w:kern w:val="0"/>
                <w:position w:val="0"/>
                <w:sz w:val="24"/>
                <w:szCs w:val="24"/>
                <w:lang w:val="en-US"/>
              </w:rPr>
              <w:t>当只涉及一种危险物质时，计算该物质的总量与其临界量比值，即为Q；</w:t>
            </w:r>
          </w:p>
          <w:p w14:paraId="282F122A">
            <w:pPr>
              <w:pStyle w:val="9"/>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textAlignment w:val="auto"/>
              <w:rPr>
                <w:rFonts w:hint="default" w:ascii="Times New Roman" w:hAnsi="Times New Roman" w:eastAsia="宋体" w:cs="Times New Roman"/>
                <w:smallCaps w:val="0"/>
                <w:color w:val="auto"/>
                <w:spacing w:val="0"/>
                <w:kern w:val="0"/>
                <w:position w:val="0"/>
                <w:sz w:val="24"/>
                <w:szCs w:val="24"/>
                <w:lang w:val="en-US"/>
              </w:rPr>
            </w:pPr>
            <w:r>
              <w:rPr>
                <w:rFonts w:hint="default" w:ascii="Times New Roman" w:hAnsi="Times New Roman" w:eastAsia="宋体" w:cs="Times New Roman"/>
                <w:smallCaps w:val="0"/>
                <w:color w:val="auto"/>
                <w:spacing w:val="0"/>
                <w:kern w:val="0"/>
                <w:position w:val="0"/>
                <w:sz w:val="24"/>
                <w:szCs w:val="24"/>
                <w:lang w:val="en-US"/>
              </w:rPr>
              <w:t>当存在多种危险物质时，则按下式计算物质总量与其临界量比值（Q）：</w:t>
            </w:r>
          </w:p>
          <w:p w14:paraId="2EAEE88B">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rPr>
              <w:drawing>
                <wp:inline distT="0" distB="0" distL="114300" distR="114300">
                  <wp:extent cx="1530350" cy="426720"/>
                  <wp:effectExtent l="0" t="0" r="12700" b="11430"/>
                  <wp:docPr id="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pic:cNvPicPr>
                            <a:picLocks noChangeAspect="1"/>
                          </pic:cNvPicPr>
                        </pic:nvPicPr>
                        <pic:blipFill>
                          <a:blip r:embed="rId22"/>
                          <a:stretch>
                            <a:fillRect/>
                          </a:stretch>
                        </pic:blipFill>
                        <pic:spPr>
                          <a:xfrm>
                            <a:off x="0" y="0"/>
                            <a:ext cx="1530350" cy="426720"/>
                          </a:xfrm>
                          <a:prstGeom prst="rect">
                            <a:avLst/>
                          </a:prstGeom>
                          <a:noFill/>
                          <a:ln>
                            <a:noFill/>
                          </a:ln>
                        </pic:spPr>
                      </pic:pic>
                    </a:graphicData>
                  </a:graphic>
                </wp:inline>
              </w:drawing>
            </w:r>
          </w:p>
          <w:p w14:paraId="250B01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式中：q</w:t>
            </w:r>
            <w:r>
              <w:rPr>
                <w:rFonts w:hint="default" w:ascii="Times New Roman" w:hAnsi="Times New Roman" w:eastAsia="宋体" w:cs="Times New Roman"/>
                <w:bCs/>
                <w:smallCaps w:val="0"/>
                <w:color w:val="auto"/>
                <w:spacing w:val="0"/>
                <w:kern w:val="0"/>
                <w:position w:val="0"/>
                <w:sz w:val="24"/>
                <w:szCs w:val="24"/>
                <w:vertAlign w:val="subscript"/>
              </w:rPr>
              <w:t>1</w:t>
            </w:r>
            <w:r>
              <w:rPr>
                <w:rFonts w:hint="default" w:ascii="Times New Roman" w:hAnsi="Times New Roman" w:eastAsia="宋体" w:cs="Times New Roman"/>
                <w:bCs/>
                <w:smallCaps w:val="0"/>
                <w:color w:val="auto"/>
                <w:spacing w:val="0"/>
                <w:kern w:val="0"/>
                <w:position w:val="0"/>
                <w:sz w:val="24"/>
                <w:szCs w:val="24"/>
              </w:rPr>
              <w:t>，q</w:t>
            </w:r>
            <w:r>
              <w:rPr>
                <w:rFonts w:hint="default" w:ascii="Times New Roman" w:hAnsi="Times New Roman" w:eastAsia="宋体" w:cs="Times New Roman"/>
                <w:bCs/>
                <w:smallCaps w:val="0"/>
                <w:color w:val="auto"/>
                <w:spacing w:val="0"/>
                <w:kern w:val="0"/>
                <w:position w:val="0"/>
                <w:sz w:val="24"/>
                <w:szCs w:val="24"/>
                <w:vertAlign w:val="subscript"/>
              </w:rPr>
              <w:t>2</w:t>
            </w:r>
            <w:r>
              <w:rPr>
                <w:rFonts w:hint="default" w:ascii="Times New Roman" w:hAnsi="Times New Roman" w:eastAsia="宋体" w:cs="Times New Roman"/>
                <w:bCs/>
                <w:smallCaps w:val="0"/>
                <w:color w:val="auto"/>
                <w:spacing w:val="0"/>
                <w:kern w:val="0"/>
                <w:position w:val="0"/>
                <w:sz w:val="24"/>
                <w:szCs w:val="24"/>
              </w:rPr>
              <w:t>，...，qn——每种危险物质的最大存在总量，t；</w:t>
            </w:r>
          </w:p>
          <w:p w14:paraId="315257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Q</w:t>
            </w:r>
            <w:r>
              <w:rPr>
                <w:rFonts w:hint="default" w:ascii="Times New Roman" w:hAnsi="Times New Roman" w:eastAsia="宋体" w:cs="Times New Roman"/>
                <w:bCs/>
                <w:smallCaps w:val="0"/>
                <w:color w:val="auto"/>
                <w:spacing w:val="0"/>
                <w:kern w:val="0"/>
                <w:position w:val="0"/>
                <w:sz w:val="24"/>
                <w:szCs w:val="24"/>
                <w:vertAlign w:val="subscript"/>
              </w:rPr>
              <w:t>1</w:t>
            </w:r>
            <w:r>
              <w:rPr>
                <w:rFonts w:hint="default" w:ascii="Times New Roman" w:hAnsi="Times New Roman" w:eastAsia="宋体" w:cs="Times New Roman"/>
                <w:bCs/>
                <w:smallCaps w:val="0"/>
                <w:color w:val="auto"/>
                <w:spacing w:val="0"/>
                <w:kern w:val="0"/>
                <w:position w:val="0"/>
                <w:sz w:val="24"/>
                <w:szCs w:val="24"/>
                <w:lang w:eastAsia="zh-CN"/>
              </w:rPr>
              <w:t>，</w:t>
            </w:r>
            <w:r>
              <w:rPr>
                <w:rFonts w:hint="default" w:ascii="Times New Roman" w:hAnsi="Times New Roman" w:eastAsia="宋体" w:cs="Times New Roman"/>
                <w:bCs/>
                <w:smallCaps w:val="0"/>
                <w:color w:val="auto"/>
                <w:spacing w:val="0"/>
                <w:kern w:val="0"/>
                <w:position w:val="0"/>
                <w:sz w:val="24"/>
                <w:szCs w:val="24"/>
              </w:rPr>
              <w:t>Q</w:t>
            </w:r>
            <w:r>
              <w:rPr>
                <w:rFonts w:hint="default" w:ascii="Times New Roman" w:hAnsi="Times New Roman" w:eastAsia="宋体" w:cs="Times New Roman"/>
                <w:bCs/>
                <w:smallCaps w:val="0"/>
                <w:color w:val="auto"/>
                <w:spacing w:val="0"/>
                <w:kern w:val="0"/>
                <w:position w:val="0"/>
                <w:sz w:val="24"/>
                <w:szCs w:val="24"/>
                <w:vertAlign w:val="subscript"/>
              </w:rPr>
              <w:t>2</w:t>
            </w:r>
            <w:r>
              <w:rPr>
                <w:rFonts w:hint="default" w:ascii="Times New Roman" w:hAnsi="Times New Roman" w:eastAsia="宋体" w:cs="Times New Roman"/>
                <w:bCs/>
                <w:smallCaps w:val="0"/>
                <w:color w:val="auto"/>
                <w:spacing w:val="0"/>
                <w:kern w:val="0"/>
                <w:position w:val="0"/>
                <w:sz w:val="24"/>
                <w:szCs w:val="24"/>
                <w:lang w:eastAsia="zh-CN"/>
              </w:rPr>
              <w:t>，</w:t>
            </w:r>
            <w:r>
              <w:rPr>
                <w:rFonts w:hint="default" w:ascii="Times New Roman" w:hAnsi="Times New Roman" w:eastAsia="宋体" w:cs="Times New Roman"/>
                <w:bCs/>
                <w:smallCaps w:val="0"/>
                <w:color w:val="auto"/>
                <w:spacing w:val="0"/>
                <w:kern w:val="0"/>
                <w:position w:val="0"/>
                <w:sz w:val="24"/>
                <w:szCs w:val="24"/>
              </w:rPr>
              <w:t>...</w:t>
            </w:r>
            <w:r>
              <w:rPr>
                <w:rFonts w:hint="default" w:ascii="Times New Roman" w:hAnsi="Times New Roman" w:eastAsia="宋体" w:cs="Times New Roman"/>
                <w:bCs/>
                <w:smallCaps w:val="0"/>
                <w:color w:val="auto"/>
                <w:spacing w:val="0"/>
                <w:kern w:val="0"/>
                <w:position w:val="0"/>
                <w:sz w:val="24"/>
                <w:szCs w:val="24"/>
                <w:lang w:eastAsia="zh-CN"/>
              </w:rPr>
              <w:t>，</w:t>
            </w:r>
            <w:r>
              <w:rPr>
                <w:rFonts w:hint="default" w:ascii="Times New Roman" w:hAnsi="Times New Roman" w:eastAsia="宋体" w:cs="Times New Roman"/>
                <w:bCs/>
                <w:smallCaps w:val="0"/>
                <w:color w:val="auto"/>
                <w:spacing w:val="0"/>
                <w:kern w:val="0"/>
                <w:position w:val="0"/>
                <w:sz w:val="24"/>
                <w:szCs w:val="24"/>
              </w:rPr>
              <w:t>Qn——每种危险物质的临界量，t。</w:t>
            </w:r>
          </w:p>
          <w:p w14:paraId="23EC89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当Q&lt;1时，该项目环境风险潜势为Ⅰ。</w:t>
            </w:r>
          </w:p>
          <w:p w14:paraId="5C43A2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当Q≥1时，将Q值划分为：①1≤Q&lt;10；②10≤Q&lt;100；③Q≥100。</w:t>
            </w:r>
          </w:p>
          <w:p w14:paraId="15A6EF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lang w:eastAsia="zh-CN"/>
              </w:rPr>
            </w:pPr>
            <w:r>
              <w:rPr>
                <w:rFonts w:hint="default" w:ascii="Times New Roman" w:hAnsi="Times New Roman" w:eastAsia="宋体" w:cs="Times New Roman"/>
                <w:bCs/>
                <w:smallCaps w:val="0"/>
                <w:color w:val="auto"/>
                <w:spacing w:val="0"/>
                <w:kern w:val="0"/>
                <w:position w:val="0"/>
                <w:sz w:val="24"/>
                <w:szCs w:val="24"/>
              </w:rPr>
              <w:t>本项目危险物质与附录B对照情况见下表</w:t>
            </w:r>
            <w:r>
              <w:rPr>
                <w:rFonts w:hint="default" w:ascii="Times New Roman" w:hAnsi="Times New Roman" w:eastAsia="宋体" w:cs="Times New Roman"/>
                <w:bCs/>
                <w:smallCaps w:val="0"/>
                <w:color w:val="auto"/>
                <w:spacing w:val="0"/>
                <w:kern w:val="0"/>
                <w:position w:val="0"/>
                <w:sz w:val="24"/>
                <w:szCs w:val="24"/>
                <w:lang w:eastAsia="zh-CN"/>
              </w:rPr>
              <w:t>：</w:t>
            </w:r>
          </w:p>
          <w:p w14:paraId="001BCCD7">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0"/>
                <w:position w:val="0"/>
                <w:sz w:val="21"/>
                <w:szCs w:val="22"/>
                <w:lang w:val="en-US" w:eastAsia="zh-CN" w:bidi="ar-SA"/>
              </w:rPr>
            </w:pPr>
            <w:r>
              <w:rPr>
                <w:rFonts w:hint="default" w:ascii="Times New Roman" w:hAnsi="Times New Roman" w:eastAsia="宋体" w:cs="Times New Roman"/>
                <w:b/>
                <w:smallCaps w:val="0"/>
                <w:color w:val="auto"/>
                <w:spacing w:val="0"/>
                <w:kern w:val="0"/>
                <w:position w:val="0"/>
                <w:sz w:val="21"/>
                <w:szCs w:val="22"/>
                <w:lang w:val="en-US" w:eastAsia="zh-CN" w:bidi="ar-SA"/>
              </w:rPr>
              <w:t>表4-22本项目建成后Q值计算结果一览表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95"/>
              <w:gridCol w:w="2776"/>
              <w:gridCol w:w="1624"/>
              <w:gridCol w:w="1581"/>
              <w:gridCol w:w="1632"/>
            </w:tblGrid>
            <w:tr w14:paraId="0AA68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noWrap w:val="0"/>
                  <w:vAlign w:val="center"/>
                </w:tcPr>
                <w:p w14:paraId="088629B2">
                  <w:pPr>
                    <w:kinsoku w:val="0"/>
                    <w:overflowPunct w:val="0"/>
                    <w:adjustRightInd w:val="0"/>
                    <w:snapToGrid w:val="0"/>
                    <w:spacing w:line="240" w:lineRule="auto"/>
                    <w:ind w:firstLine="0" w:firstLineChars="0"/>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序号</w:t>
                  </w:r>
                </w:p>
              </w:tc>
              <w:tc>
                <w:tcPr>
                  <w:tcW w:w="1670" w:type="pct"/>
                  <w:noWrap w:val="0"/>
                  <w:vAlign w:val="center"/>
                </w:tcPr>
                <w:p w14:paraId="12BFF36E">
                  <w:pPr>
                    <w:kinsoku w:val="0"/>
                    <w:overflowPunct w:val="0"/>
                    <w:adjustRightInd w:val="0"/>
                    <w:snapToGrid w:val="0"/>
                    <w:spacing w:line="240" w:lineRule="auto"/>
                    <w:ind w:firstLine="0" w:firstLineChars="0"/>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危险物质名称</w:t>
                  </w:r>
                </w:p>
              </w:tc>
              <w:tc>
                <w:tcPr>
                  <w:tcW w:w="977" w:type="pct"/>
                  <w:noWrap w:val="0"/>
                  <w:vAlign w:val="center"/>
                </w:tcPr>
                <w:p w14:paraId="3CD83137">
                  <w:pPr>
                    <w:kinsoku w:val="0"/>
                    <w:overflowPunct w:val="0"/>
                    <w:adjustRightInd w:val="0"/>
                    <w:snapToGrid w:val="0"/>
                    <w:spacing w:line="240" w:lineRule="auto"/>
                    <w:ind w:firstLine="0" w:firstLineChars="0"/>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lang w:val="en-US" w:eastAsia="zh-CN"/>
                    </w:rPr>
                    <w:t>本项目</w:t>
                  </w:r>
                  <w:r>
                    <w:rPr>
                      <w:rFonts w:hint="default" w:ascii="Times New Roman" w:hAnsi="Times New Roman" w:eastAsia="宋体" w:cs="Times New Roman"/>
                      <w:b/>
                      <w:smallCaps w:val="0"/>
                      <w:color w:val="auto"/>
                      <w:spacing w:val="0"/>
                      <w:kern w:val="0"/>
                      <w:position w:val="0"/>
                      <w:szCs w:val="21"/>
                    </w:rPr>
                    <w:t>最大存在总量qn/t</w:t>
                  </w:r>
                </w:p>
              </w:tc>
              <w:tc>
                <w:tcPr>
                  <w:tcW w:w="950" w:type="pct"/>
                  <w:noWrap w:val="0"/>
                  <w:vAlign w:val="center"/>
                </w:tcPr>
                <w:p w14:paraId="74497FD6">
                  <w:pPr>
                    <w:kinsoku w:val="0"/>
                    <w:overflowPunct w:val="0"/>
                    <w:adjustRightInd w:val="0"/>
                    <w:snapToGrid w:val="0"/>
                    <w:spacing w:line="240" w:lineRule="auto"/>
                    <w:ind w:firstLine="0" w:firstLineChars="0"/>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临界量Qn/t</w:t>
                  </w:r>
                </w:p>
              </w:tc>
              <w:tc>
                <w:tcPr>
                  <w:tcW w:w="982" w:type="pct"/>
                  <w:noWrap w:val="0"/>
                  <w:vAlign w:val="center"/>
                </w:tcPr>
                <w:p w14:paraId="5DB1E7E4">
                  <w:pPr>
                    <w:kinsoku w:val="0"/>
                    <w:overflowPunct w:val="0"/>
                    <w:adjustRightInd w:val="0"/>
                    <w:snapToGrid w:val="0"/>
                    <w:spacing w:line="240" w:lineRule="auto"/>
                    <w:ind w:firstLine="0" w:firstLineChars="0"/>
                    <w:jc w:val="center"/>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lang w:val="en-US" w:eastAsia="zh-CN"/>
                    </w:rPr>
                    <w:t>本项目</w:t>
                  </w:r>
                  <w:r>
                    <w:rPr>
                      <w:rFonts w:hint="default" w:ascii="Times New Roman" w:hAnsi="Times New Roman" w:eastAsia="宋体" w:cs="Times New Roman"/>
                      <w:b/>
                      <w:smallCaps w:val="0"/>
                      <w:color w:val="auto"/>
                      <w:spacing w:val="0"/>
                      <w:kern w:val="0"/>
                      <w:position w:val="0"/>
                      <w:szCs w:val="21"/>
                    </w:rPr>
                    <w:t>该种危险物质Q值</w:t>
                  </w:r>
                </w:p>
              </w:tc>
            </w:tr>
            <w:tr w14:paraId="13711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noWrap w:val="0"/>
                  <w:vAlign w:val="center"/>
                </w:tcPr>
                <w:p w14:paraId="1B2D6547">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rPr>
                    <w:t>1</w:t>
                  </w:r>
                </w:p>
              </w:tc>
              <w:tc>
                <w:tcPr>
                  <w:tcW w:w="1670" w:type="pct"/>
                  <w:shd w:val="clear" w:color="auto" w:fill="auto"/>
                  <w:noWrap w:val="0"/>
                  <w:vAlign w:val="center"/>
                </w:tcPr>
                <w:p w14:paraId="1C205D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废液压油</w:t>
                  </w:r>
                </w:p>
              </w:tc>
              <w:tc>
                <w:tcPr>
                  <w:tcW w:w="977" w:type="pct"/>
                  <w:noWrap w:val="0"/>
                  <w:vAlign w:val="center"/>
                </w:tcPr>
                <w:p w14:paraId="6C68A616">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0.15</w:t>
                  </w:r>
                </w:p>
              </w:tc>
              <w:tc>
                <w:tcPr>
                  <w:tcW w:w="950" w:type="pct"/>
                  <w:noWrap w:val="0"/>
                  <w:vAlign w:val="center"/>
                </w:tcPr>
                <w:p w14:paraId="0FDE279C">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2500</w:t>
                  </w:r>
                </w:p>
              </w:tc>
              <w:tc>
                <w:tcPr>
                  <w:tcW w:w="1632" w:type="dxa"/>
                  <w:noWrap w:val="0"/>
                  <w:vAlign w:val="center"/>
                </w:tcPr>
                <w:p w14:paraId="1C846D49">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0.00006</w:t>
                  </w:r>
                </w:p>
              </w:tc>
            </w:tr>
            <w:tr w14:paraId="74CC7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noWrap w:val="0"/>
                  <w:vAlign w:val="center"/>
                </w:tcPr>
                <w:p w14:paraId="359A4E6F">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2</w:t>
                  </w:r>
                </w:p>
              </w:tc>
              <w:tc>
                <w:tcPr>
                  <w:tcW w:w="1670" w:type="pct"/>
                  <w:shd w:val="clear" w:color="auto" w:fill="auto"/>
                  <w:noWrap w:val="0"/>
                  <w:vAlign w:val="center"/>
                </w:tcPr>
                <w:p w14:paraId="246CF42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清洗废液</w:t>
                  </w:r>
                </w:p>
              </w:tc>
              <w:tc>
                <w:tcPr>
                  <w:tcW w:w="977" w:type="pct"/>
                  <w:noWrap w:val="0"/>
                  <w:vAlign w:val="center"/>
                </w:tcPr>
                <w:p w14:paraId="018693B7">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1.2</w:t>
                  </w:r>
                </w:p>
              </w:tc>
              <w:tc>
                <w:tcPr>
                  <w:tcW w:w="950" w:type="pct"/>
                  <w:noWrap w:val="0"/>
                  <w:vAlign w:val="center"/>
                </w:tcPr>
                <w:p w14:paraId="62B0CEC2">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100</w:t>
                  </w:r>
                </w:p>
              </w:tc>
              <w:tc>
                <w:tcPr>
                  <w:tcW w:w="1632" w:type="dxa"/>
                  <w:noWrap w:val="0"/>
                  <w:vAlign w:val="center"/>
                </w:tcPr>
                <w:p w14:paraId="3FF6D628">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w:t>
                  </w:r>
                </w:p>
              </w:tc>
            </w:tr>
            <w:tr w14:paraId="04AA2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noWrap w:val="0"/>
                  <w:vAlign w:val="center"/>
                </w:tcPr>
                <w:p w14:paraId="476D930E">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3</w:t>
                  </w:r>
                </w:p>
              </w:tc>
              <w:tc>
                <w:tcPr>
                  <w:tcW w:w="1670" w:type="pct"/>
                  <w:shd w:val="clear" w:color="auto" w:fill="auto"/>
                  <w:noWrap w:val="0"/>
                  <w:vAlign w:val="center"/>
                </w:tcPr>
                <w:p w14:paraId="2AB346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废包装桶</w:t>
                  </w:r>
                </w:p>
              </w:tc>
              <w:tc>
                <w:tcPr>
                  <w:tcW w:w="977" w:type="pct"/>
                  <w:noWrap w:val="0"/>
                  <w:vAlign w:val="center"/>
                </w:tcPr>
                <w:p w14:paraId="3A235E7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0.037</w:t>
                  </w:r>
                </w:p>
              </w:tc>
              <w:tc>
                <w:tcPr>
                  <w:tcW w:w="950" w:type="pct"/>
                  <w:noWrap w:val="0"/>
                  <w:vAlign w:val="center"/>
                </w:tcPr>
                <w:p w14:paraId="73A55C9A">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100</w:t>
                  </w:r>
                </w:p>
              </w:tc>
              <w:tc>
                <w:tcPr>
                  <w:tcW w:w="1632" w:type="dxa"/>
                  <w:noWrap w:val="0"/>
                  <w:vAlign w:val="center"/>
                </w:tcPr>
                <w:p w14:paraId="140C24EA">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0.00037</w:t>
                  </w:r>
                </w:p>
              </w:tc>
            </w:tr>
            <w:tr w14:paraId="5A95F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noWrap w:val="0"/>
                  <w:vAlign w:val="center"/>
                </w:tcPr>
                <w:p w14:paraId="529B9F71">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4</w:t>
                  </w:r>
                </w:p>
              </w:tc>
              <w:tc>
                <w:tcPr>
                  <w:tcW w:w="1670" w:type="pct"/>
                  <w:shd w:val="clear" w:color="auto" w:fill="auto"/>
                  <w:noWrap w:val="0"/>
                  <w:vAlign w:val="center"/>
                </w:tcPr>
                <w:p w14:paraId="5AF5E5D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液压油</w:t>
                  </w:r>
                </w:p>
              </w:tc>
              <w:tc>
                <w:tcPr>
                  <w:tcW w:w="977" w:type="pct"/>
                  <w:noWrap w:val="0"/>
                  <w:vAlign w:val="center"/>
                </w:tcPr>
                <w:p w14:paraId="725999BE">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0.2</w:t>
                  </w:r>
                </w:p>
              </w:tc>
              <w:tc>
                <w:tcPr>
                  <w:tcW w:w="950" w:type="pct"/>
                  <w:noWrap w:val="0"/>
                  <w:vAlign w:val="center"/>
                </w:tcPr>
                <w:p w14:paraId="6E333DD8">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2500</w:t>
                  </w:r>
                </w:p>
              </w:tc>
              <w:tc>
                <w:tcPr>
                  <w:tcW w:w="1632" w:type="dxa"/>
                  <w:noWrap w:val="0"/>
                  <w:vAlign w:val="center"/>
                </w:tcPr>
                <w:p w14:paraId="4E75855C">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0.00008</w:t>
                  </w:r>
                </w:p>
              </w:tc>
            </w:tr>
            <w:tr w14:paraId="7DD05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noWrap w:val="0"/>
                  <w:vAlign w:val="center"/>
                </w:tcPr>
                <w:p w14:paraId="7C2E3366">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5</w:t>
                  </w:r>
                </w:p>
              </w:tc>
              <w:tc>
                <w:tcPr>
                  <w:tcW w:w="1670" w:type="pct"/>
                  <w:shd w:val="clear" w:color="auto" w:fill="auto"/>
                  <w:noWrap w:val="0"/>
                  <w:vAlign w:val="center"/>
                </w:tcPr>
                <w:p w14:paraId="356B10F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UV油墨</w:t>
                  </w:r>
                </w:p>
              </w:tc>
              <w:tc>
                <w:tcPr>
                  <w:tcW w:w="977" w:type="pct"/>
                  <w:noWrap w:val="0"/>
                  <w:vAlign w:val="center"/>
                </w:tcPr>
                <w:p w14:paraId="5FC7B81D">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0.002</w:t>
                  </w:r>
                </w:p>
              </w:tc>
              <w:tc>
                <w:tcPr>
                  <w:tcW w:w="950" w:type="pct"/>
                  <w:noWrap w:val="0"/>
                  <w:vAlign w:val="center"/>
                </w:tcPr>
                <w:p w14:paraId="23394A88">
                  <w:pPr>
                    <w:keepNext w:val="0"/>
                    <w:keepLines w:val="0"/>
                    <w:widowControl/>
                    <w:suppressLineNumbers w:val="0"/>
                    <w:jc w:val="center"/>
                    <w:textAlignment w:val="cente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50</w:t>
                  </w:r>
                </w:p>
              </w:tc>
              <w:tc>
                <w:tcPr>
                  <w:tcW w:w="1632" w:type="dxa"/>
                  <w:noWrap w:val="0"/>
                  <w:vAlign w:val="center"/>
                </w:tcPr>
                <w:p w14:paraId="65146F58">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0.00004</w:t>
                  </w:r>
                </w:p>
              </w:tc>
            </w:tr>
            <w:tr w14:paraId="35DD1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17" w:type="pct"/>
                  <w:gridSpan w:val="4"/>
                  <w:noWrap w:val="0"/>
                  <w:vAlign w:val="center"/>
                </w:tcPr>
                <w:p w14:paraId="0269668A">
                  <w:pPr>
                    <w:kinsoku w:val="0"/>
                    <w:overflowPunct w:val="0"/>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项目Q值Σ</w:t>
                  </w:r>
                </w:p>
              </w:tc>
              <w:tc>
                <w:tcPr>
                  <w:tcW w:w="1632" w:type="dxa"/>
                  <w:noWrap w:val="0"/>
                  <w:vAlign w:val="center"/>
                </w:tcPr>
                <w:p w14:paraId="63A5C102">
                  <w:pPr>
                    <w:keepNext w:val="0"/>
                    <w:keepLines w:val="0"/>
                    <w:widowControl/>
                    <w:suppressLineNumbers w:val="0"/>
                    <w:jc w:val="center"/>
                    <w:textAlignment w:val="center"/>
                    <w:rPr>
                      <w:rFonts w:hint="default" w:ascii="Times New Roman" w:hAnsi="Times New Roman" w:eastAsia="宋体" w:cs="Times New Roman"/>
                      <w:i w:val="0"/>
                      <w:iCs w:val="0"/>
                      <w:color w:val="auto"/>
                      <w:spacing w:val="0"/>
                      <w:kern w:val="0"/>
                      <w:positio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0.01255</w:t>
                  </w:r>
                </w:p>
              </w:tc>
            </w:tr>
          </w:tbl>
          <w:p w14:paraId="6D8C1A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由上表可知，</w:t>
            </w:r>
            <w:r>
              <w:rPr>
                <w:rFonts w:hint="default" w:ascii="Times New Roman" w:hAnsi="Times New Roman" w:eastAsia="宋体" w:cs="Times New Roman"/>
                <w:smallCaps w:val="0"/>
                <w:color w:val="auto"/>
                <w:spacing w:val="0"/>
                <w:kern w:val="0"/>
                <w:position w:val="0"/>
                <w:sz w:val="24"/>
                <w:szCs w:val="24"/>
                <w:lang w:val="en-US" w:eastAsia="zh-CN"/>
              </w:rPr>
              <w:t>本项目</w:t>
            </w:r>
            <w:r>
              <w:rPr>
                <w:rFonts w:hint="default" w:ascii="Times New Roman" w:hAnsi="Times New Roman" w:eastAsia="宋体" w:cs="Times New Roman"/>
                <w:smallCaps w:val="0"/>
                <w:color w:val="auto"/>
                <w:spacing w:val="0"/>
                <w:kern w:val="0"/>
                <w:position w:val="0"/>
                <w:sz w:val="24"/>
                <w:szCs w:val="24"/>
              </w:rPr>
              <w:t>Q值为0.01255（Q&lt;1），该项目环境风险潜势为Ⅰ。</w:t>
            </w:r>
          </w:p>
          <w:p w14:paraId="4E1AF55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smallCaps w:val="0"/>
                <w:color w:val="auto"/>
                <w:spacing w:val="0"/>
                <w:kern w:val="0"/>
                <w:position w:val="0"/>
                <w:sz w:val="24"/>
                <w:szCs w:val="24"/>
              </w:rPr>
            </w:pPr>
            <w:r>
              <w:rPr>
                <w:rFonts w:hint="default" w:ascii="Times New Roman" w:hAnsi="Times New Roman" w:eastAsia="宋体" w:cs="Times New Roman"/>
                <w:b/>
                <w:bCs/>
                <w:smallCaps w:val="0"/>
                <w:color w:val="auto"/>
                <w:spacing w:val="0"/>
                <w:kern w:val="0"/>
                <w:position w:val="0"/>
                <w:sz w:val="24"/>
                <w:szCs w:val="24"/>
                <w:lang w:eastAsia="zh-CN"/>
              </w:rPr>
              <w:t>（</w:t>
            </w:r>
            <w:r>
              <w:rPr>
                <w:rFonts w:hint="default" w:ascii="Times New Roman" w:hAnsi="Times New Roman" w:eastAsia="宋体" w:cs="Times New Roman"/>
                <w:b/>
                <w:bCs/>
                <w:smallCaps w:val="0"/>
                <w:color w:val="auto"/>
                <w:spacing w:val="0"/>
                <w:kern w:val="0"/>
                <w:position w:val="0"/>
                <w:sz w:val="24"/>
                <w:szCs w:val="24"/>
                <w:lang w:val="en-US" w:eastAsia="zh-CN"/>
              </w:rPr>
              <w:t>2</w:t>
            </w:r>
            <w:r>
              <w:rPr>
                <w:rFonts w:hint="default" w:ascii="Times New Roman" w:hAnsi="Times New Roman" w:eastAsia="宋体" w:cs="Times New Roman"/>
                <w:b/>
                <w:bCs/>
                <w:smallCaps w:val="0"/>
                <w:color w:val="auto"/>
                <w:spacing w:val="0"/>
                <w:kern w:val="0"/>
                <w:position w:val="0"/>
                <w:sz w:val="24"/>
                <w:szCs w:val="24"/>
                <w:lang w:eastAsia="zh-CN"/>
              </w:rPr>
              <w:t>）</w:t>
            </w:r>
            <w:r>
              <w:rPr>
                <w:rFonts w:hint="default" w:ascii="Times New Roman" w:hAnsi="Times New Roman" w:eastAsia="宋体" w:cs="Times New Roman"/>
                <w:b/>
                <w:bCs/>
                <w:smallCaps w:val="0"/>
                <w:color w:val="auto"/>
                <w:spacing w:val="0"/>
                <w:kern w:val="0"/>
                <w:position w:val="0"/>
                <w:sz w:val="24"/>
                <w:szCs w:val="24"/>
              </w:rPr>
              <w:t>风险源分布情况及影响途径</w:t>
            </w:r>
          </w:p>
          <w:p w14:paraId="3561DD0B">
            <w:pPr>
              <w:pStyle w:val="9"/>
              <w:keepNext w:val="0"/>
              <w:keepLines w:val="0"/>
              <w:pageBreakBefore w:val="0"/>
              <w:widowControl w:val="0"/>
              <w:kinsoku/>
              <w:wordWrap/>
              <w:overflowPunct/>
              <w:topLinePunct w:val="0"/>
              <w:autoSpaceDE/>
              <w:autoSpaceDN/>
              <w:bidi w:val="0"/>
              <w:adjustRightInd w:val="0"/>
              <w:snapToGrid w:val="0"/>
              <w:spacing w:after="0" w:line="440" w:lineRule="exact"/>
              <w:ind w:left="0" w:leftChars="0" w:firstLine="480" w:firstLineChars="200"/>
              <w:textAlignment w:val="auto"/>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本项目风险源分布及影响途径见表4-</w:t>
            </w:r>
            <w:r>
              <w:rPr>
                <w:rFonts w:hint="default" w:ascii="Times New Roman" w:hAnsi="Times New Roman" w:eastAsia="宋体" w:cs="Times New Roman"/>
                <w:smallCaps w:val="0"/>
                <w:color w:val="auto"/>
                <w:spacing w:val="0"/>
                <w:kern w:val="0"/>
                <w:position w:val="0"/>
                <w:sz w:val="24"/>
                <w:szCs w:val="24"/>
                <w:lang w:val="en-US" w:eastAsia="zh-CN"/>
              </w:rPr>
              <w:t>23</w:t>
            </w:r>
            <w:r>
              <w:rPr>
                <w:rFonts w:hint="default" w:ascii="Times New Roman" w:hAnsi="Times New Roman" w:eastAsia="宋体" w:cs="Times New Roman"/>
                <w:smallCaps w:val="0"/>
                <w:color w:val="auto"/>
                <w:spacing w:val="0"/>
                <w:kern w:val="0"/>
                <w:position w:val="0"/>
                <w:sz w:val="24"/>
                <w:szCs w:val="24"/>
              </w:rPr>
              <w:t>。</w:t>
            </w:r>
          </w:p>
          <w:p w14:paraId="68082E5B">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0"/>
                <w:position w:val="0"/>
                <w:sz w:val="21"/>
                <w:szCs w:val="22"/>
                <w:lang w:val="en-US" w:eastAsia="zh-CN" w:bidi="ar-SA"/>
              </w:rPr>
            </w:pPr>
            <w:r>
              <w:rPr>
                <w:rFonts w:hint="default" w:ascii="Times New Roman" w:hAnsi="Times New Roman" w:eastAsia="宋体" w:cs="Times New Roman"/>
                <w:b/>
                <w:smallCaps w:val="0"/>
                <w:color w:val="auto"/>
                <w:spacing w:val="0"/>
                <w:kern w:val="0"/>
                <w:position w:val="0"/>
                <w:sz w:val="21"/>
                <w:szCs w:val="22"/>
                <w:lang w:val="en-US" w:eastAsia="zh-CN" w:bidi="ar-SA"/>
              </w:rPr>
              <w:t>表4-23风险源分布及影响途径一览表</w:t>
            </w:r>
          </w:p>
          <w:tbl>
            <w:tblPr>
              <w:tblStyle w:val="17"/>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Layout w:type="autofit"/>
              <w:tblCellMar>
                <w:top w:w="0" w:type="dxa"/>
                <w:left w:w="0" w:type="dxa"/>
                <w:bottom w:w="0" w:type="dxa"/>
                <w:right w:w="0" w:type="dxa"/>
              </w:tblCellMar>
            </w:tblPr>
            <w:tblGrid>
              <w:gridCol w:w="1327"/>
              <w:gridCol w:w="1445"/>
              <w:gridCol w:w="1337"/>
              <w:gridCol w:w="1390"/>
              <w:gridCol w:w="1883"/>
              <w:gridCol w:w="921"/>
            </w:tblGrid>
            <w:tr w14:paraId="23D2F412">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0" w:type="dxa"/>
                  <w:bottom w:w="0" w:type="dxa"/>
                  <w:right w:w="0" w:type="dxa"/>
                </w:tblCellMar>
              </w:tblPrEx>
              <w:trPr>
                <w:trHeight w:val="340" w:hRule="atLeast"/>
                <w:jc w:val="center"/>
              </w:trPr>
              <w:tc>
                <w:tcPr>
                  <w:tcW w:w="799" w:type="pct"/>
                  <w:noWrap w:val="0"/>
                  <w:vAlign w:val="center"/>
                </w:tcPr>
                <w:p w14:paraId="4EE5EB14">
                  <w:pPr>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风险类型</w:t>
                  </w:r>
                </w:p>
              </w:tc>
              <w:tc>
                <w:tcPr>
                  <w:tcW w:w="870" w:type="pct"/>
                  <w:noWrap w:val="0"/>
                  <w:vAlign w:val="center"/>
                </w:tcPr>
                <w:p w14:paraId="79976918">
                  <w:pPr>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风险源</w:t>
                  </w:r>
                </w:p>
              </w:tc>
              <w:tc>
                <w:tcPr>
                  <w:tcW w:w="805" w:type="pct"/>
                  <w:noWrap w:val="0"/>
                  <w:vAlign w:val="center"/>
                </w:tcPr>
                <w:p w14:paraId="1E4F9130">
                  <w:pPr>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主要危险物质</w:t>
                  </w:r>
                </w:p>
              </w:tc>
              <w:tc>
                <w:tcPr>
                  <w:tcW w:w="837" w:type="pct"/>
                  <w:noWrap w:val="0"/>
                  <w:vAlign w:val="center"/>
                </w:tcPr>
                <w:p w14:paraId="4F47214E">
                  <w:pPr>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环境风险类型</w:t>
                  </w:r>
                </w:p>
              </w:tc>
              <w:tc>
                <w:tcPr>
                  <w:tcW w:w="1133" w:type="pct"/>
                  <w:noWrap w:val="0"/>
                  <w:vAlign w:val="center"/>
                </w:tcPr>
                <w:p w14:paraId="2E158147">
                  <w:pPr>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环境影响途径</w:t>
                  </w:r>
                </w:p>
              </w:tc>
              <w:tc>
                <w:tcPr>
                  <w:tcW w:w="554" w:type="pct"/>
                  <w:noWrap w:val="0"/>
                  <w:vAlign w:val="center"/>
                </w:tcPr>
                <w:p w14:paraId="2599F22B">
                  <w:pPr>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smallCaps w:val="0"/>
                      <w:color w:val="auto"/>
                      <w:spacing w:val="0"/>
                      <w:kern w:val="0"/>
                      <w:position w:val="0"/>
                      <w:szCs w:val="21"/>
                    </w:rPr>
                  </w:pPr>
                  <w:r>
                    <w:rPr>
                      <w:rFonts w:hint="default" w:ascii="Times New Roman" w:hAnsi="Times New Roman" w:eastAsia="宋体" w:cs="Times New Roman"/>
                      <w:b/>
                      <w:smallCaps w:val="0"/>
                      <w:color w:val="auto"/>
                      <w:spacing w:val="0"/>
                      <w:kern w:val="0"/>
                      <w:position w:val="0"/>
                      <w:szCs w:val="21"/>
                    </w:rPr>
                    <w:t>备注</w:t>
                  </w:r>
                </w:p>
              </w:tc>
            </w:tr>
            <w:tr w14:paraId="0F63159E">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0" w:type="dxa"/>
                  <w:bottom w:w="0" w:type="dxa"/>
                  <w:right w:w="0" w:type="dxa"/>
                </w:tblCellMar>
              </w:tblPrEx>
              <w:trPr>
                <w:trHeight w:val="340" w:hRule="atLeast"/>
                <w:jc w:val="center"/>
              </w:trPr>
              <w:tc>
                <w:tcPr>
                  <w:tcW w:w="799" w:type="pct"/>
                  <w:vMerge w:val="restart"/>
                  <w:noWrap w:val="0"/>
                  <w:vAlign w:val="center"/>
                </w:tcPr>
                <w:p w14:paraId="0733D64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rPr>
                    <w:t>泄漏</w:t>
                  </w:r>
                  <w:r>
                    <w:rPr>
                      <w:rFonts w:hint="default" w:ascii="Times New Roman" w:hAnsi="Times New Roman" w:eastAsia="宋体" w:cs="Times New Roman"/>
                      <w:smallCaps w:val="0"/>
                      <w:color w:val="auto"/>
                      <w:spacing w:val="0"/>
                      <w:kern w:val="0"/>
                      <w:position w:val="0"/>
                      <w:szCs w:val="21"/>
                      <w:lang w:eastAsia="zh-CN"/>
                    </w:rPr>
                    <w:t>、</w:t>
                  </w:r>
                  <w:r>
                    <w:rPr>
                      <w:rFonts w:hint="default" w:ascii="Times New Roman" w:hAnsi="Times New Roman" w:eastAsia="宋体" w:cs="Times New Roman"/>
                      <w:smallCaps w:val="0"/>
                      <w:color w:val="auto"/>
                      <w:spacing w:val="0"/>
                      <w:kern w:val="0"/>
                      <w:position w:val="0"/>
                      <w:szCs w:val="21"/>
                      <w:lang w:val="en-US" w:eastAsia="zh-CN"/>
                    </w:rPr>
                    <w:t>火灾爆炸</w:t>
                  </w:r>
                </w:p>
              </w:tc>
              <w:tc>
                <w:tcPr>
                  <w:tcW w:w="870" w:type="pct"/>
                  <w:noWrap w:val="0"/>
                  <w:vAlign w:val="center"/>
                </w:tcPr>
                <w:p w14:paraId="3985D99D">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原料仓库</w:t>
                  </w:r>
                </w:p>
              </w:tc>
              <w:tc>
                <w:tcPr>
                  <w:tcW w:w="805" w:type="pct"/>
                  <w:noWrap w:val="0"/>
                  <w:vAlign w:val="center"/>
                </w:tcPr>
                <w:p w14:paraId="517A66B9">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液压油、UV油墨</w:t>
                  </w:r>
                </w:p>
              </w:tc>
              <w:tc>
                <w:tcPr>
                  <w:tcW w:w="837" w:type="pct"/>
                  <w:noWrap w:val="0"/>
                  <w:vAlign w:val="center"/>
                </w:tcPr>
                <w:p w14:paraId="70F8FFB8">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bidi="ar-SA"/>
                    </w:rPr>
                    <w:t>包装破损</w:t>
                  </w:r>
                </w:p>
              </w:tc>
              <w:tc>
                <w:tcPr>
                  <w:tcW w:w="1133" w:type="pct"/>
                  <w:noWrap w:val="0"/>
                  <w:vAlign w:val="center"/>
                </w:tcPr>
                <w:p w14:paraId="2026D21E">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rPr>
                    <w:t>地表水</w:t>
                  </w:r>
                  <w:r>
                    <w:rPr>
                      <w:rFonts w:hint="default" w:ascii="Times New Roman" w:hAnsi="Times New Roman" w:eastAsia="宋体" w:cs="Times New Roman"/>
                      <w:smallCaps w:val="0"/>
                      <w:color w:val="auto"/>
                      <w:spacing w:val="0"/>
                      <w:kern w:val="0"/>
                      <w:position w:val="0"/>
                      <w:szCs w:val="21"/>
                      <w:lang w:eastAsia="zh-CN"/>
                    </w:rPr>
                    <w:t>、</w:t>
                  </w:r>
                  <w:r>
                    <w:rPr>
                      <w:rFonts w:hint="default" w:ascii="Times New Roman" w:hAnsi="Times New Roman" w:eastAsia="宋体" w:cs="Times New Roman"/>
                      <w:smallCaps w:val="0"/>
                      <w:color w:val="auto"/>
                      <w:spacing w:val="0"/>
                      <w:kern w:val="0"/>
                      <w:position w:val="0"/>
                      <w:szCs w:val="21"/>
                      <w:lang w:val="en-US" w:eastAsia="zh-CN"/>
                    </w:rPr>
                    <w:t>大气、土壤、地下水</w:t>
                  </w:r>
                </w:p>
              </w:tc>
              <w:tc>
                <w:tcPr>
                  <w:tcW w:w="554" w:type="pct"/>
                  <w:shd w:val="clear" w:color="auto" w:fill="auto"/>
                  <w:noWrap w:val="0"/>
                  <w:vAlign w:val="center"/>
                </w:tcPr>
                <w:p w14:paraId="56932BA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2"/>
                      <w:sz w:val="21"/>
                      <w:szCs w:val="21"/>
                      <w:lang w:val="en-US" w:eastAsia="zh-CN" w:bidi="ar-SA"/>
                    </w:rPr>
                  </w:pPr>
                  <w:r>
                    <w:rPr>
                      <w:rFonts w:hint="default" w:ascii="Times New Roman" w:hAnsi="Times New Roman" w:eastAsia="宋体" w:cs="Times New Roman"/>
                      <w:smallCaps w:val="0"/>
                      <w:color w:val="auto"/>
                      <w:spacing w:val="0"/>
                      <w:kern w:val="0"/>
                      <w:position w:val="0"/>
                      <w:szCs w:val="21"/>
                    </w:rPr>
                    <w:t>伴生/次生污染物</w:t>
                  </w:r>
                  <w:r>
                    <w:rPr>
                      <w:rFonts w:hint="default" w:ascii="Times New Roman" w:hAnsi="Times New Roman" w:eastAsia="宋体" w:cs="Times New Roman"/>
                      <w:smallCaps w:val="0"/>
                      <w:color w:val="auto"/>
                      <w:spacing w:val="0"/>
                      <w:kern w:val="0"/>
                      <w:position w:val="0"/>
                      <w:szCs w:val="21"/>
                      <w:lang w:eastAsia="zh-CN"/>
                    </w:rPr>
                    <w:t>：</w:t>
                  </w:r>
                  <w:r>
                    <w:rPr>
                      <w:rFonts w:hint="default" w:ascii="Times New Roman" w:hAnsi="Times New Roman" w:eastAsia="宋体" w:cs="Times New Roman"/>
                      <w:smallCaps w:val="0"/>
                      <w:color w:val="auto"/>
                      <w:spacing w:val="0"/>
                      <w:kern w:val="0"/>
                      <w:position w:val="0"/>
                      <w:szCs w:val="21"/>
                      <w:lang w:val="en-US" w:eastAsia="zh-CN"/>
                    </w:rPr>
                    <w:t>颗粒物、非甲烷总烃、CO</w:t>
                  </w:r>
                </w:p>
              </w:tc>
            </w:tr>
            <w:tr w14:paraId="668F9BD5">
              <w:tblPrEx>
                <w:tblBorders>
                  <w:top w:val="single" w:color="auto" w:sz="12" w:space="0"/>
                  <w:left w:val="none" w:color="auto" w:sz="0" w:space="0"/>
                  <w:bottom w:val="single" w:color="auto" w:sz="12" w:space="0"/>
                  <w:right w:val="none" w:color="auto" w:sz="0" w:space="0"/>
                  <w:insideH w:val="single" w:color="auto" w:sz="2" w:space="0"/>
                  <w:insideV w:val="single" w:color="auto" w:sz="6" w:space="0"/>
                </w:tblBorders>
                <w:tblCellMar>
                  <w:top w:w="0" w:type="dxa"/>
                  <w:left w:w="0" w:type="dxa"/>
                  <w:bottom w:w="0" w:type="dxa"/>
                  <w:right w:w="0" w:type="dxa"/>
                </w:tblCellMar>
              </w:tblPrEx>
              <w:trPr>
                <w:trHeight w:val="340" w:hRule="atLeast"/>
                <w:jc w:val="center"/>
              </w:trPr>
              <w:tc>
                <w:tcPr>
                  <w:tcW w:w="799" w:type="pct"/>
                  <w:vMerge w:val="continue"/>
                  <w:noWrap w:val="0"/>
                  <w:vAlign w:val="center"/>
                </w:tcPr>
                <w:p w14:paraId="765736E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Cs w:val="21"/>
                    </w:rPr>
                  </w:pPr>
                </w:p>
              </w:tc>
              <w:tc>
                <w:tcPr>
                  <w:tcW w:w="870" w:type="pct"/>
                  <w:noWrap w:val="0"/>
                  <w:vAlign w:val="center"/>
                </w:tcPr>
                <w:p w14:paraId="0E154B5A">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危废仓库</w:t>
                  </w:r>
                </w:p>
              </w:tc>
              <w:tc>
                <w:tcPr>
                  <w:tcW w:w="805" w:type="pct"/>
                  <w:noWrap w:val="0"/>
                  <w:vAlign w:val="center"/>
                </w:tcPr>
                <w:p w14:paraId="562EE3A0">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废液压油、清洗废液、废包装桶</w:t>
                  </w:r>
                </w:p>
              </w:tc>
              <w:tc>
                <w:tcPr>
                  <w:tcW w:w="837" w:type="pct"/>
                  <w:noWrap w:val="0"/>
                  <w:vAlign w:val="center"/>
                </w:tcPr>
                <w:p w14:paraId="4B357122">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设备泄露</w:t>
                  </w:r>
                </w:p>
              </w:tc>
              <w:tc>
                <w:tcPr>
                  <w:tcW w:w="1133" w:type="pct"/>
                  <w:noWrap w:val="0"/>
                  <w:vAlign w:val="center"/>
                </w:tcPr>
                <w:p w14:paraId="179378FF">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地表水</w:t>
                  </w:r>
                  <w:r>
                    <w:rPr>
                      <w:rFonts w:hint="default" w:ascii="Times New Roman" w:hAnsi="Times New Roman" w:eastAsia="宋体" w:cs="Times New Roman"/>
                      <w:smallCaps w:val="0"/>
                      <w:color w:val="auto"/>
                      <w:spacing w:val="0"/>
                      <w:kern w:val="0"/>
                      <w:position w:val="0"/>
                      <w:szCs w:val="21"/>
                      <w:lang w:eastAsia="zh-CN"/>
                    </w:rPr>
                    <w:t>、</w:t>
                  </w:r>
                  <w:r>
                    <w:rPr>
                      <w:rFonts w:hint="default" w:ascii="Times New Roman" w:hAnsi="Times New Roman" w:eastAsia="宋体" w:cs="Times New Roman"/>
                      <w:smallCaps w:val="0"/>
                      <w:color w:val="auto"/>
                      <w:spacing w:val="0"/>
                      <w:kern w:val="0"/>
                      <w:position w:val="0"/>
                      <w:szCs w:val="21"/>
                      <w:lang w:val="en-US" w:eastAsia="zh-CN"/>
                    </w:rPr>
                    <w:t>大气、土壤、地下水</w:t>
                  </w:r>
                </w:p>
              </w:tc>
              <w:tc>
                <w:tcPr>
                  <w:tcW w:w="554" w:type="pct"/>
                  <w:noWrap w:val="0"/>
                  <w:vAlign w:val="center"/>
                </w:tcPr>
                <w:p w14:paraId="5F8AC073">
                  <w:pPr>
                    <w:keepNext w:val="0"/>
                    <w:keepLines w:val="0"/>
                    <w:pageBreakBefore w:val="0"/>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mallCaps w:val="0"/>
                      <w:color w:val="auto"/>
                      <w:spacing w:val="0"/>
                      <w:kern w:val="0"/>
                      <w:position w:val="0"/>
                      <w:szCs w:val="21"/>
                    </w:rPr>
                  </w:pPr>
                  <w:r>
                    <w:rPr>
                      <w:rFonts w:hint="default" w:ascii="Times New Roman" w:hAnsi="Times New Roman" w:eastAsia="宋体" w:cs="Times New Roman"/>
                      <w:smallCaps w:val="0"/>
                      <w:color w:val="auto"/>
                      <w:spacing w:val="0"/>
                      <w:kern w:val="0"/>
                      <w:position w:val="0"/>
                      <w:szCs w:val="21"/>
                    </w:rPr>
                    <w:t>伴生/次生污染物</w:t>
                  </w:r>
                  <w:r>
                    <w:rPr>
                      <w:rFonts w:hint="default" w:ascii="Times New Roman" w:hAnsi="Times New Roman" w:eastAsia="宋体" w:cs="Times New Roman"/>
                      <w:smallCaps w:val="0"/>
                      <w:color w:val="auto"/>
                      <w:spacing w:val="0"/>
                      <w:kern w:val="0"/>
                      <w:position w:val="0"/>
                      <w:szCs w:val="21"/>
                      <w:lang w:eastAsia="zh-CN"/>
                    </w:rPr>
                    <w:t>：</w:t>
                  </w:r>
                  <w:r>
                    <w:rPr>
                      <w:rFonts w:hint="default" w:ascii="Times New Roman" w:hAnsi="Times New Roman" w:eastAsia="宋体" w:cs="Times New Roman"/>
                      <w:smallCaps w:val="0"/>
                      <w:color w:val="auto"/>
                      <w:spacing w:val="0"/>
                      <w:kern w:val="0"/>
                      <w:position w:val="0"/>
                      <w:szCs w:val="21"/>
                      <w:lang w:val="en-US" w:eastAsia="zh-CN"/>
                    </w:rPr>
                    <w:t>颗粒物、非甲烷总烃、CO</w:t>
                  </w:r>
                </w:p>
              </w:tc>
            </w:tr>
          </w:tbl>
          <w:p w14:paraId="3E373355">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bCs/>
                <w:smallCaps w:val="0"/>
                <w:color w:val="auto"/>
                <w:spacing w:val="0"/>
                <w:sz w:val="24"/>
                <w:szCs w:val="24"/>
              </w:rPr>
            </w:pPr>
            <w:r>
              <w:rPr>
                <w:rFonts w:hint="default" w:ascii="Times New Roman" w:hAnsi="Times New Roman" w:eastAsia="宋体" w:cs="Times New Roman"/>
                <w:bCs/>
                <w:smallCaps w:val="0"/>
                <w:color w:val="auto"/>
                <w:spacing w:val="0"/>
                <w:kern w:val="0"/>
                <w:position w:val="0"/>
                <w:sz w:val="24"/>
                <w:szCs w:val="24"/>
              </w:rPr>
              <w:t>物料泄露</w:t>
            </w:r>
            <w:r>
              <w:rPr>
                <w:rFonts w:hint="default" w:ascii="Times New Roman" w:hAnsi="Times New Roman" w:eastAsia="宋体" w:cs="Times New Roman"/>
                <w:bCs/>
                <w:smallCaps w:val="0"/>
                <w:color w:val="auto"/>
                <w:spacing w:val="0"/>
                <w:kern w:val="0"/>
                <w:position w:val="0"/>
                <w:sz w:val="24"/>
                <w:szCs w:val="24"/>
                <w:lang w:eastAsia="zh-CN"/>
              </w:rPr>
              <w:t>：</w:t>
            </w:r>
            <w:r>
              <w:rPr>
                <w:rFonts w:hint="default" w:ascii="Times New Roman" w:hAnsi="Times New Roman" w:eastAsia="宋体" w:cs="Times New Roman"/>
                <w:bCs/>
                <w:smallCaps w:val="0"/>
                <w:color w:val="auto"/>
                <w:spacing w:val="0"/>
                <w:sz w:val="24"/>
                <w:szCs w:val="24"/>
              </w:rPr>
              <w:t>本项目储存的化学品主要有液压油、UV油墨等，在储存过程中，均可能会因自然或人为因素，出现事故造成泄漏而排入周围环境。挥发性物料对大气环境造成影响</w:t>
            </w:r>
            <w:r>
              <w:rPr>
                <w:rFonts w:hint="default" w:ascii="Times New Roman" w:hAnsi="Times New Roman" w:eastAsia="宋体" w:cs="Times New Roman"/>
                <w:bCs/>
                <w:smallCaps w:val="0"/>
                <w:color w:val="auto"/>
                <w:spacing w:val="0"/>
                <w:sz w:val="24"/>
                <w:szCs w:val="24"/>
                <w:lang w:eastAsia="zh-CN"/>
              </w:rPr>
              <w:t>；</w:t>
            </w:r>
            <w:r>
              <w:rPr>
                <w:rFonts w:hint="default" w:ascii="Times New Roman" w:hAnsi="Times New Roman" w:eastAsia="宋体" w:cs="Times New Roman"/>
                <w:bCs/>
                <w:smallCaps w:val="0"/>
                <w:color w:val="auto"/>
                <w:spacing w:val="0"/>
                <w:sz w:val="24"/>
                <w:szCs w:val="24"/>
              </w:rPr>
              <w:t>部分原辅料泄露，会使水中pH值等严重超标，影响水体的水质和人们的正常生产、生活，并对水生物的生长繁殖造成影响。虽然这些事故发生概率很低，但万一发生，将对环境造成严重影响。</w:t>
            </w:r>
          </w:p>
          <w:p w14:paraId="1E737ECF">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火灾：项目使用的</w:t>
            </w:r>
            <w:r>
              <w:rPr>
                <w:rFonts w:hint="default" w:ascii="Times New Roman" w:hAnsi="Times New Roman" w:eastAsia="宋体" w:cs="Times New Roman"/>
                <w:bCs/>
                <w:smallCaps w:val="0"/>
                <w:color w:val="auto"/>
                <w:spacing w:val="0"/>
                <w:sz w:val="24"/>
                <w:szCs w:val="24"/>
              </w:rPr>
              <w:t>液压油、UV油</w:t>
            </w:r>
            <w:r>
              <w:rPr>
                <w:rFonts w:hint="default" w:ascii="Times New Roman" w:hAnsi="Times New Roman" w:eastAsia="宋体" w:cs="Times New Roman"/>
                <w:bCs/>
                <w:smallCaps w:val="0"/>
                <w:color w:val="auto"/>
                <w:spacing w:val="0"/>
                <w:kern w:val="0"/>
                <w:position w:val="0"/>
                <w:sz w:val="24"/>
                <w:szCs w:val="24"/>
              </w:rPr>
              <w:t>等为可燃物质，可能发生包装物破裂，操作中过程中也可能发生泄露，导致地面扩散，遇明火可能发生火灾，导致的次生环境污染事故。</w:t>
            </w:r>
          </w:p>
          <w:p w14:paraId="39CEC035">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440" w:lineRule="exact"/>
              <w:ind w:right="0" w:rightChars="0" w:firstLine="482" w:firstLineChars="200"/>
              <w:jc w:val="left"/>
              <w:textAlignment w:val="auto"/>
              <w:rPr>
                <w:rFonts w:hint="default" w:ascii="Times New Roman" w:hAnsi="Times New Roman" w:eastAsia="宋体" w:cs="Times New Roman"/>
                <w:b/>
                <w:bCs/>
                <w:smallCaps w:val="0"/>
                <w:color w:val="auto"/>
                <w:spacing w:val="0"/>
                <w:kern w:val="0"/>
                <w:position w:val="0"/>
                <w:sz w:val="24"/>
                <w:szCs w:val="24"/>
                <w:lang w:val="en-US" w:eastAsia="zh-CN"/>
              </w:rPr>
            </w:pPr>
            <w:r>
              <w:rPr>
                <w:rFonts w:hint="default" w:ascii="Times New Roman" w:hAnsi="Times New Roman" w:eastAsia="宋体" w:cs="Times New Roman"/>
                <w:b/>
                <w:bCs/>
                <w:smallCaps w:val="0"/>
                <w:color w:val="auto"/>
                <w:spacing w:val="0"/>
                <w:kern w:val="0"/>
                <w:position w:val="0"/>
                <w:sz w:val="24"/>
                <w:szCs w:val="24"/>
                <w:lang w:eastAsia="zh-CN"/>
              </w:rPr>
              <w:t>（</w:t>
            </w:r>
            <w:r>
              <w:rPr>
                <w:rFonts w:hint="default" w:ascii="Times New Roman" w:hAnsi="Times New Roman" w:eastAsia="宋体" w:cs="Times New Roman"/>
                <w:b/>
                <w:bCs/>
                <w:smallCaps w:val="0"/>
                <w:color w:val="auto"/>
                <w:spacing w:val="0"/>
                <w:kern w:val="0"/>
                <w:position w:val="0"/>
                <w:sz w:val="24"/>
                <w:szCs w:val="24"/>
                <w:lang w:val="en-US" w:eastAsia="zh-CN"/>
              </w:rPr>
              <w:t>3</w:t>
            </w:r>
            <w:r>
              <w:rPr>
                <w:rFonts w:hint="default" w:ascii="Times New Roman" w:hAnsi="Times New Roman" w:eastAsia="宋体" w:cs="Times New Roman"/>
                <w:b/>
                <w:bCs/>
                <w:smallCaps w:val="0"/>
                <w:color w:val="auto"/>
                <w:spacing w:val="0"/>
                <w:kern w:val="0"/>
                <w:position w:val="0"/>
                <w:sz w:val="24"/>
                <w:szCs w:val="24"/>
                <w:lang w:eastAsia="zh-CN"/>
              </w:rPr>
              <w:t>）</w:t>
            </w:r>
            <w:r>
              <w:rPr>
                <w:rFonts w:hint="default" w:ascii="Times New Roman" w:hAnsi="Times New Roman" w:eastAsia="宋体" w:cs="Times New Roman"/>
                <w:b/>
                <w:bCs/>
                <w:smallCaps w:val="0"/>
                <w:color w:val="auto"/>
                <w:spacing w:val="0"/>
                <w:kern w:val="0"/>
                <w:position w:val="0"/>
                <w:sz w:val="24"/>
                <w:szCs w:val="24"/>
                <w:lang w:val="en-US" w:eastAsia="zh-CN"/>
              </w:rPr>
              <w:t>本项目环境和安全设计防范措施</w:t>
            </w:r>
          </w:p>
          <w:p w14:paraId="17D66832">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smallCaps w:val="0"/>
                <w:color w:val="auto"/>
                <w:spacing w:val="0"/>
                <w:kern w:val="0"/>
                <w:position w:val="0"/>
                <w:sz w:val="24"/>
                <w:szCs w:val="24"/>
                <w:lang w:eastAsia="zh-CN"/>
              </w:rPr>
            </w:pPr>
            <w:r>
              <w:rPr>
                <w:rFonts w:hint="default" w:ascii="Times New Roman" w:hAnsi="Times New Roman" w:eastAsia="宋体" w:cs="Times New Roman"/>
                <w:bCs/>
                <w:smallCaps w:val="0"/>
                <w:color w:val="auto"/>
                <w:spacing w:val="0"/>
                <w:kern w:val="0"/>
                <w:position w:val="0"/>
                <w:sz w:val="24"/>
                <w:szCs w:val="24"/>
              </w:rPr>
              <w:t>①</w:t>
            </w:r>
            <w:r>
              <w:rPr>
                <w:rFonts w:hint="default" w:ascii="Times New Roman" w:hAnsi="Times New Roman" w:eastAsia="宋体" w:cs="Times New Roman"/>
                <w:smallCaps w:val="0"/>
                <w:color w:val="auto"/>
                <w:spacing w:val="0"/>
                <w:kern w:val="0"/>
                <w:position w:val="0"/>
                <w:sz w:val="24"/>
                <w:szCs w:val="24"/>
                <w:lang w:eastAsia="zh-CN"/>
              </w:rPr>
              <w:t>委托专业安全技术单位对本项目涉及的环保设施等开展环保设施安全评价。</w:t>
            </w:r>
          </w:p>
          <w:p w14:paraId="3E5A8776">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smallCaps w:val="0"/>
                <w:color w:val="auto"/>
                <w:spacing w:val="0"/>
                <w:kern w:val="0"/>
                <w:position w:val="0"/>
                <w:sz w:val="24"/>
                <w:szCs w:val="24"/>
                <w:lang w:val="en-US" w:eastAsia="zh-CN"/>
              </w:rPr>
            </w:pPr>
            <w:r>
              <w:rPr>
                <w:rFonts w:hint="default" w:ascii="Times New Roman" w:hAnsi="Times New Roman" w:eastAsia="宋体" w:cs="Times New Roman"/>
                <w:bCs/>
                <w:smallCaps w:val="0"/>
                <w:color w:val="auto"/>
                <w:spacing w:val="0"/>
                <w:kern w:val="0"/>
                <w:position w:val="0"/>
                <w:sz w:val="24"/>
                <w:szCs w:val="24"/>
              </w:rPr>
              <w:t>②</w:t>
            </w:r>
            <w:r>
              <w:rPr>
                <w:rFonts w:hint="default" w:ascii="Times New Roman" w:hAnsi="Times New Roman" w:eastAsia="宋体" w:cs="Times New Roman"/>
                <w:smallCaps w:val="0"/>
                <w:color w:val="auto"/>
                <w:spacing w:val="0"/>
                <w:kern w:val="0"/>
                <w:position w:val="0"/>
                <w:sz w:val="24"/>
                <w:szCs w:val="24"/>
                <w:lang w:eastAsia="zh-CN"/>
              </w:rPr>
              <w:t>按《建筑设计防火规范》（GB50016-2014）（2018版）规范设置消防系统，配置相应的灭火装置和设施。</w:t>
            </w:r>
          </w:p>
          <w:p w14:paraId="046D001F">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2" w:firstLineChars="200"/>
              <w:textAlignment w:val="auto"/>
              <w:rPr>
                <w:rFonts w:hint="default" w:ascii="Times New Roman" w:hAnsi="Times New Roman" w:eastAsia="宋体" w:cs="Times New Roman"/>
                <w:b/>
                <w:bCs/>
                <w:smallCaps w:val="0"/>
                <w:color w:val="auto"/>
                <w:spacing w:val="0"/>
                <w:kern w:val="0"/>
                <w:position w:val="0"/>
                <w:sz w:val="24"/>
                <w:szCs w:val="24"/>
              </w:rPr>
            </w:pPr>
            <w:r>
              <w:rPr>
                <w:rFonts w:hint="default" w:ascii="Times New Roman" w:hAnsi="Times New Roman" w:eastAsia="宋体" w:cs="Times New Roman"/>
                <w:b/>
                <w:bCs/>
                <w:smallCaps w:val="0"/>
                <w:color w:val="auto"/>
                <w:spacing w:val="0"/>
                <w:kern w:val="0"/>
                <w:position w:val="0"/>
                <w:sz w:val="24"/>
                <w:szCs w:val="24"/>
                <w:lang w:eastAsia="zh-CN"/>
              </w:rPr>
              <w:t>（</w:t>
            </w:r>
            <w:r>
              <w:rPr>
                <w:rFonts w:hint="default" w:ascii="Times New Roman" w:hAnsi="Times New Roman" w:eastAsia="宋体" w:cs="Times New Roman"/>
                <w:b/>
                <w:bCs/>
                <w:smallCaps w:val="0"/>
                <w:color w:val="auto"/>
                <w:spacing w:val="0"/>
                <w:kern w:val="0"/>
                <w:position w:val="0"/>
                <w:sz w:val="24"/>
                <w:szCs w:val="24"/>
                <w:lang w:val="en-US" w:eastAsia="zh-CN"/>
              </w:rPr>
              <w:t>4</w:t>
            </w:r>
            <w:r>
              <w:rPr>
                <w:rFonts w:hint="default" w:ascii="Times New Roman" w:hAnsi="Times New Roman" w:eastAsia="宋体" w:cs="Times New Roman"/>
                <w:b/>
                <w:bCs/>
                <w:smallCaps w:val="0"/>
                <w:color w:val="auto"/>
                <w:spacing w:val="0"/>
                <w:kern w:val="0"/>
                <w:position w:val="0"/>
                <w:sz w:val="24"/>
                <w:szCs w:val="24"/>
                <w:lang w:eastAsia="zh-CN"/>
              </w:rPr>
              <w:t>）</w:t>
            </w:r>
            <w:r>
              <w:rPr>
                <w:rFonts w:hint="default" w:ascii="Times New Roman" w:hAnsi="Times New Roman" w:eastAsia="宋体" w:cs="Times New Roman"/>
                <w:b/>
                <w:bCs/>
                <w:smallCaps w:val="0"/>
                <w:color w:val="auto"/>
                <w:spacing w:val="0"/>
                <w:kern w:val="0"/>
                <w:position w:val="0"/>
                <w:sz w:val="24"/>
                <w:szCs w:val="24"/>
              </w:rPr>
              <w:t>风险防范措施</w:t>
            </w:r>
          </w:p>
          <w:p w14:paraId="56310794">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①风险源监控</w:t>
            </w:r>
          </w:p>
          <w:p w14:paraId="2430467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公司对重点风险源进行辨识，制订管理方案，组织制定有针对性的控制措施，认真做好措施落实工作，建立日常监视和监测制度并予以实施，使风险源始终处于受控状态。公司相关风险源监控措施如下：</w:t>
            </w:r>
          </w:p>
          <w:p w14:paraId="7664149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公司配备灭火器，消防栓等消防设备。对于生产车间</w:t>
            </w:r>
            <w:r>
              <w:rPr>
                <w:rFonts w:hint="eastAsia" w:cs="Times New Roman"/>
                <w:bCs/>
                <w:smallCaps w:val="0"/>
                <w:color w:val="auto"/>
                <w:spacing w:val="0"/>
                <w:kern w:val="0"/>
                <w:position w:val="0"/>
                <w:sz w:val="24"/>
                <w:szCs w:val="24"/>
                <w:lang w:val="en-US" w:eastAsia="zh-CN"/>
              </w:rPr>
              <w:t>二</w:t>
            </w:r>
            <w:r>
              <w:rPr>
                <w:rFonts w:hint="default" w:ascii="Times New Roman" w:hAnsi="Times New Roman" w:eastAsia="宋体" w:cs="Times New Roman"/>
                <w:bCs/>
                <w:smallCaps w:val="0"/>
                <w:color w:val="auto"/>
                <w:spacing w:val="0"/>
                <w:kern w:val="0"/>
                <w:position w:val="0"/>
                <w:sz w:val="24"/>
                <w:szCs w:val="24"/>
                <w:lang w:eastAsia="zh-CN"/>
              </w:rPr>
              <w:t>、</w:t>
            </w:r>
            <w:r>
              <w:rPr>
                <w:rFonts w:hint="default" w:ascii="Times New Roman" w:hAnsi="Times New Roman" w:eastAsia="宋体" w:cs="Times New Roman"/>
                <w:bCs/>
                <w:smallCaps w:val="0"/>
                <w:color w:val="auto"/>
                <w:spacing w:val="0"/>
                <w:kern w:val="0"/>
                <w:position w:val="0"/>
                <w:sz w:val="24"/>
                <w:szCs w:val="24"/>
                <w:lang w:val="en-US" w:eastAsia="zh-CN"/>
              </w:rPr>
              <w:t>危废仓库</w:t>
            </w:r>
            <w:r>
              <w:rPr>
                <w:rFonts w:hint="default" w:ascii="Times New Roman" w:hAnsi="Times New Roman" w:eastAsia="宋体" w:cs="Times New Roman"/>
                <w:bCs/>
                <w:smallCaps w:val="0"/>
                <w:color w:val="auto"/>
                <w:spacing w:val="0"/>
                <w:kern w:val="0"/>
                <w:position w:val="0"/>
                <w:sz w:val="24"/>
                <w:szCs w:val="24"/>
              </w:rPr>
              <w:t>的监控由各责任单位进行日常的检查，强化制度执行，利用各种形式、各种途径开展员工安全教育培训，提高员工作业风险意识。</w:t>
            </w:r>
          </w:p>
          <w:p w14:paraId="357E3F01">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②选址、总图布置和建筑安全防范措施</w:t>
            </w:r>
          </w:p>
          <w:p w14:paraId="40E7458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企业四周为其它企业和道路，且项目生产设施区离厂界及厂界外的交通干道均有一定的距离，可以起到一定的安全防护和防火作用。厂区总平面布置基本符合防范事故的要求，并有应急救援设施及救援通道。</w:t>
            </w:r>
          </w:p>
          <w:p w14:paraId="6F8378AB">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③物料泄漏事故的防范措施</w:t>
            </w:r>
          </w:p>
          <w:p w14:paraId="2562B39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w:t>
            </w:r>
          </w:p>
          <w:p w14:paraId="3D45BA7A">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本项目主要采取以下物料泄漏事故的预防：</w:t>
            </w:r>
          </w:p>
          <w:p w14:paraId="254D4198">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原料仓库、</w:t>
            </w:r>
            <w:r>
              <w:rPr>
                <w:rFonts w:hint="default" w:ascii="Times New Roman" w:hAnsi="Times New Roman" w:eastAsia="宋体" w:cs="Times New Roman"/>
                <w:bCs/>
                <w:smallCaps w:val="0"/>
                <w:color w:val="auto"/>
                <w:spacing w:val="0"/>
                <w:kern w:val="0"/>
                <w:position w:val="0"/>
                <w:sz w:val="24"/>
                <w:szCs w:val="24"/>
                <w:lang w:val="en-US" w:eastAsia="zh-CN"/>
              </w:rPr>
              <w:t>危废仓库</w:t>
            </w:r>
            <w:r>
              <w:rPr>
                <w:rFonts w:hint="default" w:ascii="Times New Roman" w:hAnsi="Times New Roman" w:eastAsia="宋体" w:cs="Times New Roman"/>
                <w:bCs/>
                <w:smallCaps w:val="0"/>
                <w:color w:val="auto"/>
                <w:spacing w:val="0"/>
                <w:kern w:val="0"/>
                <w:position w:val="0"/>
                <w:sz w:val="24"/>
                <w:szCs w:val="24"/>
              </w:rPr>
              <w:t>采用防渗地面，避免物料泄漏污染土壤和地下水。</w:t>
            </w:r>
          </w:p>
          <w:p w14:paraId="2CBC58B3">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固废堆场做好“三防”措施。固体废物清运过程中，应严格按生产工艺操作，严禁跑、冒、滴、漏，一旦发生泄漏，及时清理，妥善包装后送至指定的固废存放点。</w:t>
            </w:r>
          </w:p>
          <w:p w14:paraId="5DB1CD1F">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另外，建设方应做好以下管理工作：严格执行安全和消防规范。厂区内设置环形道路，以利于消防和疏散。采用露天或敞开框架布置以利通风，避免死角造成有害物质的聚集。所有排液均集中收集，并进行妥善处理，防止随意流散。应经常对各类阀门进行检查和维修，以保证其严密性和灵活性，对压力计、温度计及各种调节器进行定期检查，操作人员进行系统教育，严格按操作规程进行操作，严禁违章作业。加强个人防护，作业岗位应配有防毒面具、防护眼镜及必要的耐酸服、手套和靴子，并定期检查维修，保证使用效果。</w:t>
            </w:r>
          </w:p>
          <w:p w14:paraId="5D51D2F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④火灾和爆炸事故的防范措施</w:t>
            </w:r>
          </w:p>
          <w:p w14:paraId="3BD280A0">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kern w:val="0"/>
                <w:position w:val="0"/>
                <w:sz w:val="24"/>
                <w:szCs w:val="24"/>
              </w:rPr>
            </w:pPr>
            <w:r>
              <w:rPr>
                <w:rFonts w:hint="default" w:ascii="Times New Roman" w:hAnsi="Times New Roman" w:eastAsia="宋体" w:cs="Times New Roman"/>
                <w:bCs/>
                <w:smallCaps w:val="0"/>
                <w:color w:val="auto"/>
                <w:spacing w:val="0"/>
                <w:kern w:val="0"/>
                <w:position w:val="0"/>
                <w:sz w:val="24"/>
                <w:szCs w:val="24"/>
              </w:rPr>
              <w:t>火灾和爆炸事故的防范措施主要是提高企业运行管理水平和装置性能，以及采取有效的防火防爆措施。本项目采取措施如下：设备的安全管理</w:t>
            </w:r>
            <w:r>
              <w:rPr>
                <w:rFonts w:hint="default" w:ascii="Times New Roman" w:hAnsi="Times New Roman" w:eastAsia="宋体" w:cs="Times New Roman"/>
                <w:bCs/>
                <w:smallCaps w:val="0"/>
                <w:color w:val="auto"/>
                <w:spacing w:val="0"/>
                <w:kern w:val="0"/>
                <w:position w:val="0"/>
                <w:sz w:val="24"/>
                <w:szCs w:val="24"/>
                <w:lang w:eastAsia="zh-CN"/>
              </w:rPr>
              <w:t>：</w:t>
            </w:r>
            <w:r>
              <w:rPr>
                <w:rFonts w:hint="default" w:ascii="Times New Roman" w:hAnsi="Times New Roman" w:eastAsia="宋体" w:cs="Times New Roman"/>
                <w:bCs/>
                <w:smallCaps w:val="0"/>
                <w:color w:val="auto"/>
                <w:spacing w:val="0"/>
                <w:kern w:val="0"/>
                <w:position w:val="0"/>
                <w:sz w:val="24"/>
                <w:szCs w:val="24"/>
              </w:rPr>
              <w:t>定期对设备进行安全检测，检测内容、时间、人员应有记录保存。安全检测应根据设备的安全性、危险性设定检测频次。应加强火源的管理，严禁烟火带入，对设备需进行维修焊接，应经安全部门确认、准许，并有记录。要有完善的安全消防措施。从平面布置上，本厂生产装置区等各功能区之间应按国家消防安全规定，设置足够的安全距离和道路，以便安全疏散和消防。各重点部位设备应设置水消防系统和灭火器等。</w:t>
            </w:r>
          </w:p>
          <w:p w14:paraId="18793706">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Cs/>
                <w:smallCaps w:val="0"/>
                <w:color w:val="auto"/>
                <w:spacing w:val="0"/>
                <w:sz w:val="24"/>
                <w:szCs w:val="24"/>
                <w:lang w:val="en-US" w:eastAsia="zh-CN"/>
              </w:rPr>
            </w:pPr>
            <w:r>
              <w:rPr>
                <w:rFonts w:hint="default" w:ascii="Times New Roman" w:hAnsi="Times New Roman" w:eastAsia="宋体" w:cs="Times New Roman"/>
                <w:bCs/>
                <w:smallCaps w:val="0"/>
                <w:color w:val="auto"/>
                <w:spacing w:val="0"/>
                <w:sz w:val="24"/>
                <w:szCs w:val="24"/>
              </w:rPr>
              <w:t>⑤</w:t>
            </w:r>
            <w:r>
              <w:rPr>
                <w:rFonts w:hint="default" w:ascii="Times New Roman" w:hAnsi="Times New Roman" w:eastAsia="宋体" w:cs="Times New Roman"/>
                <w:bCs/>
                <w:smallCaps w:val="0"/>
                <w:color w:val="auto"/>
                <w:spacing w:val="0"/>
                <w:sz w:val="24"/>
                <w:szCs w:val="24"/>
                <w:lang w:val="en-US" w:eastAsia="zh-CN"/>
              </w:rPr>
              <w:t>事故应急池</w:t>
            </w:r>
          </w:p>
          <w:p w14:paraId="38F918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在厂区设置事故收集池，并设计相应的切换装置。正常生产运行时，打开雨水管道阀门，收集的雨水直接排入市政雨水管网。事故状态下和下雨初期，打开切换装置，收集的初期雨水和事故消防水排入厂内事故池，切断污染物与外部的通道，将污染物控制在厂区内，防止事故泄漏物料和污染消防水造成的环境污染。</w:t>
            </w:r>
          </w:p>
          <w:p w14:paraId="7FCC9B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参照《建设项目环境风险评价技术导则》（HJ169-2018）、《化工建设项目环境保护设计规范》（GB50483-2019）和《石化企业水体环境风险防控技术要求》（Q/SH0729-2018），事故应急池总有效容积计算公式如下：</w:t>
            </w:r>
          </w:p>
          <w:p w14:paraId="7FD22E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事故池容量V总=(V1+V2-V3)</w:t>
            </w:r>
            <w:r>
              <w:rPr>
                <w:rFonts w:hint="default" w:ascii="Times New Roman" w:hAnsi="Times New Roman" w:eastAsia="宋体" w:cs="Times New Roman"/>
                <w:color w:val="auto"/>
                <w:sz w:val="24"/>
                <w:szCs w:val="24"/>
                <w:vertAlign w:val="subscript"/>
                <w:lang w:val="en-US" w:eastAsia="zh-CN"/>
              </w:rPr>
              <w:t>max</w:t>
            </w:r>
            <w:r>
              <w:rPr>
                <w:rFonts w:hint="default" w:ascii="Times New Roman" w:hAnsi="Times New Roman" w:eastAsia="宋体" w:cs="Times New Roman"/>
                <w:color w:val="auto"/>
                <w:sz w:val="24"/>
                <w:szCs w:val="24"/>
                <w:lang w:val="en-US" w:eastAsia="zh-CN"/>
              </w:rPr>
              <w:t>+V4+V5</w:t>
            </w:r>
          </w:p>
          <w:p w14:paraId="17AFA8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V1—收集系统范围内发生事故的物料量；</w:t>
            </w:r>
          </w:p>
          <w:p w14:paraId="6FA7B3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V2—发生事故的储罐、装置或铁路、汽车装卸区的消防水量；</w:t>
            </w:r>
          </w:p>
          <w:p w14:paraId="01049C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V3—发生事故时可以转输到其他储存或处理设施的物料量；</w:t>
            </w:r>
          </w:p>
          <w:p w14:paraId="6353CB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V4—发生事故时仍必须进入该收集系统的生产废水量；</w:t>
            </w:r>
          </w:p>
          <w:p w14:paraId="26782D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V5—发生事故时可能进入该收集系统的降雨量；</w:t>
            </w:r>
          </w:p>
          <w:p w14:paraId="5CAAF9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事故应急池具体容积大小计算如下：</w:t>
            </w:r>
          </w:p>
          <w:p w14:paraId="41114B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①V1：V1=0m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54E540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②V2=ΣQ</w:t>
            </w:r>
            <w:r>
              <w:rPr>
                <w:rFonts w:hint="default" w:ascii="Times New Roman" w:hAnsi="Times New Roman" w:eastAsia="宋体" w:cs="Times New Roman"/>
                <w:color w:val="auto"/>
                <w:sz w:val="24"/>
                <w:szCs w:val="24"/>
                <w:vertAlign w:val="subscript"/>
                <w:lang w:val="en-US" w:eastAsia="zh-CN"/>
              </w:rPr>
              <w:t>消</w:t>
            </w: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lang w:val="en-US" w:eastAsia="zh-CN"/>
              </w:rPr>
              <w:t>消</w:t>
            </w:r>
            <w:r>
              <w:rPr>
                <w:rFonts w:hint="default" w:ascii="Times New Roman" w:hAnsi="Times New Roman" w:eastAsia="宋体" w:cs="Times New Roman"/>
                <w:color w:val="auto"/>
                <w:sz w:val="24"/>
                <w:szCs w:val="24"/>
                <w:lang w:val="en-US" w:eastAsia="zh-CN"/>
              </w:rPr>
              <w:t>：Q消—发生事故的储罐、装置或铁路、汽车装卸区同时使用的消防设施给水流量，m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6BAD2D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t消—消防设施对应的设计消防历时，h。</w:t>
            </w:r>
          </w:p>
          <w:p w14:paraId="411D38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厂内消防泵设计有效流量10L/s，假设火灾持续时间为</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h，则室外发生一次火灾时消防用水量为：10×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×3600/1000=</w:t>
            </w:r>
            <w:r>
              <w:rPr>
                <w:rFonts w:hint="eastAsia" w:cs="Times New Roman"/>
                <w:color w:val="auto"/>
                <w:sz w:val="24"/>
                <w:szCs w:val="24"/>
                <w:lang w:val="en-US" w:eastAsia="zh-CN"/>
              </w:rPr>
              <w:t>36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，V2=</w:t>
            </w:r>
            <w:r>
              <w:rPr>
                <w:rFonts w:hint="eastAsia" w:cs="Times New Roman"/>
                <w:color w:val="auto"/>
                <w:sz w:val="24"/>
                <w:szCs w:val="24"/>
                <w:lang w:val="en-US" w:eastAsia="zh-CN"/>
              </w:rPr>
              <w:t>36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71C59F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③V3：为事故废水收集系统的装置或储罐所在区域围堰、防火堤内净空容量(m3)，为事故废水收集系统的装置或储罐所在区域围堰、防火堤内净空容量(m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)，企业发生事故时，消防废水部分进入雨水管道，雨水排口的阀门处于关闭状态，雨水(事故)应急池阀门处于开启状态，将事故性废水收集至事故应急池，企业雨水管道容积约为V=3.14×0.15×0.15×200=14.13m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。(雨水管网直径0.3m，总长度约100m)，考虑充满度等问题（85%），故V3=12m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5D8863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④V4：发生事故时进入收集系统的生产废水量为0m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，V4=0m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2C3DB0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⑤V5：常州平均降雨量1074mm；多年降平均雨天数126天，平均降雨量q＝8.52mm，事故状态下污染区汇水面积约50平方米，计算V5＝4.52m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51C2C8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V5=10qf：q—降雨强度，mm；</w:t>
            </w:r>
          </w:p>
          <w:p w14:paraId="0E5D0C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f—必须进入事故废水收集系统的雨水汇水面积，ha。</w:t>
            </w:r>
          </w:p>
          <w:p w14:paraId="6237E1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⑥V总=(V1+V2-V3)+V4+V5=（0+</w:t>
            </w:r>
            <w:r>
              <w:rPr>
                <w:rFonts w:hint="eastAsia" w:cs="Times New Roman"/>
                <w:color w:val="auto"/>
                <w:sz w:val="24"/>
                <w:szCs w:val="24"/>
                <w:lang w:val="en-US" w:eastAsia="zh-CN"/>
              </w:rPr>
              <w:t>36</w:t>
            </w:r>
            <w:r>
              <w:rPr>
                <w:rFonts w:hint="default" w:ascii="Times New Roman" w:hAnsi="Times New Roman" w:eastAsia="宋体" w:cs="Times New Roman"/>
                <w:color w:val="auto"/>
                <w:sz w:val="24"/>
                <w:szCs w:val="24"/>
                <w:lang w:val="en-US" w:eastAsia="zh-CN"/>
              </w:rPr>
              <w:t>-12）+0+4.52=</w:t>
            </w:r>
            <w:r>
              <w:rPr>
                <w:rFonts w:hint="eastAsia" w:cs="Times New Roman"/>
                <w:color w:val="auto"/>
                <w:sz w:val="24"/>
                <w:szCs w:val="24"/>
                <w:lang w:val="en-US" w:eastAsia="zh-CN"/>
              </w:rPr>
              <w:t>28.52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p>
          <w:p w14:paraId="4FB5F688">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综上所述，本项目事故废水池容积应不小于28.52m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。目前厂区已设有事故应急池，总体容量为30m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。根据计算结果，企业已按要求</w:t>
            </w:r>
            <w:r>
              <w:rPr>
                <w:rFonts w:hint="default" w:ascii="Times New Roman" w:hAnsi="Times New Roman" w:eastAsia="宋体" w:cs="Times New Roman"/>
                <w:color w:val="auto"/>
                <w:sz w:val="24"/>
                <w:szCs w:val="24"/>
              </w:rPr>
              <w:t>事故发生时，通过及时关闭雨水截流阀，打开应急事故池阀门，将事故废水导入事故应急池暂存，可有效将事故废水全部截流</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rPr>
              <w:t>厂区内，防止事故废水进入厂外雨水管网，操作及暂存能力上均具有可行性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故依托可行。</w:t>
            </w:r>
          </w:p>
          <w:p w14:paraId="161907BF">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另外，企业内部储备了部分应急物资（如灭火器、消防栓等），可及时应对发生的泄漏事故。若未及时收集，泄漏物通过雨水管网流到附近水体，可立即关闭雨水排放口阀门，并通知金坛经济开发区生态环境及应急管理部门采取应急措施，阻隔并收集泄漏废液</w:t>
            </w:r>
            <w:r>
              <w:rPr>
                <w:rFonts w:hint="default" w:ascii="Times New Roman" w:hAnsi="Times New Roman" w:eastAsia="宋体" w:cs="Times New Roman"/>
                <w:color w:val="auto"/>
                <w:sz w:val="24"/>
                <w:szCs w:val="24"/>
                <w:lang w:eastAsia="zh-CN"/>
              </w:rPr>
              <w:t>。</w:t>
            </w:r>
          </w:p>
          <w:p w14:paraId="149F5CB3">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2" w:firstLineChars="200"/>
              <w:textAlignment w:val="auto"/>
              <w:rPr>
                <w:rFonts w:hint="default" w:ascii="Times New Roman" w:hAnsi="Times New Roman" w:eastAsia="宋体" w:cs="Times New Roman"/>
                <w:b/>
                <w:bCs/>
                <w:smallCaps w:val="0"/>
                <w:color w:val="auto"/>
                <w:spacing w:val="0"/>
                <w:sz w:val="24"/>
                <w:szCs w:val="24"/>
              </w:rPr>
            </w:pPr>
            <w:r>
              <w:rPr>
                <w:rFonts w:hint="default" w:ascii="Times New Roman" w:hAnsi="Times New Roman" w:eastAsia="宋体" w:cs="Times New Roman"/>
                <w:b/>
                <w:bCs/>
                <w:smallCaps w:val="0"/>
                <w:color w:val="auto"/>
                <w:spacing w:val="0"/>
                <w:sz w:val="24"/>
                <w:szCs w:val="24"/>
                <w:lang w:eastAsia="zh-CN"/>
              </w:rPr>
              <w:t>（</w:t>
            </w:r>
            <w:r>
              <w:rPr>
                <w:rFonts w:hint="default" w:ascii="Times New Roman" w:hAnsi="Times New Roman" w:eastAsia="宋体" w:cs="Times New Roman"/>
                <w:b/>
                <w:bCs/>
                <w:smallCaps w:val="0"/>
                <w:color w:val="auto"/>
                <w:spacing w:val="0"/>
                <w:sz w:val="24"/>
                <w:szCs w:val="24"/>
                <w:lang w:val="en-US" w:eastAsia="zh-CN"/>
              </w:rPr>
              <w:t>5</w:t>
            </w:r>
            <w:r>
              <w:rPr>
                <w:rFonts w:hint="default" w:ascii="Times New Roman" w:hAnsi="Times New Roman" w:eastAsia="宋体" w:cs="Times New Roman"/>
                <w:b/>
                <w:bCs/>
                <w:smallCaps w:val="0"/>
                <w:color w:val="auto"/>
                <w:spacing w:val="0"/>
                <w:sz w:val="24"/>
                <w:szCs w:val="24"/>
                <w:lang w:eastAsia="zh-CN"/>
              </w:rPr>
              <w:t>）</w:t>
            </w:r>
            <w:r>
              <w:rPr>
                <w:rFonts w:hint="default" w:ascii="Times New Roman" w:hAnsi="Times New Roman" w:eastAsia="宋体" w:cs="Times New Roman"/>
                <w:b/>
                <w:bCs/>
                <w:smallCaps w:val="0"/>
                <w:color w:val="auto"/>
                <w:spacing w:val="0"/>
                <w:sz w:val="24"/>
                <w:szCs w:val="24"/>
                <w:lang w:val="en-US" w:eastAsia="zh-CN"/>
              </w:rPr>
              <w:t>与</w:t>
            </w:r>
            <w:r>
              <w:rPr>
                <w:rFonts w:hint="default" w:ascii="Times New Roman" w:hAnsi="Times New Roman" w:eastAsia="宋体" w:cs="Times New Roman"/>
                <w:b/>
                <w:bCs/>
                <w:smallCaps w:val="0"/>
                <w:color w:val="auto"/>
                <w:spacing w:val="0"/>
                <w:sz w:val="24"/>
                <w:szCs w:val="24"/>
                <w:lang w:eastAsia="zh-CN"/>
              </w:rPr>
              <w:t>金坛经济开发区突发环境事件应急体系的衔接</w:t>
            </w:r>
          </w:p>
          <w:p w14:paraId="46ECF868">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位于江苏省常州市金坛经济开发区汇福路8号，金坛经济开发区尚未建立乡镇级突发环境事件应急救援中心，金坛经济开发区在金坛区应急指挥部统一领导下负责区域内突发环境污染事件应急管理及处置工作。根据常州市金坛区人民政府办公室关于印发《常州市金坛区突发环境事件应急预案的》通知（坛政办发[2020]106号），突发环境事件发生后，无论级别高低、规模大小、损失轻重，金坛区突发环境事件应急指挥部快速组织有关人员赶赴现场协调指导事发地镇人民政府（街道办事处、园区管委会）现场警戒、疏散群众、控制污染、救护抢险等前期处置工作，并收集现场信息，尽快判明事件性质和危害程度，及时采取相应的处置措施，全力控制事态发展，减少财产损失和社会影响。</w:t>
            </w:r>
          </w:p>
          <w:p w14:paraId="162C7806">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①现场应急工作组到达现场后，迅速调集环境应急所需人员和物资、设备等，组织实施污染控制措施，切断污染源，防止污染物扩散，将突发环境事件对环境的影响降低到最小程度。</w:t>
            </w:r>
          </w:p>
          <w:p w14:paraId="45DD1AD5">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现场应急工作组根据职责迅速开展现场调查、监测等工作，查明事件原因，研判、预测污染强度、速度和影响范围，根据污染事件的类型、状况、性质、污染程度和影响范围等实际情况，向环境应急现场指挥部进行报告，提出污染控制、处置建议，由环境应急现场指挥部决定应急处置的程序和方法。</w:t>
            </w:r>
          </w:p>
          <w:p w14:paraId="1A2D946C">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③必要时，应急处置现场指挥部还应组织有关专家、现场各应急工作组相关人员进行研判会商，提出关于污染控制、处置的意见建议。</w:t>
            </w:r>
          </w:p>
          <w:p w14:paraId="12BE35CF">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④应急处置现场指挥部根据现场调查情况，查阅有关资料，充分听取专家组的意见，确定污染处置方案。各现场应急工作组根据应急处置现场指挥部的指示组织现场的救援和处置工作；</w:t>
            </w:r>
          </w:p>
          <w:p w14:paraId="5510F52D">
            <w:pPr>
              <w:pStyle w:val="7"/>
              <w:keepNext w:val="0"/>
              <w:keepLines w:val="0"/>
              <w:pageBreakBefore w:val="0"/>
              <w:numPr>
                <w:ilvl w:val="0"/>
                <w:numId w:val="0"/>
              </w:numPr>
              <w:kinsoku/>
              <w:wordWrap/>
              <w:overflowPunct/>
              <w:topLinePunct w:val="0"/>
              <w:autoSpaceDE/>
              <w:autoSpaceDN/>
              <w:bidi w:val="0"/>
              <w:adjustRightInd w:val="0"/>
              <w:snapToGrid w:val="0"/>
              <w:spacing w:before="0" w:after="0" w:line="440" w:lineRule="exact"/>
              <w:ind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⑤应急处置现场指挥部根据污染事件动态及时调整下一步的对策，直至污染得到控制，污染消除。</w:t>
            </w:r>
          </w:p>
          <w:p w14:paraId="49C284C2">
            <w:pPr>
              <w:pStyle w:val="43"/>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smallCaps w:val="0"/>
                <w:color w:val="auto"/>
                <w:spacing w:val="0"/>
                <w:kern w:val="0"/>
                <w:position w:val="0"/>
                <w:sz w:val="21"/>
                <w:szCs w:val="22"/>
                <w:lang w:val="en-US" w:eastAsia="zh-CN" w:bidi="ar-SA"/>
              </w:rPr>
            </w:pPr>
            <w:r>
              <w:rPr>
                <w:rFonts w:hint="default" w:ascii="Times New Roman" w:hAnsi="Times New Roman" w:eastAsia="宋体" w:cs="Times New Roman"/>
                <w:b/>
                <w:smallCaps w:val="0"/>
                <w:color w:val="auto"/>
                <w:spacing w:val="0"/>
                <w:kern w:val="0"/>
                <w:position w:val="0"/>
                <w:sz w:val="21"/>
                <w:szCs w:val="22"/>
                <w:lang w:val="en-US" w:eastAsia="zh-CN" w:bidi="ar-SA"/>
              </w:rPr>
              <w:t>表4-24建设项目环境风险简单分析内容表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53"/>
              <w:gridCol w:w="1412"/>
              <w:gridCol w:w="1558"/>
              <w:gridCol w:w="1552"/>
              <w:gridCol w:w="1936"/>
            </w:tblGrid>
            <w:tr w14:paraId="393C6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639A75E0">
                  <w:pPr>
                    <w:pStyle w:val="41"/>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建设项目名称</w:t>
                  </w:r>
                </w:p>
              </w:tc>
              <w:tc>
                <w:tcPr>
                  <w:tcW w:w="6476" w:type="dxa"/>
                  <w:gridSpan w:val="4"/>
                  <w:noWrap w:val="0"/>
                  <w:vAlign w:val="center"/>
                </w:tcPr>
                <w:p w14:paraId="6B961178">
                  <w:pPr>
                    <w:pStyle w:val="41"/>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lang w:eastAsia="zh-CN"/>
                    </w:rPr>
                    <w:t>新建年产2万套信报箱生产项目</w:t>
                  </w:r>
                </w:p>
              </w:tc>
            </w:tr>
            <w:tr w14:paraId="71BFE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648106B0">
                  <w:pPr>
                    <w:pStyle w:val="41"/>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建设地点</w:t>
                  </w:r>
                </w:p>
              </w:tc>
              <w:tc>
                <w:tcPr>
                  <w:tcW w:w="6476" w:type="dxa"/>
                  <w:gridSpan w:val="4"/>
                  <w:noWrap w:val="0"/>
                  <w:vAlign w:val="center"/>
                </w:tcPr>
                <w:p w14:paraId="2B5B7419">
                  <w:pPr>
                    <w:pStyle w:val="41"/>
                    <w:rPr>
                      <w:rFonts w:hint="default" w:ascii="Times New Roman" w:hAnsi="Times New Roman" w:eastAsia="宋体" w:cs="Times New Roman"/>
                      <w:color w:val="auto"/>
                      <w:spacing w:val="0"/>
                      <w:kern w:val="0"/>
                      <w:position w:val="0"/>
                      <w:sz w:val="21"/>
                      <w:szCs w:val="21"/>
                      <w:lang w:eastAsia="zh-CN"/>
                    </w:rPr>
                  </w:pPr>
                  <w:r>
                    <w:rPr>
                      <w:rFonts w:hint="default" w:ascii="Times New Roman" w:hAnsi="Times New Roman" w:eastAsia="宋体" w:cs="Times New Roman"/>
                      <w:color w:val="auto"/>
                      <w:spacing w:val="0"/>
                      <w:kern w:val="0"/>
                      <w:position w:val="0"/>
                      <w:sz w:val="21"/>
                      <w:szCs w:val="21"/>
                      <w:lang w:eastAsia="zh-CN"/>
                    </w:rPr>
                    <w:t>江苏省金坛经济开发区汇福路8号</w:t>
                  </w:r>
                </w:p>
              </w:tc>
            </w:tr>
            <w:tr w14:paraId="60588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7A0D832A">
                  <w:pPr>
                    <w:pStyle w:val="41"/>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地理坐标</w:t>
                  </w:r>
                </w:p>
              </w:tc>
              <w:tc>
                <w:tcPr>
                  <w:tcW w:w="1418" w:type="dxa"/>
                  <w:noWrap w:val="0"/>
                  <w:vAlign w:val="center"/>
                </w:tcPr>
                <w:p w14:paraId="546A11AA">
                  <w:pPr>
                    <w:pStyle w:val="41"/>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经度</w:t>
                  </w:r>
                </w:p>
              </w:tc>
              <w:tc>
                <w:tcPr>
                  <w:tcW w:w="1559" w:type="dxa"/>
                  <w:noWrap w:val="0"/>
                  <w:vAlign w:val="center"/>
                </w:tcPr>
                <w:p w14:paraId="1BD6E932">
                  <w:pPr>
                    <w:pStyle w:val="41"/>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119°38′37.372″</w:t>
                  </w:r>
                </w:p>
              </w:tc>
              <w:tc>
                <w:tcPr>
                  <w:tcW w:w="1559" w:type="dxa"/>
                  <w:noWrap w:val="0"/>
                  <w:vAlign w:val="center"/>
                </w:tcPr>
                <w:p w14:paraId="5E0EB9A4">
                  <w:pPr>
                    <w:pStyle w:val="41"/>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纬度</w:t>
                  </w:r>
                </w:p>
              </w:tc>
              <w:tc>
                <w:tcPr>
                  <w:tcW w:w="1940" w:type="dxa"/>
                  <w:noWrap w:val="0"/>
                  <w:vAlign w:val="center"/>
                </w:tcPr>
                <w:p w14:paraId="0C99D1A3">
                  <w:pPr>
                    <w:pStyle w:val="41"/>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lang w:val="en-US" w:eastAsia="zh-CN"/>
                    </w:rPr>
                    <w:t>31°45′52.123″</w:t>
                  </w:r>
                </w:p>
              </w:tc>
            </w:tr>
            <w:tr w14:paraId="5371A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316F4DD4">
                  <w:pPr>
                    <w:pStyle w:val="41"/>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主要危险物质及分布</w:t>
                  </w:r>
                </w:p>
              </w:tc>
              <w:tc>
                <w:tcPr>
                  <w:tcW w:w="6476" w:type="dxa"/>
                  <w:gridSpan w:val="4"/>
                  <w:noWrap w:val="0"/>
                  <w:vAlign w:val="center"/>
                </w:tcPr>
                <w:p w14:paraId="6B110CE9">
                  <w:pPr>
                    <w:pStyle w:val="41"/>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rPr>
                    <w:t>本项目主要危险废物（废液压油、清洗废液、废包装桶）和液态原辅料液压油、UV油墨等</w:t>
                  </w:r>
                  <w:r>
                    <w:rPr>
                      <w:rFonts w:hint="default" w:ascii="Times New Roman" w:hAnsi="Times New Roman" w:eastAsia="宋体" w:cs="Times New Roman"/>
                      <w:smallCaps w:val="0"/>
                      <w:color w:val="auto"/>
                      <w:spacing w:val="0"/>
                      <w:kern w:val="0"/>
                      <w:position w:val="0"/>
                      <w:szCs w:val="21"/>
                      <w:lang w:val="en-US" w:eastAsia="zh-CN"/>
                    </w:rPr>
                    <w:t>。</w:t>
                  </w:r>
                </w:p>
              </w:tc>
            </w:tr>
            <w:tr w14:paraId="37ED5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61" w:type="dxa"/>
                  <w:noWrap w:val="0"/>
                  <w:vAlign w:val="center"/>
                </w:tcPr>
                <w:p w14:paraId="64C771AA">
                  <w:pPr>
                    <w:pStyle w:val="41"/>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环境影响途径及危害后果(大气、地表水、地下水等)</w:t>
                  </w:r>
                </w:p>
              </w:tc>
              <w:tc>
                <w:tcPr>
                  <w:tcW w:w="6476" w:type="dxa"/>
                  <w:gridSpan w:val="4"/>
                  <w:noWrap w:val="0"/>
                  <w:vAlign w:val="center"/>
                </w:tcPr>
                <w:p w14:paraId="6843E306">
                  <w:pPr>
                    <w:pStyle w:val="41"/>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存在一定程度的火灾</w:t>
                  </w:r>
                  <w:r>
                    <w:rPr>
                      <w:rFonts w:hint="default" w:ascii="Times New Roman" w:hAnsi="Times New Roman" w:eastAsia="宋体" w:cs="Times New Roman"/>
                      <w:color w:val="auto"/>
                      <w:spacing w:val="0"/>
                      <w:kern w:val="0"/>
                      <w:position w:val="0"/>
                      <w:sz w:val="21"/>
                      <w:szCs w:val="21"/>
                      <w:lang w:val="en-US" w:eastAsia="zh-CN"/>
                    </w:rPr>
                    <w:t>爆炸</w:t>
                  </w:r>
                  <w:r>
                    <w:rPr>
                      <w:rFonts w:hint="default" w:ascii="Times New Roman" w:hAnsi="Times New Roman" w:eastAsia="宋体" w:cs="Times New Roman"/>
                      <w:color w:val="auto"/>
                      <w:spacing w:val="0"/>
                      <w:kern w:val="0"/>
                      <w:position w:val="0"/>
                      <w:sz w:val="21"/>
                      <w:szCs w:val="21"/>
                    </w:rPr>
                    <w:t>和泄漏风险。</w:t>
                  </w:r>
                </w:p>
              </w:tc>
            </w:tr>
            <w:tr w14:paraId="46886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61" w:type="dxa"/>
                  <w:noWrap w:val="0"/>
                  <w:vAlign w:val="center"/>
                </w:tcPr>
                <w:p w14:paraId="3CAF5C99">
                  <w:pPr>
                    <w:pStyle w:val="41"/>
                    <w:rPr>
                      <w:rFonts w:hint="default" w:ascii="Times New Roman" w:hAnsi="Times New Roman" w:eastAsia="宋体" w:cs="Times New Roman"/>
                      <w:b/>
                      <w:color w:val="auto"/>
                      <w:spacing w:val="0"/>
                      <w:kern w:val="0"/>
                      <w:position w:val="0"/>
                      <w:sz w:val="21"/>
                      <w:szCs w:val="21"/>
                    </w:rPr>
                  </w:pPr>
                  <w:r>
                    <w:rPr>
                      <w:rFonts w:hint="default" w:ascii="Times New Roman" w:hAnsi="Times New Roman" w:eastAsia="宋体" w:cs="Times New Roman"/>
                      <w:b/>
                      <w:color w:val="auto"/>
                      <w:spacing w:val="0"/>
                      <w:kern w:val="0"/>
                      <w:position w:val="0"/>
                      <w:sz w:val="21"/>
                      <w:szCs w:val="21"/>
                    </w:rPr>
                    <w:t>风险防范措施要求</w:t>
                  </w:r>
                </w:p>
              </w:tc>
              <w:tc>
                <w:tcPr>
                  <w:tcW w:w="6476" w:type="dxa"/>
                  <w:gridSpan w:val="4"/>
                  <w:noWrap w:val="0"/>
                  <w:vAlign w:val="center"/>
                </w:tcPr>
                <w:p w14:paraId="197EF5D4">
                  <w:pPr>
                    <w:pStyle w:val="41"/>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完善仓库管理制度，定期及不定期对</w:t>
                  </w:r>
                  <w:r>
                    <w:rPr>
                      <w:rFonts w:hint="default" w:ascii="Times New Roman" w:hAnsi="Times New Roman" w:eastAsia="宋体" w:cs="Times New Roman"/>
                      <w:color w:val="auto"/>
                      <w:spacing w:val="0"/>
                      <w:kern w:val="0"/>
                      <w:position w:val="0"/>
                      <w:sz w:val="21"/>
                      <w:szCs w:val="21"/>
                      <w:lang w:val="en-US" w:eastAsia="zh-CN"/>
                    </w:rPr>
                    <w:t>生产设备</w:t>
                  </w:r>
                  <w:r>
                    <w:rPr>
                      <w:rFonts w:hint="default" w:ascii="Times New Roman" w:hAnsi="Times New Roman" w:eastAsia="宋体" w:cs="Times New Roman"/>
                      <w:color w:val="auto"/>
                      <w:spacing w:val="0"/>
                      <w:kern w:val="0"/>
                      <w:position w:val="0"/>
                      <w:sz w:val="21"/>
                      <w:szCs w:val="21"/>
                    </w:rPr>
                    <w:t>进行巡检，建构筑物和工艺装置区均配置消防灭火设施。</w:t>
                  </w:r>
                </w:p>
              </w:tc>
            </w:tr>
            <w:tr w14:paraId="42F23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337" w:type="dxa"/>
                  <w:gridSpan w:val="5"/>
                  <w:noWrap w:val="0"/>
                  <w:vAlign w:val="center"/>
                </w:tcPr>
                <w:p w14:paraId="107F5BD1">
                  <w:pPr>
                    <w:pStyle w:val="41"/>
                    <w:jc w:val="left"/>
                    <w:rPr>
                      <w:rFonts w:hint="default" w:ascii="Times New Roman" w:hAnsi="Times New Roman" w:eastAsia="宋体" w:cs="Times New Roman"/>
                      <w:color w:val="auto"/>
                      <w:spacing w:val="0"/>
                      <w:kern w:val="0"/>
                      <w:position w:val="0"/>
                      <w:sz w:val="21"/>
                      <w:szCs w:val="21"/>
                    </w:rPr>
                  </w:pPr>
                  <w:r>
                    <w:rPr>
                      <w:rFonts w:hint="default" w:ascii="Times New Roman" w:hAnsi="Times New Roman" w:eastAsia="宋体" w:cs="Times New Roman"/>
                      <w:color w:val="auto"/>
                      <w:spacing w:val="0"/>
                      <w:kern w:val="0"/>
                      <w:position w:val="0"/>
                      <w:sz w:val="21"/>
                      <w:szCs w:val="21"/>
                    </w:rPr>
                    <w:t>填表说明（列出项目相关信息及评价说明）：本项目危废</w:t>
                  </w:r>
                  <w:r>
                    <w:rPr>
                      <w:rFonts w:hint="default" w:ascii="Times New Roman" w:hAnsi="Times New Roman" w:eastAsia="宋体" w:cs="Times New Roman"/>
                      <w:color w:val="auto"/>
                      <w:spacing w:val="0"/>
                      <w:kern w:val="0"/>
                      <w:position w:val="0"/>
                      <w:sz w:val="21"/>
                      <w:szCs w:val="21"/>
                      <w:lang w:val="en-US" w:eastAsia="zh-CN"/>
                    </w:rPr>
                    <w:t>及部分原辅料</w:t>
                  </w:r>
                  <w:r>
                    <w:rPr>
                      <w:rFonts w:hint="default" w:ascii="Times New Roman" w:hAnsi="Times New Roman" w:eastAsia="宋体" w:cs="Times New Roman"/>
                      <w:color w:val="auto"/>
                      <w:spacing w:val="0"/>
                      <w:kern w:val="0"/>
                      <w:position w:val="0"/>
                      <w:sz w:val="21"/>
                      <w:szCs w:val="21"/>
                    </w:rPr>
                    <w:t>存在一定的危险性，其Q值小于1，环境风险潜势为Ⅰ，对环境风险开展简单分析。本项目采取完善化学品仓库管理制度的风险防范措施是有效的，环境风险能够接受。</w:t>
                  </w:r>
                </w:p>
              </w:tc>
            </w:tr>
          </w:tbl>
          <w:p w14:paraId="37BAD9F3">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本项目投产前须按照本项目投产前须按照《企业事业单位突发环境事件应急预案备案管理办法（试行）》（环发〔2015〕4号）以及《企事业单位和工业园区突发环境事件应急预案编制导则》（DB32/T3795-2020）的要求编制环境风险事故应急预案，并定期组织学习事故应急预案和演练，根据演习情况结合实际对预案进行适当修改。应急队伍要进行专业培训，并要有培训记录和档案。</w:t>
            </w:r>
          </w:p>
          <w:p w14:paraId="2A5FDEF5">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同时，加强各应急救援专业队伍的建设，配有相应器材并确保设备性能完好。一旦风险事故发生，立即启动应急预案，应急指挥系统就位，保证通讯畅通，深入现场，迅速准确报警和通知相关部门，请求应急救援，防止事故扩大，迅速遏制泄漏物进入环境。</w:t>
            </w:r>
          </w:p>
          <w:p w14:paraId="198585E2">
            <w:pPr>
              <w:pStyle w:val="9"/>
              <w:keepNext w:val="0"/>
              <w:keepLines w:val="0"/>
              <w:pageBreakBefore w:val="0"/>
              <w:kinsoku/>
              <w:wordWrap/>
              <w:overflowPunct/>
              <w:topLinePunct w:val="0"/>
              <w:bidi w:val="0"/>
              <w:adjustRightInd w:val="0"/>
              <w:snapToGrid w:val="0"/>
              <w:spacing w:after="0" w:line="440" w:lineRule="exact"/>
              <w:ind w:left="0" w:leftChars="0" w:firstLine="482" w:firstLineChars="200"/>
              <w:textAlignment w:val="auto"/>
              <w:rPr>
                <w:rFonts w:hint="default" w:ascii="Times New Roman" w:hAnsi="Times New Roman" w:eastAsia="宋体" w:cs="Times New Roman"/>
                <w:smallCaps w:val="0"/>
                <w:color w:val="auto"/>
                <w:spacing w:val="0"/>
                <w:kern w:val="0"/>
                <w:position w:val="0"/>
                <w:szCs w:val="24"/>
              </w:rPr>
            </w:pPr>
            <w:r>
              <w:rPr>
                <w:rFonts w:hint="default" w:ascii="Times New Roman" w:hAnsi="Times New Roman" w:eastAsia="宋体" w:cs="Times New Roman"/>
                <w:b/>
                <w:smallCaps w:val="0"/>
                <w:color w:val="auto"/>
                <w:spacing w:val="0"/>
                <w:kern w:val="0"/>
                <w:position w:val="0"/>
                <w:szCs w:val="24"/>
                <w:lang w:val="en-US" w:eastAsia="zh-CN"/>
              </w:rPr>
              <w:t>7</w:t>
            </w:r>
            <w:r>
              <w:rPr>
                <w:rFonts w:hint="default" w:ascii="Times New Roman" w:hAnsi="Times New Roman" w:eastAsia="宋体" w:cs="Times New Roman"/>
                <w:b/>
                <w:smallCaps w:val="0"/>
                <w:color w:val="auto"/>
                <w:spacing w:val="0"/>
                <w:kern w:val="0"/>
                <w:position w:val="0"/>
                <w:szCs w:val="24"/>
              </w:rPr>
              <w:t>、电磁辐射</w:t>
            </w:r>
          </w:p>
          <w:p w14:paraId="51E7E0D8">
            <w:pPr>
              <w:pStyle w:val="9"/>
              <w:keepNext w:val="0"/>
              <w:keepLines w:val="0"/>
              <w:pageBreakBefore w:val="0"/>
              <w:kinsoku/>
              <w:wordWrap/>
              <w:overflowPunct/>
              <w:topLinePunct w:val="0"/>
              <w:bidi w:val="0"/>
              <w:adjustRightInd w:val="0"/>
              <w:snapToGrid w:val="0"/>
              <w:spacing w:after="0" w:line="440" w:lineRule="exact"/>
              <w:ind w:left="0" w:leftChars="0" w:firstLine="480" w:firstLineChars="200"/>
              <w:textAlignment w:val="auto"/>
              <w:rPr>
                <w:rFonts w:hint="default" w:ascii="Times New Roman" w:hAnsi="Times New Roman" w:eastAsia="宋体" w:cs="Times New Roman"/>
                <w:smallCaps w:val="0"/>
                <w:color w:val="auto"/>
                <w:spacing w:val="0"/>
                <w:kern w:val="0"/>
                <w:position w:val="0"/>
                <w:szCs w:val="24"/>
              </w:rPr>
            </w:pPr>
            <w:r>
              <w:rPr>
                <w:rFonts w:hint="default" w:ascii="Times New Roman" w:hAnsi="Times New Roman" w:eastAsia="宋体" w:cs="Times New Roman"/>
                <w:smallCaps w:val="0"/>
                <w:color w:val="auto"/>
                <w:spacing w:val="0"/>
                <w:kern w:val="0"/>
                <w:position w:val="0"/>
                <w:szCs w:val="24"/>
              </w:rPr>
              <w:t>本项目运营过程中涉及的检验设备均不属于电磁辐射设备范畴内，后期若企业增设含有电磁辐射的设备应另行环保手续。</w:t>
            </w:r>
          </w:p>
          <w:p w14:paraId="1308E245">
            <w:pPr>
              <w:pStyle w:val="9"/>
              <w:keepNext w:val="0"/>
              <w:keepLines w:val="0"/>
              <w:pageBreakBefore w:val="0"/>
              <w:kinsoku/>
              <w:wordWrap/>
              <w:overflowPunct/>
              <w:topLinePunct w:val="0"/>
              <w:bidi w:val="0"/>
              <w:adjustRightInd w:val="0"/>
              <w:snapToGrid w:val="0"/>
              <w:spacing w:after="0" w:line="440" w:lineRule="exact"/>
              <w:ind w:left="0" w:leftChars="0" w:firstLine="482" w:firstLineChars="200"/>
              <w:textAlignment w:val="auto"/>
              <w:rPr>
                <w:rFonts w:hint="default" w:ascii="Times New Roman" w:hAnsi="Times New Roman" w:eastAsia="宋体" w:cs="Times New Roman"/>
                <w:b/>
                <w:smallCaps w:val="0"/>
                <w:color w:val="auto"/>
                <w:spacing w:val="0"/>
                <w:kern w:val="0"/>
                <w:position w:val="0"/>
                <w:szCs w:val="24"/>
              </w:rPr>
            </w:pPr>
            <w:r>
              <w:rPr>
                <w:rFonts w:hint="default" w:ascii="Times New Roman" w:hAnsi="Times New Roman" w:eastAsia="宋体" w:cs="Times New Roman"/>
                <w:b/>
                <w:smallCaps w:val="0"/>
                <w:color w:val="auto"/>
                <w:spacing w:val="0"/>
                <w:kern w:val="0"/>
                <w:position w:val="0"/>
                <w:szCs w:val="24"/>
                <w:lang w:val="en-US" w:eastAsia="zh-CN"/>
              </w:rPr>
              <w:t>8</w:t>
            </w:r>
            <w:r>
              <w:rPr>
                <w:rFonts w:hint="default" w:ascii="Times New Roman" w:hAnsi="Times New Roman" w:eastAsia="宋体" w:cs="Times New Roman"/>
                <w:b/>
                <w:smallCaps w:val="0"/>
                <w:color w:val="auto"/>
                <w:spacing w:val="0"/>
                <w:kern w:val="0"/>
                <w:position w:val="0"/>
                <w:szCs w:val="24"/>
              </w:rPr>
              <w:t>、污染源监测计划</w:t>
            </w:r>
          </w:p>
          <w:p w14:paraId="098C4A82">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（1）验收监测</w:t>
            </w:r>
          </w:p>
          <w:p w14:paraId="5C6226DD">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公司应按“三同时”验收程序委托监测机构开展建设项目环保“三同时”设施竣工验收监测，具体监测方案由监测机构根据《建设项目竣工环境保护验收技术指南污染影响类》（生态环境部公告2018年第9号）确定。</w:t>
            </w:r>
          </w:p>
          <w:p w14:paraId="7B065ABC">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（2）自行监测计划</w:t>
            </w:r>
          </w:p>
          <w:p w14:paraId="58F059C7">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监测计划按照</w:t>
            </w:r>
            <w:r>
              <w:rPr>
                <w:rFonts w:hint="default" w:ascii="Times New Roman" w:hAnsi="Times New Roman" w:eastAsia="宋体" w:cs="Times New Roman"/>
                <w:bCs/>
                <w:smallCaps w:val="0"/>
                <w:color w:val="auto"/>
                <w:spacing w:val="0"/>
                <w:kern w:val="0"/>
                <w:position w:val="0"/>
                <w:sz w:val="24"/>
              </w:rPr>
              <w:t>《排污单位自行监测技术指南总则》（HJ819-2017）</w:t>
            </w:r>
            <w:r>
              <w:rPr>
                <w:rFonts w:hint="default" w:ascii="Times New Roman" w:hAnsi="Times New Roman" w:eastAsia="宋体" w:cs="Times New Roman"/>
                <w:smallCaps w:val="0"/>
                <w:snapToGrid w:val="0"/>
                <w:color w:val="auto"/>
                <w:spacing w:val="0"/>
                <w:kern w:val="0"/>
                <w:position w:val="0"/>
                <w:sz w:val="24"/>
                <w:szCs w:val="24"/>
                <w:lang w:val="en-US" w:eastAsia="zh-CN"/>
              </w:rPr>
              <w:t>、</w:t>
            </w:r>
            <w:r>
              <w:rPr>
                <w:rFonts w:hint="default" w:ascii="Times New Roman" w:hAnsi="Times New Roman" w:eastAsia="宋体" w:cs="Times New Roman"/>
                <w:bCs/>
                <w:smallCaps w:val="0"/>
                <w:color w:val="auto"/>
                <w:spacing w:val="0"/>
                <w:kern w:val="0"/>
                <w:position w:val="0"/>
                <w:sz w:val="24"/>
              </w:rPr>
              <w:t>《大气污染物无组织排放监测技术导则》（HJ/T55-2017）</w:t>
            </w:r>
            <w:r>
              <w:rPr>
                <w:rFonts w:hint="default" w:ascii="Times New Roman" w:hAnsi="Times New Roman" w:eastAsia="宋体" w:cs="Times New Roman"/>
                <w:bCs/>
                <w:smallCaps w:val="0"/>
                <w:color w:val="auto"/>
                <w:spacing w:val="0"/>
                <w:kern w:val="0"/>
                <w:position w:val="0"/>
                <w:sz w:val="24"/>
                <w:lang w:val="en-US" w:eastAsia="zh-CN"/>
              </w:rPr>
              <w:t>、</w:t>
            </w:r>
            <w:r>
              <w:rPr>
                <w:rFonts w:hint="default" w:ascii="Times New Roman" w:hAnsi="Times New Roman" w:eastAsia="宋体" w:cs="Times New Roman"/>
                <w:smallCaps w:val="0"/>
                <w:snapToGrid w:val="0"/>
                <w:color w:val="auto"/>
                <w:spacing w:val="0"/>
                <w:kern w:val="0"/>
                <w:position w:val="0"/>
                <w:sz w:val="24"/>
                <w:szCs w:val="24"/>
                <w:lang w:val="en-US" w:eastAsia="zh-CN"/>
              </w:rPr>
              <w:t>《排污许可证申请与核发技术规范印刷工业（HJ1066-2019）》和</w:t>
            </w:r>
            <w:r>
              <w:rPr>
                <w:rFonts w:hint="default" w:ascii="Times New Roman" w:hAnsi="Times New Roman" w:eastAsia="宋体" w:cs="Times New Roman"/>
                <w:bCs/>
                <w:smallCaps w:val="0"/>
                <w:color w:val="auto"/>
                <w:spacing w:val="0"/>
                <w:kern w:val="0"/>
                <w:position w:val="0"/>
                <w:sz w:val="24"/>
                <w:lang w:val="en-US" w:eastAsia="zh-CN"/>
              </w:rPr>
              <w:t>《排污许可证申请与核发技术规范工业噪声》（HJ1301-2023）</w:t>
            </w:r>
            <w:r>
              <w:rPr>
                <w:rFonts w:hint="default" w:ascii="Times New Roman" w:hAnsi="Times New Roman" w:eastAsia="宋体" w:cs="Times New Roman"/>
                <w:smallCaps w:val="0"/>
                <w:color w:val="auto"/>
                <w:spacing w:val="0"/>
                <w:kern w:val="0"/>
                <w:position w:val="0"/>
                <w:sz w:val="24"/>
              </w:rPr>
              <w:t>设置。</w:t>
            </w:r>
          </w:p>
          <w:p w14:paraId="172F97DA">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（3）污染源监测计划</w:t>
            </w:r>
          </w:p>
          <w:p w14:paraId="195C8863">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根据《建设项目环境影响报表编制技术指南（污染影响类）》文件要求，排污单位应按照规定对涉及到土壤、地下水污染物情况进行跟踪监测。</w:t>
            </w:r>
          </w:p>
          <w:p w14:paraId="6E57C922">
            <w:pPr>
              <w:pStyle w:val="9"/>
              <w:keepNext w:val="0"/>
              <w:keepLines w:val="0"/>
              <w:pageBreakBefore w:val="0"/>
              <w:kinsoku/>
              <w:wordWrap/>
              <w:overflowPunct/>
              <w:topLinePunct w:val="0"/>
              <w:bidi w:val="0"/>
              <w:adjustRightInd w:val="0"/>
              <w:snapToGrid w:val="0"/>
              <w:spacing w:after="0" w:line="440" w:lineRule="exact"/>
              <w:ind w:left="0" w:leftChars="0" w:firstLine="480" w:firstLineChars="200"/>
              <w:textAlignment w:val="auto"/>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bCs/>
                <w:smallCaps w:val="0"/>
                <w:color w:val="auto"/>
                <w:spacing w:val="0"/>
                <w:kern w:val="0"/>
                <w:position w:val="0"/>
                <w:szCs w:val="24"/>
              </w:rPr>
              <w:t>本项目正常运营过程中产生的污染物基本不会对土壤、地下水造成影响，且本项目租赁车间地面均已硬化，无法进行取样，故本项目不单独对土壤、地下水设置跟踪监测计划要求。</w:t>
            </w:r>
          </w:p>
          <w:p w14:paraId="40D450B3">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（4）应急监测</w:t>
            </w:r>
          </w:p>
          <w:p w14:paraId="515D6EB7">
            <w:pPr>
              <w:keepNext w:val="0"/>
              <w:keepLines w:val="0"/>
              <w:pageBreakBefore w:val="0"/>
              <w:tabs>
                <w:tab w:val="center" w:pos="4772"/>
              </w:tabs>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当公司发生突发性事件引起环境污染风险时，应按照《突发性环境事件应急预案》要求，启动应急环境监测方案，以指导事故应急处置，最大限度减轻对周边环境敏感目标的污染风险。</w:t>
            </w:r>
          </w:p>
          <w:p w14:paraId="4D9A5BE4">
            <w:pPr>
              <w:keepNext w:val="0"/>
              <w:keepLines w:val="0"/>
              <w:pageBreakBefore w:val="0"/>
              <w:kinsoku/>
              <w:wordWrap/>
              <w:overflowPunct/>
              <w:topLinePunct w:val="0"/>
              <w:bidi w:val="0"/>
              <w:adjustRightInd w:val="0"/>
              <w:snapToGrid w:val="0"/>
              <w:spacing w:line="440" w:lineRule="exact"/>
              <w:ind w:firstLine="482" w:firstLineChars="200"/>
              <w:textAlignment w:val="auto"/>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lang w:val="en-US" w:eastAsia="zh-CN"/>
              </w:rPr>
              <w:t>9</w:t>
            </w:r>
            <w:r>
              <w:rPr>
                <w:rFonts w:hint="default" w:ascii="Times New Roman" w:hAnsi="Times New Roman" w:eastAsia="宋体" w:cs="Times New Roman"/>
                <w:b/>
                <w:smallCaps w:val="0"/>
                <w:color w:val="auto"/>
                <w:spacing w:val="0"/>
                <w:kern w:val="0"/>
                <w:position w:val="0"/>
                <w:sz w:val="24"/>
              </w:rPr>
              <w:t>、环境监测管理</w:t>
            </w:r>
          </w:p>
          <w:p w14:paraId="41EA446A">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（1）环境管理目的</w:t>
            </w:r>
          </w:p>
          <w:p w14:paraId="42CA6906">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保证本项目各项环境保护措施的顺利落实，预防和减轻项目的实施对环境的不利影响。</w:t>
            </w:r>
          </w:p>
          <w:p w14:paraId="13C3A4DC">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（2）环境要求</w:t>
            </w:r>
          </w:p>
          <w:p w14:paraId="4FCD2955">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排污口规范化设置：根据国家生态局《关于开展排污口规范化整治试点工作的通知》和《关于加快排污口规范化整治试点工作的通知》精神，贯彻执行《江苏省开展排污口规范化整治工作方案》，建设项目应在建设的同时规范排污口。</w:t>
            </w:r>
          </w:p>
          <w:p w14:paraId="541373D5">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①污水排放口规范化</w:t>
            </w:r>
          </w:p>
          <w:p w14:paraId="5A03D3F9">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根据江苏省生态局《江苏省排污口设置及规范化整治管理办法》第十二条规定，对排污口进行规范化整治，以满足江苏省和常州市生态环境局的管理要求。全厂设置1个污水接管口。</w:t>
            </w:r>
          </w:p>
          <w:p w14:paraId="28DFDC14">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②固定噪声污染源扰民处规范化整治</w:t>
            </w:r>
          </w:p>
          <w:p w14:paraId="748B4CB6">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对固定噪声污染源对边界影响最大处，设置环境噪声监测点，并在该处附近醒目处设置环境保护图形标志牌。</w:t>
            </w:r>
          </w:p>
          <w:p w14:paraId="1AC30DFA">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③固体废物贮存、运输及处置规范化</w:t>
            </w:r>
          </w:p>
          <w:p w14:paraId="7C40766C">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固体废弃物收集后需堆放在固定场所，并做到防晒、防渗漏、防止混杂，固体废物贮存场所应设置醒目标志牌，并及时委外处置，防止对环境造成污染。</w:t>
            </w:r>
          </w:p>
          <w:p w14:paraId="51B3CA9B">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（3）基本信息公开</w:t>
            </w:r>
          </w:p>
          <w:p w14:paraId="0EF8C210">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fldChar w:fldCharType="begin"/>
            </w:r>
            <w:r>
              <w:rPr>
                <w:rFonts w:hint="default" w:ascii="Times New Roman" w:hAnsi="Times New Roman" w:eastAsia="宋体" w:cs="Times New Roman"/>
                <w:smallCaps w:val="0"/>
                <w:color w:val="auto"/>
                <w:spacing w:val="0"/>
                <w:kern w:val="0"/>
                <w:position w:val="0"/>
                <w:sz w:val="24"/>
              </w:rPr>
              <w:instrText xml:space="preserve"> = 1 \* GB3 </w:instrText>
            </w:r>
            <w:r>
              <w:rPr>
                <w:rFonts w:hint="default" w:ascii="Times New Roman" w:hAnsi="Times New Roman" w:eastAsia="宋体" w:cs="Times New Roman"/>
                <w:smallCaps w:val="0"/>
                <w:color w:val="auto"/>
                <w:spacing w:val="0"/>
                <w:kern w:val="0"/>
                <w:position w:val="0"/>
                <w:sz w:val="24"/>
              </w:rPr>
              <w:fldChar w:fldCharType="separate"/>
            </w:r>
            <w:r>
              <w:rPr>
                <w:rFonts w:hint="default" w:ascii="Times New Roman" w:hAnsi="Times New Roman" w:eastAsia="宋体" w:cs="Times New Roman"/>
                <w:smallCaps w:val="0"/>
                <w:color w:val="auto"/>
                <w:spacing w:val="0"/>
                <w:kern w:val="0"/>
                <w:position w:val="0"/>
                <w:sz w:val="24"/>
              </w:rPr>
              <w:t>①</w:t>
            </w:r>
            <w:r>
              <w:rPr>
                <w:rFonts w:hint="default" w:ascii="Times New Roman" w:hAnsi="Times New Roman" w:eastAsia="宋体" w:cs="Times New Roman"/>
                <w:smallCaps w:val="0"/>
                <w:color w:val="auto"/>
                <w:spacing w:val="0"/>
                <w:kern w:val="0"/>
                <w:position w:val="0"/>
                <w:sz w:val="24"/>
              </w:rPr>
              <w:fldChar w:fldCharType="end"/>
            </w:r>
            <w:r>
              <w:rPr>
                <w:rFonts w:hint="default" w:ascii="Times New Roman" w:hAnsi="Times New Roman" w:eastAsia="宋体" w:cs="Times New Roman"/>
                <w:smallCaps w:val="0"/>
                <w:color w:val="auto"/>
                <w:spacing w:val="0"/>
                <w:kern w:val="0"/>
                <w:position w:val="0"/>
                <w:sz w:val="24"/>
              </w:rPr>
              <w:t>排污口基本信息</w:t>
            </w:r>
          </w:p>
          <w:p w14:paraId="322013D8">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排污口信息是企业日常环境管理的基础数据，确保污染防治措施的稳定运营是企业日常环境管理的核心工作。企业环保管理机构须制定污染防治措施的运行、维护、升级改造、持续减排等工作计划，条件许可情况下，应将企业污染防治工作、排污信息采取适当形式向社会持续公示。</w:t>
            </w:r>
          </w:p>
          <w:p w14:paraId="7FD16D06">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fldChar w:fldCharType="begin"/>
            </w:r>
            <w:r>
              <w:rPr>
                <w:rFonts w:hint="default" w:ascii="Times New Roman" w:hAnsi="Times New Roman" w:eastAsia="宋体" w:cs="Times New Roman"/>
                <w:smallCaps w:val="0"/>
                <w:color w:val="auto"/>
                <w:spacing w:val="0"/>
                <w:kern w:val="0"/>
                <w:position w:val="0"/>
                <w:sz w:val="24"/>
              </w:rPr>
              <w:instrText xml:space="preserve"> = 2 \* GB3 </w:instrText>
            </w:r>
            <w:r>
              <w:rPr>
                <w:rFonts w:hint="default" w:ascii="Times New Roman" w:hAnsi="Times New Roman" w:eastAsia="宋体" w:cs="Times New Roman"/>
                <w:smallCaps w:val="0"/>
                <w:color w:val="auto"/>
                <w:spacing w:val="0"/>
                <w:kern w:val="0"/>
                <w:position w:val="0"/>
                <w:sz w:val="24"/>
              </w:rPr>
              <w:fldChar w:fldCharType="separate"/>
            </w:r>
            <w:r>
              <w:rPr>
                <w:rFonts w:hint="default" w:ascii="Times New Roman" w:hAnsi="Times New Roman" w:eastAsia="宋体" w:cs="Times New Roman"/>
                <w:smallCaps w:val="0"/>
                <w:color w:val="auto"/>
                <w:spacing w:val="0"/>
                <w:kern w:val="0"/>
                <w:position w:val="0"/>
                <w:sz w:val="24"/>
              </w:rPr>
              <w:t>②</w:t>
            </w:r>
            <w:r>
              <w:rPr>
                <w:rFonts w:hint="default" w:ascii="Times New Roman" w:hAnsi="Times New Roman" w:eastAsia="宋体" w:cs="Times New Roman"/>
                <w:smallCaps w:val="0"/>
                <w:color w:val="auto"/>
                <w:spacing w:val="0"/>
                <w:kern w:val="0"/>
                <w:position w:val="0"/>
                <w:sz w:val="24"/>
              </w:rPr>
              <w:fldChar w:fldCharType="end"/>
            </w:r>
            <w:r>
              <w:rPr>
                <w:rFonts w:hint="default" w:ascii="Times New Roman" w:hAnsi="Times New Roman" w:eastAsia="宋体" w:cs="Times New Roman"/>
                <w:smallCaps w:val="0"/>
                <w:color w:val="auto"/>
                <w:spacing w:val="0"/>
                <w:kern w:val="0"/>
                <w:position w:val="0"/>
                <w:sz w:val="24"/>
              </w:rPr>
              <w:t>信息公开</w:t>
            </w:r>
          </w:p>
          <w:p w14:paraId="197EA659">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根据《企业事业单位环境信息公开办法》（环境保护部令第31号）及《关于印发排污许可证管理暂行规定的通知》（环水体[2016]186号）要求，企业公开信息如下：</w:t>
            </w:r>
          </w:p>
          <w:p w14:paraId="0B31A872">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1、基础信息，包括单位名称、组织机构代码、法定代表人、生产地址、联系</w:t>
            </w:r>
            <w:r>
              <w:rPr>
                <w:rFonts w:hint="eastAsia" w:cs="Times New Roman"/>
                <w:smallCaps w:val="0"/>
                <w:color w:val="auto"/>
                <w:spacing w:val="0"/>
                <w:kern w:val="0"/>
                <w:position w:val="0"/>
                <w:sz w:val="24"/>
                <w:lang w:val="en-US" w:eastAsia="zh-CN"/>
              </w:rPr>
              <w:t>方</w:t>
            </w:r>
            <w:r>
              <w:rPr>
                <w:rFonts w:hint="default" w:ascii="Times New Roman" w:hAnsi="Times New Roman" w:eastAsia="宋体" w:cs="Times New Roman"/>
                <w:smallCaps w:val="0"/>
                <w:color w:val="auto"/>
                <w:spacing w:val="0"/>
                <w:kern w:val="0"/>
                <w:position w:val="0"/>
                <w:sz w:val="24"/>
              </w:rPr>
              <w:t>式，以及生产经营和管理服务的主要内容、产品及规模；</w:t>
            </w:r>
          </w:p>
          <w:p w14:paraId="4F10DEB0">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2、排污信息，包括主要污染物及特征污染物的名称、排放方式、排放口数量和分布情况、排放浓度和总量、超标情况，以及执行的污染物排放标准、核定的排放总量；</w:t>
            </w:r>
          </w:p>
          <w:p w14:paraId="3C1835FC">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3、防治污染设施的建设和运行情况；</w:t>
            </w:r>
          </w:p>
          <w:p w14:paraId="4E2CABE2">
            <w:pPr>
              <w:keepNext w:val="0"/>
              <w:keepLines w:val="0"/>
              <w:pageBreakBefore w:val="0"/>
              <w:kinsoku/>
              <w:wordWrap/>
              <w:overflowPunct/>
              <w:topLinePunct w:val="0"/>
              <w:autoSpaceDE w:val="0"/>
              <w:autoSpaceDN w:val="0"/>
              <w:bidi w:val="0"/>
              <w:adjustRightInd w:val="0"/>
              <w:snapToGrid w:val="0"/>
              <w:spacing w:line="440" w:lineRule="exact"/>
              <w:ind w:firstLine="480" w:firstLineChars="200"/>
              <w:textAlignment w:val="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4、建设项目环境影响评价及其他环境保护行政许可情况；</w:t>
            </w:r>
          </w:p>
          <w:p w14:paraId="4373246B">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default" w:ascii="Times New Roman" w:hAnsi="Times New Roman" w:eastAsia="宋体" w:cs="Times New Roman"/>
                <w:b/>
                <w:smallCaps w:val="0"/>
                <w:color w:val="auto"/>
                <w:spacing w:val="0"/>
                <w:kern w:val="0"/>
                <w:position w:val="0"/>
                <w:sz w:val="28"/>
                <w:szCs w:val="28"/>
              </w:rPr>
            </w:pPr>
            <w:r>
              <w:rPr>
                <w:rFonts w:hint="default" w:ascii="Times New Roman" w:hAnsi="Times New Roman" w:eastAsia="宋体" w:cs="Times New Roman"/>
                <w:smallCaps w:val="0"/>
                <w:color w:val="auto"/>
                <w:spacing w:val="0"/>
                <w:kern w:val="0"/>
                <w:position w:val="0"/>
                <w:sz w:val="24"/>
              </w:rPr>
              <w:t>5、突发环境事件应急预案。</w:t>
            </w:r>
          </w:p>
        </w:tc>
      </w:tr>
    </w:tbl>
    <w:p w14:paraId="4E2BC7CE">
      <w:pPr>
        <w:adjustRightInd w:val="0"/>
        <w:snapToGrid w:val="0"/>
        <w:spacing w:before="60" w:after="60" w:line="360" w:lineRule="auto"/>
        <w:ind w:firstLine="582"/>
        <w:rPr>
          <w:rFonts w:hint="default" w:ascii="Times New Roman" w:hAnsi="Times New Roman" w:eastAsia="宋体" w:cs="Times New Roman"/>
          <w:b/>
          <w:smallCaps w:val="0"/>
          <w:color w:val="auto"/>
          <w:spacing w:val="0"/>
          <w:kern w:val="0"/>
          <w:positio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5EA1F9B2">
      <w:pPr>
        <w:pStyle w:val="16"/>
        <w:jc w:val="center"/>
        <w:outlineLvl w:val="0"/>
        <w:rPr>
          <w:rFonts w:hint="default" w:ascii="Times New Roman" w:hAnsi="Times New Roman" w:eastAsia="宋体" w:cs="Times New Roman"/>
          <w:smallCaps w:val="0"/>
          <w:snapToGrid w:val="0"/>
          <w:color w:val="auto"/>
          <w:spacing w:val="0"/>
          <w:kern w:val="0"/>
          <w:position w:val="0"/>
          <w:sz w:val="30"/>
          <w:szCs w:val="30"/>
        </w:rPr>
      </w:pPr>
      <w:r>
        <w:rPr>
          <w:rFonts w:hint="default" w:ascii="Times New Roman" w:hAnsi="Times New Roman" w:eastAsia="宋体" w:cs="Times New Roman"/>
          <w:smallCaps w:val="0"/>
          <w:snapToGrid w:val="0"/>
          <w:color w:val="auto"/>
          <w:spacing w:val="0"/>
          <w:kern w:val="0"/>
          <w:position w:val="0"/>
          <w:sz w:val="30"/>
          <w:szCs w:val="30"/>
        </w:rPr>
        <w:t>五、</w:t>
      </w:r>
      <w:bookmarkStart w:id="4" w:name="_Hlk54167917"/>
      <w:r>
        <w:rPr>
          <w:rFonts w:hint="default" w:ascii="Times New Roman" w:hAnsi="Times New Roman" w:eastAsia="宋体" w:cs="Times New Roman"/>
          <w:smallCaps w:val="0"/>
          <w:snapToGrid w:val="0"/>
          <w:color w:val="auto"/>
          <w:spacing w:val="0"/>
          <w:kern w:val="0"/>
          <w:position w:val="0"/>
          <w:sz w:val="30"/>
          <w:szCs w:val="30"/>
        </w:rPr>
        <w:t>环境保护措施监督检查清单</w:t>
      </w:r>
      <w:bookmarkEnd w:id="4"/>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1302"/>
        <w:gridCol w:w="802"/>
        <w:gridCol w:w="802"/>
        <w:gridCol w:w="1458"/>
        <w:gridCol w:w="1675"/>
        <w:gridCol w:w="2975"/>
      </w:tblGrid>
      <w:tr w14:paraId="58D38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12" w:space="0"/>
              <w:left w:val="single" w:color="auto" w:sz="12" w:space="0"/>
              <w:bottom w:val="single" w:color="auto" w:sz="4" w:space="0"/>
              <w:tl2br w:val="single" w:color="auto" w:sz="4" w:space="0"/>
            </w:tcBorders>
            <w:noWrap w:val="0"/>
            <w:vAlign w:val="top"/>
          </w:tcPr>
          <w:p w14:paraId="6E37EA90">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内容</w:t>
            </w:r>
          </w:p>
          <w:p w14:paraId="4EB3859A">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要素</w:t>
            </w:r>
          </w:p>
        </w:tc>
        <w:tc>
          <w:tcPr>
            <w:tcW w:w="1604" w:type="dxa"/>
            <w:gridSpan w:val="2"/>
            <w:tcBorders>
              <w:top w:val="single" w:color="auto" w:sz="12" w:space="0"/>
              <w:bottom w:val="single" w:color="auto" w:sz="4" w:space="0"/>
            </w:tcBorders>
            <w:noWrap w:val="0"/>
            <w:vAlign w:val="center"/>
          </w:tcPr>
          <w:p w14:paraId="168BCBFE">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排放口（编号、名称）/污染源</w:t>
            </w:r>
          </w:p>
        </w:tc>
        <w:tc>
          <w:tcPr>
            <w:tcW w:w="1458" w:type="dxa"/>
            <w:tcBorders>
              <w:top w:val="single" w:color="auto" w:sz="12" w:space="0"/>
              <w:bottom w:val="single" w:color="auto" w:sz="4" w:space="0"/>
            </w:tcBorders>
            <w:noWrap w:val="0"/>
            <w:vAlign w:val="center"/>
          </w:tcPr>
          <w:p w14:paraId="24BE1F5F">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污染物项目</w:t>
            </w:r>
          </w:p>
        </w:tc>
        <w:tc>
          <w:tcPr>
            <w:tcW w:w="1675" w:type="dxa"/>
            <w:tcBorders>
              <w:top w:val="single" w:color="auto" w:sz="12" w:space="0"/>
              <w:bottom w:val="single" w:color="auto" w:sz="4" w:space="0"/>
            </w:tcBorders>
            <w:noWrap w:val="0"/>
            <w:vAlign w:val="center"/>
          </w:tcPr>
          <w:p w14:paraId="6890AF3D">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环境保护措施</w:t>
            </w:r>
          </w:p>
        </w:tc>
        <w:tc>
          <w:tcPr>
            <w:tcW w:w="2975" w:type="dxa"/>
            <w:tcBorders>
              <w:top w:val="single" w:color="auto" w:sz="12" w:space="0"/>
              <w:bottom w:val="single" w:color="auto" w:sz="4" w:space="0"/>
              <w:right w:val="single" w:color="auto" w:sz="12" w:space="0"/>
            </w:tcBorders>
            <w:noWrap w:val="0"/>
            <w:vAlign w:val="center"/>
          </w:tcPr>
          <w:p w14:paraId="71284D3E">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执行标准</w:t>
            </w:r>
          </w:p>
        </w:tc>
      </w:tr>
      <w:tr w14:paraId="54D53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4" w:space="0"/>
              <w:left w:val="single" w:color="auto" w:sz="12" w:space="0"/>
            </w:tcBorders>
            <w:noWrap w:val="0"/>
            <w:vAlign w:val="center"/>
          </w:tcPr>
          <w:p w14:paraId="4D916464">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地表水环境</w:t>
            </w:r>
          </w:p>
        </w:tc>
        <w:tc>
          <w:tcPr>
            <w:tcW w:w="1604" w:type="dxa"/>
            <w:gridSpan w:val="2"/>
            <w:tcBorders>
              <w:top w:val="single" w:color="auto" w:sz="4" w:space="0"/>
              <w:bottom w:val="single" w:color="auto" w:sz="4" w:space="0"/>
            </w:tcBorders>
            <w:noWrap w:val="0"/>
            <w:vAlign w:val="center"/>
          </w:tcPr>
          <w:p w14:paraId="5DEB8960">
            <w:pPr>
              <w:pStyle w:val="16"/>
              <w:adjustRightInd w:val="0"/>
              <w:snapToGrid w:val="0"/>
              <w:spacing w:before="0" w:beforeAutospacing="0" w:after="0" w:afterAutospacing="0" w:line="360" w:lineRule="exact"/>
              <w:jc w:val="center"/>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bCs/>
                <w:smallCaps w:val="0"/>
                <w:color w:val="auto"/>
                <w:spacing w:val="0"/>
                <w:kern w:val="0"/>
                <w:position w:val="0"/>
                <w:szCs w:val="24"/>
              </w:rPr>
              <w:t>生活污水</w:t>
            </w:r>
          </w:p>
        </w:tc>
        <w:tc>
          <w:tcPr>
            <w:tcW w:w="1458" w:type="dxa"/>
            <w:tcBorders>
              <w:top w:val="single" w:color="auto" w:sz="4" w:space="0"/>
              <w:bottom w:val="single" w:color="auto" w:sz="4" w:space="0"/>
            </w:tcBorders>
            <w:noWrap w:val="0"/>
            <w:vAlign w:val="center"/>
          </w:tcPr>
          <w:p w14:paraId="70CA568A">
            <w:pPr>
              <w:pStyle w:val="16"/>
              <w:adjustRightInd w:val="0"/>
              <w:snapToGrid w:val="0"/>
              <w:spacing w:before="0" w:beforeAutospacing="0" w:after="0" w:afterAutospacing="0" w:line="360" w:lineRule="exact"/>
              <w:jc w:val="center"/>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smallCaps w:val="0"/>
                <w:color w:val="auto"/>
                <w:spacing w:val="0"/>
                <w:kern w:val="0"/>
                <w:position w:val="0"/>
                <w:szCs w:val="24"/>
              </w:rPr>
              <w:t>COD、SS、NH</w:t>
            </w:r>
            <w:r>
              <w:rPr>
                <w:rFonts w:hint="default" w:ascii="Times New Roman" w:hAnsi="Times New Roman" w:eastAsia="宋体" w:cs="Times New Roman"/>
                <w:smallCaps w:val="0"/>
                <w:color w:val="auto"/>
                <w:spacing w:val="0"/>
                <w:kern w:val="0"/>
                <w:position w:val="0"/>
                <w:szCs w:val="24"/>
                <w:vertAlign w:val="subscript"/>
              </w:rPr>
              <w:t>3</w:t>
            </w:r>
            <w:r>
              <w:rPr>
                <w:rFonts w:hint="default" w:ascii="Times New Roman" w:hAnsi="Times New Roman" w:eastAsia="宋体" w:cs="Times New Roman"/>
                <w:smallCaps w:val="0"/>
                <w:color w:val="auto"/>
                <w:spacing w:val="0"/>
                <w:kern w:val="0"/>
                <w:position w:val="0"/>
                <w:szCs w:val="24"/>
              </w:rPr>
              <w:t>-N、TP、TN</w:t>
            </w:r>
          </w:p>
        </w:tc>
        <w:tc>
          <w:tcPr>
            <w:tcW w:w="1675" w:type="dxa"/>
            <w:tcBorders>
              <w:top w:val="single" w:color="auto" w:sz="4" w:space="0"/>
            </w:tcBorders>
            <w:noWrap w:val="0"/>
            <w:vAlign w:val="center"/>
          </w:tcPr>
          <w:p w14:paraId="7029DE87">
            <w:pPr>
              <w:jc w:val="center"/>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接管至</w:t>
            </w:r>
            <w:r>
              <w:rPr>
                <w:rFonts w:hint="default" w:ascii="Times New Roman" w:hAnsi="Times New Roman" w:eastAsia="宋体" w:cs="Times New Roman"/>
                <w:smallCaps w:val="0"/>
                <w:color w:val="auto"/>
                <w:spacing w:val="0"/>
                <w:kern w:val="0"/>
                <w:position w:val="0"/>
                <w:sz w:val="24"/>
                <w:lang w:eastAsia="zh-CN"/>
              </w:rPr>
              <w:t>金坛第二污水处理厂</w:t>
            </w:r>
          </w:p>
        </w:tc>
        <w:tc>
          <w:tcPr>
            <w:tcW w:w="2975" w:type="dxa"/>
            <w:tcBorders>
              <w:top w:val="single" w:color="auto" w:sz="4" w:space="0"/>
              <w:right w:val="single" w:color="auto" w:sz="12" w:space="0"/>
            </w:tcBorders>
            <w:noWrap w:val="0"/>
            <w:vAlign w:val="center"/>
          </w:tcPr>
          <w:p w14:paraId="51322435">
            <w:pPr>
              <w:pStyle w:val="29"/>
              <w:spacing w:line="240" w:lineRule="auto"/>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达到</w:t>
            </w:r>
            <w:r>
              <w:rPr>
                <w:rFonts w:hint="default" w:ascii="Times New Roman" w:hAnsi="Times New Roman" w:eastAsia="宋体" w:cs="Times New Roman"/>
                <w:smallCaps w:val="0"/>
                <w:color w:val="auto"/>
                <w:spacing w:val="0"/>
                <w:kern w:val="0"/>
                <w:position w:val="0"/>
                <w:sz w:val="24"/>
                <w:lang w:eastAsia="zh-CN"/>
              </w:rPr>
              <w:t>金坛第二污水处理厂</w:t>
            </w:r>
            <w:r>
              <w:rPr>
                <w:rFonts w:hint="default" w:ascii="Times New Roman" w:hAnsi="Times New Roman" w:eastAsia="宋体" w:cs="Times New Roman"/>
                <w:smallCaps w:val="0"/>
                <w:color w:val="auto"/>
                <w:spacing w:val="0"/>
                <w:kern w:val="0"/>
                <w:position w:val="0"/>
                <w:sz w:val="24"/>
              </w:rPr>
              <w:t>接管标准</w:t>
            </w:r>
          </w:p>
        </w:tc>
      </w:tr>
      <w:tr w14:paraId="1F500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vMerge w:val="restart"/>
            <w:tcBorders>
              <w:top w:val="single" w:color="auto" w:sz="4" w:space="0"/>
              <w:left w:val="single" w:color="auto" w:sz="12" w:space="0"/>
            </w:tcBorders>
            <w:noWrap w:val="0"/>
            <w:vAlign w:val="center"/>
          </w:tcPr>
          <w:p w14:paraId="1D2118F8">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lang w:val="en-US" w:eastAsia="zh-CN"/>
              </w:rPr>
            </w:pPr>
            <w:r>
              <w:rPr>
                <w:rFonts w:hint="default" w:ascii="Times New Roman" w:hAnsi="Times New Roman" w:eastAsia="宋体" w:cs="Times New Roman"/>
                <w:b/>
                <w:bCs/>
                <w:smallCaps w:val="0"/>
                <w:color w:val="auto"/>
                <w:spacing w:val="0"/>
                <w:kern w:val="0"/>
                <w:position w:val="0"/>
                <w:szCs w:val="24"/>
                <w:lang w:val="en-US" w:eastAsia="zh-CN"/>
              </w:rPr>
              <w:t>大气环境</w:t>
            </w:r>
          </w:p>
        </w:tc>
        <w:tc>
          <w:tcPr>
            <w:tcW w:w="802" w:type="dxa"/>
            <w:vMerge w:val="restart"/>
            <w:tcBorders>
              <w:top w:val="single" w:color="auto" w:sz="4" w:space="0"/>
            </w:tcBorders>
            <w:noWrap w:val="0"/>
            <w:vAlign w:val="center"/>
          </w:tcPr>
          <w:p w14:paraId="61A7EAE7">
            <w:pPr>
              <w:pStyle w:val="16"/>
              <w:adjustRightInd w:val="0"/>
              <w:snapToGrid w:val="0"/>
              <w:spacing w:before="0" w:beforeAutospacing="0" w:after="0" w:afterAutospacing="0" w:line="360" w:lineRule="exact"/>
              <w:jc w:val="center"/>
              <w:rPr>
                <w:rFonts w:hint="default" w:ascii="Times New Roman" w:hAnsi="Times New Roman" w:eastAsia="宋体" w:cs="Times New Roman"/>
                <w:bCs/>
                <w:smallCaps w:val="0"/>
                <w:color w:val="auto"/>
                <w:spacing w:val="0"/>
                <w:kern w:val="0"/>
                <w:position w:val="0"/>
                <w:szCs w:val="24"/>
                <w:lang w:val="en-US" w:eastAsia="zh-CN"/>
              </w:rPr>
            </w:pPr>
            <w:r>
              <w:rPr>
                <w:rFonts w:hint="default" w:ascii="Times New Roman" w:hAnsi="Times New Roman" w:eastAsia="宋体" w:cs="Times New Roman"/>
                <w:bCs/>
                <w:smallCaps w:val="0"/>
                <w:color w:val="auto"/>
                <w:spacing w:val="0"/>
                <w:kern w:val="0"/>
                <w:position w:val="0"/>
                <w:szCs w:val="24"/>
                <w:lang w:val="en-US" w:eastAsia="zh-CN"/>
              </w:rPr>
              <w:t>无组织</w:t>
            </w:r>
          </w:p>
        </w:tc>
        <w:tc>
          <w:tcPr>
            <w:tcW w:w="802" w:type="dxa"/>
            <w:tcBorders>
              <w:top w:val="single" w:color="auto" w:sz="4" w:space="0"/>
            </w:tcBorders>
            <w:noWrap w:val="0"/>
            <w:vAlign w:val="center"/>
          </w:tcPr>
          <w:p w14:paraId="7B837F12">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切割</w:t>
            </w:r>
          </w:p>
        </w:tc>
        <w:tc>
          <w:tcPr>
            <w:tcW w:w="1458" w:type="dxa"/>
            <w:tcBorders>
              <w:top w:val="single" w:color="auto" w:sz="4" w:space="0"/>
              <w:bottom w:val="single" w:color="auto" w:sz="4" w:space="0"/>
            </w:tcBorders>
            <w:noWrap w:val="0"/>
            <w:vAlign w:val="center"/>
          </w:tcPr>
          <w:p w14:paraId="7379E83A">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颗粒物</w:t>
            </w:r>
          </w:p>
        </w:tc>
        <w:tc>
          <w:tcPr>
            <w:tcW w:w="1675" w:type="dxa"/>
            <w:tcBorders>
              <w:top w:val="single" w:color="auto" w:sz="4" w:space="0"/>
            </w:tcBorders>
            <w:noWrap w:val="0"/>
            <w:vAlign w:val="center"/>
          </w:tcPr>
          <w:p w14:paraId="362F071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eastAsia" w:cs="Times New Roman"/>
                <w:smallCaps w:val="0"/>
                <w:color w:val="auto"/>
                <w:spacing w:val="0"/>
                <w:kern w:val="0"/>
                <w:position w:val="0"/>
                <w:sz w:val="24"/>
                <w:szCs w:val="24"/>
                <w:lang w:val="en-US" w:eastAsia="zh-CN" w:bidi="ar-SA"/>
              </w:rPr>
              <w:t>除尘器</w:t>
            </w:r>
          </w:p>
        </w:tc>
        <w:tc>
          <w:tcPr>
            <w:tcW w:w="2975" w:type="dxa"/>
            <w:vMerge w:val="restart"/>
            <w:tcBorders>
              <w:top w:val="single" w:color="auto" w:sz="4" w:space="0"/>
              <w:right w:val="single" w:color="auto" w:sz="12" w:space="0"/>
            </w:tcBorders>
            <w:noWrap w:val="0"/>
            <w:vAlign w:val="center"/>
          </w:tcPr>
          <w:p w14:paraId="223A6910">
            <w:pPr>
              <w:pStyle w:val="29"/>
              <w:spacing w:line="240" w:lineRule="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《大气污染物综合排放标准》（DB32/4041-2021）</w:t>
            </w:r>
          </w:p>
        </w:tc>
      </w:tr>
      <w:tr w14:paraId="7F8B0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vMerge w:val="continue"/>
            <w:tcBorders>
              <w:left w:val="single" w:color="auto" w:sz="12" w:space="0"/>
            </w:tcBorders>
            <w:noWrap w:val="0"/>
            <w:vAlign w:val="center"/>
          </w:tcPr>
          <w:p w14:paraId="1280A454">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lang w:val="en-US" w:eastAsia="zh-CN"/>
              </w:rPr>
            </w:pPr>
          </w:p>
        </w:tc>
        <w:tc>
          <w:tcPr>
            <w:tcW w:w="802" w:type="dxa"/>
            <w:vMerge w:val="continue"/>
            <w:noWrap w:val="0"/>
            <w:vAlign w:val="center"/>
          </w:tcPr>
          <w:p w14:paraId="2B391A59">
            <w:pPr>
              <w:pStyle w:val="16"/>
              <w:adjustRightInd w:val="0"/>
              <w:snapToGrid w:val="0"/>
              <w:spacing w:before="0" w:beforeAutospacing="0" w:after="0" w:afterAutospacing="0" w:line="360" w:lineRule="exact"/>
              <w:jc w:val="center"/>
              <w:rPr>
                <w:rFonts w:hint="default" w:ascii="Times New Roman" w:hAnsi="Times New Roman" w:eastAsia="宋体" w:cs="Times New Roman"/>
                <w:bCs/>
                <w:smallCaps w:val="0"/>
                <w:color w:val="auto"/>
                <w:spacing w:val="0"/>
                <w:kern w:val="0"/>
                <w:position w:val="0"/>
                <w:szCs w:val="24"/>
                <w:lang w:val="en-US" w:eastAsia="zh-CN"/>
              </w:rPr>
            </w:pPr>
          </w:p>
        </w:tc>
        <w:tc>
          <w:tcPr>
            <w:tcW w:w="802" w:type="dxa"/>
            <w:tcBorders>
              <w:top w:val="single" w:color="auto" w:sz="4" w:space="0"/>
            </w:tcBorders>
            <w:noWrap w:val="0"/>
            <w:vAlign w:val="center"/>
          </w:tcPr>
          <w:p w14:paraId="5563E35A">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焊接</w:t>
            </w:r>
          </w:p>
        </w:tc>
        <w:tc>
          <w:tcPr>
            <w:tcW w:w="1458" w:type="dxa"/>
            <w:tcBorders>
              <w:top w:val="single" w:color="auto" w:sz="4" w:space="0"/>
              <w:bottom w:val="single" w:color="auto" w:sz="4" w:space="0"/>
            </w:tcBorders>
            <w:noWrap w:val="0"/>
            <w:vAlign w:val="center"/>
          </w:tcPr>
          <w:p w14:paraId="4C45E1DD">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颗粒物</w:t>
            </w:r>
          </w:p>
        </w:tc>
        <w:tc>
          <w:tcPr>
            <w:tcW w:w="1675" w:type="dxa"/>
            <w:tcBorders>
              <w:top w:val="single" w:color="auto" w:sz="4" w:space="0"/>
            </w:tcBorders>
            <w:noWrap w:val="0"/>
            <w:vAlign w:val="center"/>
          </w:tcPr>
          <w:p w14:paraId="1D98A99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移动式焊接烟尘净化器</w:t>
            </w:r>
          </w:p>
        </w:tc>
        <w:tc>
          <w:tcPr>
            <w:tcW w:w="2975" w:type="dxa"/>
            <w:vMerge w:val="continue"/>
            <w:tcBorders>
              <w:right w:val="single" w:color="auto" w:sz="12" w:space="0"/>
            </w:tcBorders>
            <w:noWrap w:val="0"/>
            <w:vAlign w:val="center"/>
          </w:tcPr>
          <w:p w14:paraId="4629ECFC">
            <w:pPr>
              <w:pStyle w:val="29"/>
              <w:spacing w:line="240" w:lineRule="auto"/>
              <w:rPr>
                <w:rFonts w:hint="default" w:ascii="Times New Roman" w:hAnsi="Times New Roman" w:eastAsia="宋体" w:cs="Times New Roman"/>
                <w:smallCaps w:val="0"/>
                <w:color w:val="auto"/>
                <w:spacing w:val="0"/>
                <w:kern w:val="0"/>
                <w:position w:val="0"/>
                <w:sz w:val="24"/>
                <w:lang w:val="en-US" w:eastAsia="zh-CN"/>
              </w:rPr>
            </w:pPr>
          </w:p>
        </w:tc>
      </w:tr>
      <w:tr w14:paraId="1EFA1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vMerge w:val="continue"/>
            <w:tcBorders>
              <w:left w:val="single" w:color="auto" w:sz="12" w:space="0"/>
            </w:tcBorders>
            <w:noWrap w:val="0"/>
            <w:vAlign w:val="center"/>
          </w:tcPr>
          <w:p w14:paraId="63735884">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lang w:val="en-US" w:eastAsia="zh-CN"/>
              </w:rPr>
            </w:pPr>
          </w:p>
        </w:tc>
        <w:tc>
          <w:tcPr>
            <w:tcW w:w="802" w:type="dxa"/>
            <w:vMerge w:val="continue"/>
            <w:noWrap w:val="0"/>
            <w:vAlign w:val="center"/>
          </w:tcPr>
          <w:p w14:paraId="06F7ABB2">
            <w:pPr>
              <w:pStyle w:val="16"/>
              <w:adjustRightInd w:val="0"/>
              <w:snapToGrid w:val="0"/>
              <w:spacing w:before="0" w:beforeAutospacing="0" w:after="0" w:afterAutospacing="0" w:line="360" w:lineRule="exact"/>
              <w:jc w:val="center"/>
              <w:rPr>
                <w:rFonts w:hint="default" w:ascii="Times New Roman" w:hAnsi="Times New Roman" w:eastAsia="宋体" w:cs="Times New Roman"/>
                <w:bCs/>
                <w:smallCaps w:val="0"/>
                <w:color w:val="auto"/>
                <w:spacing w:val="0"/>
                <w:kern w:val="0"/>
                <w:position w:val="0"/>
                <w:szCs w:val="24"/>
                <w:lang w:val="en-US" w:eastAsia="zh-CN"/>
              </w:rPr>
            </w:pPr>
          </w:p>
        </w:tc>
        <w:tc>
          <w:tcPr>
            <w:tcW w:w="802" w:type="dxa"/>
            <w:tcBorders>
              <w:top w:val="single" w:color="auto" w:sz="4" w:space="0"/>
            </w:tcBorders>
            <w:noWrap w:val="0"/>
            <w:vAlign w:val="center"/>
          </w:tcPr>
          <w:p w14:paraId="20759636">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印刷编码</w:t>
            </w:r>
          </w:p>
        </w:tc>
        <w:tc>
          <w:tcPr>
            <w:tcW w:w="1458" w:type="dxa"/>
            <w:tcBorders>
              <w:top w:val="single" w:color="auto" w:sz="4" w:space="0"/>
              <w:bottom w:val="single" w:color="auto" w:sz="4" w:space="0"/>
            </w:tcBorders>
            <w:noWrap w:val="0"/>
            <w:vAlign w:val="center"/>
          </w:tcPr>
          <w:p w14:paraId="4B8208B8">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非甲烷总烃</w:t>
            </w:r>
          </w:p>
        </w:tc>
        <w:tc>
          <w:tcPr>
            <w:tcW w:w="1675" w:type="dxa"/>
            <w:tcBorders>
              <w:top w:val="single" w:color="auto" w:sz="4" w:space="0"/>
            </w:tcBorders>
            <w:noWrap w:val="0"/>
            <w:vAlign w:val="center"/>
          </w:tcPr>
          <w:p w14:paraId="46804543">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加强车间通风</w:t>
            </w:r>
          </w:p>
        </w:tc>
        <w:tc>
          <w:tcPr>
            <w:tcW w:w="2975" w:type="dxa"/>
            <w:vMerge w:val="continue"/>
            <w:tcBorders>
              <w:right w:val="single" w:color="auto" w:sz="12" w:space="0"/>
            </w:tcBorders>
            <w:noWrap w:val="0"/>
            <w:vAlign w:val="center"/>
          </w:tcPr>
          <w:p w14:paraId="522E13D0">
            <w:pPr>
              <w:pStyle w:val="29"/>
              <w:spacing w:line="240" w:lineRule="auto"/>
              <w:rPr>
                <w:rFonts w:hint="default" w:ascii="Times New Roman" w:hAnsi="Times New Roman" w:eastAsia="宋体" w:cs="Times New Roman"/>
                <w:smallCaps w:val="0"/>
                <w:color w:val="auto"/>
                <w:spacing w:val="0"/>
                <w:kern w:val="0"/>
                <w:position w:val="0"/>
                <w:sz w:val="24"/>
                <w:lang w:val="en-US" w:eastAsia="zh-CN"/>
              </w:rPr>
            </w:pPr>
          </w:p>
        </w:tc>
      </w:tr>
      <w:tr w14:paraId="4BF20D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vMerge w:val="continue"/>
            <w:tcBorders>
              <w:left w:val="single" w:color="auto" w:sz="12" w:space="0"/>
            </w:tcBorders>
            <w:noWrap w:val="0"/>
            <w:vAlign w:val="center"/>
          </w:tcPr>
          <w:p w14:paraId="589881AC">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lang w:val="en-US" w:eastAsia="zh-CN"/>
              </w:rPr>
            </w:pPr>
          </w:p>
        </w:tc>
        <w:tc>
          <w:tcPr>
            <w:tcW w:w="1604" w:type="dxa"/>
            <w:gridSpan w:val="2"/>
            <w:noWrap w:val="0"/>
            <w:vAlign w:val="center"/>
          </w:tcPr>
          <w:p w14:paraId="5FDB7035">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bCs/>
                <w:smallCaps w:val="0"/>
                <w:color w:val="auto"/>
                <w:spacing w:val="0"/>
                <w:kern w:val="0"/>
                <w:position w:val="0"/>
                <w:szCs w:val="24"/>
                <w:lang w:val="en-US" w:eastAsia="zh-CN"/>
              </w:rPr>
              <w:t>厂区内</w:t>
            </w:r>
          </w:p>
        </w:tc>
        <w:tc>
          <w:tcPr>
            <w:tcW w:w="1458" w:type="dxa"/>
            <w:tcBorders>
              <w:top w:val="single" w:color="auto" w:sz="4" w:space="0"/>
              <w:bottom w:val="single" w:color="auto" w:sz="4" w:space="0"/>
            </w:tcBorders>
            <w:noWrap w:val="0"/>
            <w:vAlign w:val="center"/>
          </w:tcPr>
          <w:p w14:paraId="79AE09F4">
            <w:pPr>
              <w:adjustRightInd w:val="0"/>
              <w:snapToGrid w:val="0"/>
              <w:spacing w:line="240" w:lineRule="auto"/>
              <w:ind w:firstLine="0" w:firstLineChars="0"/>
              <w:jc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非甲烷总烃</w:t>
            </w:r>
          </w:p>
        </w:tc>
        <w:tc>
          <w:tcPr>
            <w:tcW w:w="1675" w:type="dxa"/>
            <w:tcBorders>
              <w:top w:val="single" w:color="auto" w:sz="4" w:space="0"/>
            </w:tcBorders>
            <w:noWrap w:val="0"/>
            <w:vAlign w:val="center"/>
          </w:tcPr>
          <w:p w14:paraId="59CEDD4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4"/>
                <w:szCs w:val="24"/>
                <w:lang w:val="en-US" w:eastAsia="zh-CN" w:bidi="ar-SA"/>
              </w:rPr>
            </w:pPr>
            <w:r>
              <w:rPr>
                <w:rFonts w:hint="default" w:ascii="Times New Roman" w:hAnsi="Times New Roman" w:eastAsia="宋体" w:cs="Times New Roman"/>
                <w:smallCaps w:val="0"/>
                <w:color w:val="auto"/>
                <w:spacing w:val="0"/>
                <w:kern w:val="0"/>
                <w:position w:val="0"/>
                <w:sz w:val="24"/>
                <w:szCs w:val="24"/>
                <w:lang w:val="en-US" w:eastAsia="zh-CN" w:bidi="ar-SA"/>
              </w:rPr>
              <w:t>/</w:t>
            </w:r>
          </w:p>
        </w:tc>
        <w:tc>
          <w:tcPr>
            <w:tcW w:w="2975" w:type="dxa"/>
            <w:tcBorders>
              <w:right w:val="single" w:color="auto" w:sz="12" w:space="0"/>
            </w:tcBorders>
            <w:noWrap w:val="0"/>
            <w:vAlign w:val="center"/>
          </w:tcPr>
          <w:p w14:paraId="1054B3E4">
            <w:pPr>
              <w:pStyle w:val="29"/>
              <w:spacing w:line="240" w:lineRule="auto"/>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《印刷工业大气污染物排放标准》（DB32/4438-2022）</w:t>
            </w:r>
          </w:p>
        </w:tc>
      </w:tr>
      <w:tr w14:paraId="275B7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4" w:space="0"/>
              <w:left w:val="single" w:color="auto" w:sz="12" w:space="0"/>
              <w:bottom w:val="single" w:color="auto" w:sz="4" w:space="0"/>
            </w:tcBorders>
            <w:noWrap w:val="0"/>
            <w:vAlign w:val="center"/>
          </w:tcPr>
          <w:p w14:paraId="06EE89DB">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声环境</w:t>
            </w:r>
          </w:p>
        </w:tc>
        <w:tc>
          <w:tcPr>
            <w:tcW w:w="7712" w:type="dxa"/>
            <w:gridSpan w:val="5"/>
            <w:tcBorders>
              <w:top w:val="single" w:color="auto" w:sz="4" w:space="0"/>
              <w:bottom w:val="single" w:color="auto" w:sz="4" w:space="0"/>
              <w:right w:val="single" w:color="auto" w:sz="12" w:space="0"/>
            </w:tcBorders>
            <w:noWrap w:val="0"/>
            <w:vAlign w:val="center"/>
          </w:tcPr>
          <w:p w14:paraId="0D989090">
            <w:pPr>
              <w:pStyle w:val="16"/>
              <w:adjustRightInd w:val="0"/>
              <w:snapToGrid w:val="0"/>
              <w:spacing w:before="0" w:beforeAutospacing="0" w:after="0" w:afterAutospacing="0" w:line="360" w:lineRule="exact"/>
              <w:jc w:val="center"/>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smallCaps w:val="0"/>
                <w:color w:val="auto"/>
                <w:spacing w:val="0"/>
                <w:kern w:val="0"/>
                <w:position w:val="0"/>
                <w:szCs w:val="24"/>
              </w:rPr>
              <w:t>本项目高噪声设备经消声减振、厂房隔声及距离衰减后，东、南、西、北厂界昼噪声贡献值满足《工业企业厂界环境噪声排放标准》（GB12348-2008）中</w:t>
            </w:r>
            <w:r>
              <w:rPr>
                <w:rFonts w:hint="default" w:ascii="Times New Roman" w:hAnsi="Times New Roman" w:eastAsia="宋体" w:cs="Times New Roman"/>
                <w:smallCaps w:val="0"/>
                <w:color w:val="auto"/>
                <w:spacing w:val="0"/>
                <w:kern w:val="0"/>
                <w:position w:val="0"/>
                <w:szCs w:val="24"/>
                <w:lang w:val="en-US" w:eastAsia="zh-CN"/>
              </w:rPr>
              <w:t>2</w:t>
            </w:r>
            <w:r>
              <w:rPr>
                <w:rFonts w:hint="default" w:ascii="Times New Roman" w:hAnsi="Times New Roman" w:eastAsia="宋体" w:cs="Times New Roman"/>
                <w:smallCaps w:val="0"/>
                <w:color w:val="auto"/>
                <w:spacing w:val="0"/>
                <w:kern w:val="0"/>
                <w:position w:val="0"/>
                <w:szCs w:val="24"/>
              </w:rPr>
              <w:t>类标准。因此，本项目噪声排放对周围环境影响较小</w:t>
            </w:r>
          </w:p>
        </w:tc>
      </w:tr>
      <w:tr w14:paraId="4F27B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4" w:space="0"/>
              <w:left w:val="single" w:color="auto" w:sz="12" w:space="0"/>
              <w:bottom w:val="single" w:color="auto" w:sz="4" w:space="0"/>
            </w:tcBorders>
            <w:noWrap w:val="0"/>
            <w:vAlign w:val="center"/>
          </w:tcPr>
          <w:p w14:paraId="307B0D26">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电磁辐射</w:t>
            </w:r>
          </w:p>
        </w:tc>
        <w:tc>
          <w:tcPr>
            <w:tcW w:w="7712" w:type="dxa"/>
            <w:gridSpan w:val="5"/>
            <w:tcBorders>
              <w:top w:val="single" w:color="auto" w:sz="4" w:space="0"/>
              <w:bottom w:val="single" w:color="auto" w:sz="4" w:space="0"/>
              <w:right w:val="single" w:color="auto" w:sz="12" w:space="0"/>
            </w:tcBorders>
            <w:noWrap w:val="0"/>
            <w:vAlign w:val="center"/>
          </w:tcPr>
          <w:p w14:paraId="4C30F0EE">
            <w:pPr>
              <w:pStyle w:val="16"/>
              <w:adjustRightInd w:val="0"/>
              <w:snapToGrid w:val="0"/>
              <w:spacing w:before="0" w:beforeAutospacing="0" w:after="0" w:afterAutospacing="0" w:line="360" w:lineRule="exact"/>
              <w:jc w:val="center"/>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bCs/>
                <w:smallCaps w:val="0"/>
                <w:color w:val="auto"/>
                <w:spacing w:val="0"/>
                <w:kern w:val="0"/>
                <w:position w:val="0"/>
                <w:szCs w:val="24"/>
              </w:rPr>
              <w:t>无</w:t>
            </w:r>
          </w:p>
        </w:tc>
      </w:tr>
      <w:tr w14:paraId="36305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4" w:space="0"/>
              <w:left w:val="single" w:color="auto" w:sz="12" w:space="0"/>
              <w:bottom w:val="single" w:color="auto" w:sz="4" w:space="0"/>
            </w:tcBorders>
            <w:noWrap w:val="0"/>
            <w:vAlign w:val="center"/>
          </w:tcPr>
          <w:p w14:paraId="4CD509C1">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固体废物</w:t>
            </w:r>
          </w:p>
        </w:tc>
        <w:tc>
          <w:tcPr>
            <w:tcW w:w="7712" w:type="dxa"/>
            <w:gridSpan w:val="5"/>
            <w:tcBorders>
              <w:top w:val="single" w:color="auto" w:sz="4" w:space="0"/>
              <w:bottom w:val="single" w:color="auto" w:sz="4" w:space="0"/>
              <w:right w:val="single" w:color="auto" w:sz="12" w:space="0"/>
            </w:tcBorders>
            <w:noWrap w:val="0"/>
            <w:vAlign w:val="center"/>
          </w:tcPr>
          <w:p w14:paraId="1501CD1E">
            <w:pPr>
              <w:pStyle w:val="16"/>
              <w:adjustRightInd w:val="0"/>
              <w:snapToGrid w:val="0"/>
              <w:spacing w:line="360" w:lineRule="exact"/>
              <w:ind w:firstLine="480" w:firstLineChars="200"/>
              <w:jc w:val="both"/>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smallCaps w:val="0"/>
                <w:color w:val="auto"/>
                <w:spacing w:val="0"/>
                <w:kern w:val="0"/>
                <w:position w:val="0"/>
                <w:szCs w:val="24"/>
              </w:rPr>
              <w:t>生活垃圾由环卫部门统一收集处理；金属边角料、焊渣</w:t>
            </w:r>
            <w:r>
              <w:rPr>
                <w:rFonts w:hint="eastAsia" w:ascii="Times New Roman" w:hAnsi="Times New Roman" w:cs="Times New Roman"/>
                <w:smallCaps w:val="0"/>
                <w:color w:val="auto"/>
                <w:spacing w:val="0"/>
                <w:kern w:val="0"/>
                <w:position w:val="0"/>
                <w:szCs w:val="24"/>
                <w:lang w:val="en-US" w:eastAsia="zh-CN"/>
              </w:rPr>
              <w:t>和切割集尘</w:t>
            </w:r>
            <w:r>
              <w:rPr>
                <w:rFonts w:hint="default" w:ascii="Times New Roman" w:hAnsi="Times New Roman" w:eastAsia="宋体" w:cs="Times New Roman"/>
                <w:smallCaps w:val="0"/>
                <w:color w:val="auto"/>
                <w:spacing w:val="0"/>
                <w:kern w:val="0"/>
                <w:position w:val="0"/>
                <w:szCs w:val="24"/>
              </w:rPr>
              <w:t>外售综合利用，废液压油、清洗废液、废包装桶委托有组织单位处置。</w:t>
            </w:r>
          </w:p>
        </w:tc>
      </w:tr>
      <w:tr w14:paraId="60A9B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4" w:space="0"/>
              <w:left w:val="single" w:color="auto" w:sz="12" w:space="0"/>
              <w:bottom w:val="single" w:color="auto" w:sz="4" w:space="0"/>
            </w:tcBorders>
            <w:noWrap w:val="0"/>
            <w:vAlign w:val="center"/>
          </w:tcPr>
          <w:p w14:paraId="4F986397">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土壤及地下水污染防治措施</w:t>
            </w:r>
          </w:p>
        </w:tc>
        <w:tc>
          <w:tcPr>
            <w:tcW w:w="7712" w:type="dxa"/>
            <w:gridSpan w:val="5"/>
            <w:tcBorders>
              <w:top w:val="single" w:color="auto" w:sz="4" w:space="0"/>
              <w:bottom w:val="single" w:color="auto" w:sz="4" w:space="0"/>
              <w:right w:val="single" w:color="auto" w:sz="12" w:space="0"/>
            </w:tcBorders>
            <w:noWrap w:val="0"/>
            <w:vAlign w:val="center"/>
          </w:tcPr>
          <w:p w14:paraId="0EA134A3">
            <w:pPr>
              <w:pStyle w:val="16"/>
              <w:adjustRightInd w:val="0"/>
              <w:snapToGrid w:val="0"/>
              <w:spacing w:before="0" w:beforeAutospacing="0" w:after="0" w:afterAutospacing="0" w:line="360" w:lineRule="exact"/>
              <w:ind w:firstLine="480" w:firstLineChars="200"/>
              <w:jc w:val="both"/>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smallCaps w:val="0"/>
                <w:color w:val="auto"/>
                <w:spacing w:val="0"/>
                <w:kern w:val="0"/>
                <w:position w:val="0"/>
                <w:szCs w:val="24"/>
              </w:rPr>
              <w:t>本项目正常生产时车间的跑冒滴漏不会下渗到地下水中。室外管道和阀门的跑冒滴漏水量较小。且本项目用地现状为工业用地，确保各项防渗措施得以落实、加强维护和厂区环境管理的前提下，正常工况下对地下水基本无渗漏，污染较小。</w:t>
            </w:r>
          </w:p>
        </w:tc>
      </w:tr>
      <w:tr w14:paraId="15895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4" w:space="0"/>
              <w:left w:val="single" w:color="auto" w:sz="12" w:space="0"/>
              <w:bottom w:val="single" w:color="auto" w:sz="4" w:space="0"/>
            </w:tcBorders>
            <w:noWrap w:val="0"/>
            <w:vAlign w:val="center"/>
          </w:tcPr>
          <w:p w14:paraId="00C378B5">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生态保护</w:t>
            </w:r>
          </w:p>
          <w:p w14:paraId="3333751F">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措施</w:t>
            </w:r>
          </w:p>
        </w:tc>
        <w:tc>
          <w:tcPr>
            <w:tcW w:w="7712" w:type="dxa"/>
            <w:gridSpan w:val="5"/>
            <w:tcBorders>
              <w:top w:val="single" w:color="auto" w:sz="4" w:space="0"/>
              <w:bottom w:val="single" w:color="auto" w:sz="4" w:space="0"/>
              <w:right w:val="single" w:color="auto" w:sz="12" w:space="0"/>
            </w:tcBorders>
            <w:noWrap w:val="0"/>
            <w:vAlign w:val="center"/>
          </w:tcPr>
          <w:p w14:paraId="692114B2">
            <w:pPr>
              <w:pStyle w:val="16"/>
              <w:adjustRightInd w:val="0"/>
              <w:snapToGrid w:val="0"/>
              <w:spacing w:before="0" w:beforeAutospacing="0" w:after="0" w:afterAutospacing="0" w:line="360" w:lineRule="exact"/>
              <w:jc w:val="center"/>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smallCaps w:val="0"/>
                <w:color w:val="auto"/>
                <w:spacing w:val="0"/>
                <w:kern w:val="0"/>
                <w:position w:val="0"/>
                <w:szCs w:val="24"/>
              </w:rPr>
              <w:t>对照《江苏省生态红线区域保护规划》、《江苏省国家级生态保护红线规划》，本项目不处于禁止及限制开发范围内，而本项目产生的生活污水</w:t>
            </w:r>
            <w:r>
              <w:rPr>
                <w:rFonts w:hint="default" w:ascii="Times New Roman" w:hAnsi="Times New Roman" w:eastAsia="宋体" w:cs="Times New Roman"/>
                <w:smallCaps w:val="0"/>
                <w:color w:val="auto"/>
                <w:spacing w:val="0"/>
                <w:kern w:val="0"/>
                <w:position w:val="0"/>
                <w:szCs w:val="24"/>
                <w:lang w:val="en-US" w:eastAsia="zh-CN"/>
              </w:rPr>
              <w:t>接管至</w:t>
            </w:r>
            <w:r>
              <w:rPr>
                <w:rFonts w:hint="default" w:ascii="Times New Roman" w:hAnsi="Times New Roman" w:eastAsia="宋体" w:cs="Times New Roman"/>
                <w:smallCaps w:val="0"/>
                <w:color w:val="auto"/>
                <w:spacing w:val="0"/>
                <w:kern w:val="0"/>
                <w:position w:val="0"/>
                <w:szCs w:val="24"/>
              </w:rPr>
              <w:t>进</w:t>
            </w:r>
            <w:r>
              <w:rPr>
                <w:rFonts w:hint="default" w:ascii="Times New Roman" w:hAnsi="Times New Roman" w:eastAsia="宋体" w:cs="Times New Roman"/>
                <w:smallCaps w:val="0"/>
                <w:color w:val="auto"/>
                <w:spacing w:val="0"/>
                <w:kern w:val="0"/>
                <w:position w:val="0"/>
                <w:szCs w:val="24"/>
                <w:lang w:eastAsia="zh-CN"/>
              </w:rPr>
              <w:t>金坛第二污水处理厂</w:t>
            </w:r>
            <w:r>
              <w:rPr>
                <w:rFonts w:hint="default" w:ascii="Times New Roman" w:hAnsi="Times New Roman" w:eastAsia="宋体" w:cs="Times New Roman"/>
                <w:smallCaps w:val="0"/>
                <w:color w:val="auto"/>
                <w:spacing w:val="0"/>
                <w:kern w:val="0"/>
                <w:position w:val="0"/>
                <w:szCs w:val="24"/>
              </w:rPr>
              <w:t>处理，不直接排入外环境水体。因此，本项目对生态无影响。</w:t>
            </w:r>
          </w:p>
        </w:tc>
      </w:tr>
      <w:tr w14:paraId="11BF3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4" w:space="0"/>
              <w:left w:val="single" w:color="auto" w:sz="12" w:space="0"/>
              <w:bottom w:val="single" w:color="auto" w:sz="4" w:space="0"/>
            </w:tcBorders>
            <w:noWrap w:val="0"/>
            <w:vAlign w:val="center"/>
          </w:tcPr>
          <w:p w14:paraId="6F89A333">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环境风险</w:t>
            </w:r>
          </w:p>
          <w:p w14:paraId="414E0882">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防范措施</w:t>
            </w:r>
          </w:p>
        </w:tc>
        <w:tc>
          <w:tcPr>
            <w:tcW w:w="7712" w:type="dxa"/>
            <w:gridSpan w:val="5"/>
            <w:tcBorders>
              <w:top w:val="single" w:color="auto" w:sz="4" w:space="0"/>
              <w:bottom w:val="single" w:color="auto" w:sz="4" w:space="0"/>
              <w:right w:val="single" w:color="auto" w:sz="12" w:space="0"/>
            </w:tcBorders>
            <w:noWrap w:val="0"/>
            <w:vAlign w:val="center"/>
          </w:tcPr>
          <w:p w14:paraId="0301C7E5">
            <w:pPr>
              <w:pStyle w:val="16"/>
              <w:adjustRightInd w:val="0"/>
              <w:snapToGrid w:val="0"/>
              <w:spacing w:before="0" w:beforeAutospacing="0" w:after="0" w:afterAutospacing="0" w:line="360" w:lineRule="exact"/>
              <w:jc w:val="both"/>
              <w:rPr>
                <w:rFonts w:hint="default" w:ascii="Times New Roman" w:hAnsi="Times New Roman" w:eastAsia="宋体" w:cs="Times New Roman"/>
                <w:bCs/>
                <w:smallCaps w:val="0"/>
                <w:color w:val="auto"/>
                <w:spacing w:val="0"/>
                <w:kern w:val="0"/>
                <w:position w:val="0"/>
                <w:szCs w:val="24"/>
              </w:rPr>
            </w:pPr>
            <w:r>
              <w:rPr>
                <w:rFonts w:hint="default" w:ascii="Times New Roman" w:hAnsi="Times New Roman" w:eastAsia="宋体" w:cs="Times New Roman"/>
                <w:smallCaps w:val="0"/>
                <w:color w:val="auto"/>
                <w:spacing w:val="0"/>
                <w:kern w:val="0"/>
                <w:position w:val="0"/>
                <w:szCs w:val="24"/>
              </w:rPr>
              <w:t>企业在做好相应的风险防范措施的前提下，风险可防控。</w:t>
            </w:r>
          </w:p>
        </w:tc>
      </w:tr>
      <w:tr w14:paraId="5A4B8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302" w:type="dxa"/>
            <w:tcBorders>
              <w:top w:val="single" w:color="auto" w:sz="4" w:space="0"/>
              <w:left w:val="single" w:color="auto" w:sz="12" w:space="0"/>
              <w:bottom w:val="single" w:color="auto" w:sz="12" w:space="0"/>
            </w:tcBorders>
            <w:noWrap w:val="0"/>
            <w:vAlign w:val="center"/>
          </w:tcPr>
          <w:p w14:paraId="539B018F">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其他环境</w:t>
            </w:r>
          </w:p>
          <w:p w14:paraId="68B2C049">
            <w:pPr>
              <w:pStyle w:val="16"/>
              <w:adjustRightInd w:val="0"/>
              <w:snapToGrid w:val="0"/>
              <w:spacing w:before="0" w:beforeAutospacing="0" w:after="0" w:afterAutospacing="0" w:line="360" w:lineRule="exact"/>
              <w:jc w:val="center"/>
              <w:rPr>
                <w:rFonts w:hint="default" w:ascii="Times New Roman" w:hAnsi="Times New Roman" w:eastAsia="宋体" w:cs="Times New Roman"/>
                <w:b/>
                <w:bCs/>
                <w:smallCaps w:val="0"/>
                <w:color w:val="auto"/>
                <w:spacing w:val="0"/>
                <w:kern w:val="0"/>
                <w:position w:val="0"/>
                <w:szCs w:val="24"/>
              </w:rPr>
            </w:pPr>
            <w:r>
              <w:rPr>
                <w:rFonts w:hint="default" w:ascii="Times New Roman" w:hAnsi="Times New Roman" w:eastAsia="宋体" w:cs="Times New Roman"/>
                <w:b/>
                <w:bCs/>
                <w:smallCaps w:val="0"/>
                <w:color w:val="auto"/>
                <w:spacing w:val="0"/>
                <w:kern w:val="0"/>
                <w:position w:val="0"/>
                <w:szCs w:val="24"/>
              </w:rPr>
              <w:t>管理要求</w:t>
            </w:r>
          </w:p>
        </w:tc>
        <w:tc>
          <w:tcPr>
            <w:tcW w:w="7712" w:type="dxa"/>
            <w:gridSpan w:val="5"/>
            <w:tcBorders>
              <w:top w:val="single" w:color="auto" w:sz="4" w:space="0"/>
              <w:bottom w:val="single" w:color="auto" w:sz="12" w:space="0"/>
              <w:right w:val="single" w:color="auto" w:sz="12" w:space="0"/>
            </w:tcBorders>
            <w:noWrap w:val="0"/>
            <w:vAlign w:val="center"/>
          </w:tcPr>
          <w:p w14:paraId="363FA073">
            <w:pPr>
              <w:pStyle w:val="46"/>
              <w:spacing w:line="360" w:lineRule="exact"/>
              <w:ind w:left="-53" w:leftChars="-25" w:right="-53" w:rightChars="-25" w:firstLine="480" w:firstLineChars="200"/>
              <w:jc w:val="left"/>
              <w:rPr>
                <w:rFonts w:hint="default" w:ascii="Times New Roman" w:hAnsi="Times New Roman" w:eastAsia="宋体" w:cs="Times New Roman"/>
                <w:smallCaps w:val="0"/>
                <w:color w:val="auto"/>
                <w:spacing w:val="0"/>
                <w:kern w:val="0"/>
                <w:position w:val="0"/>
                <w:sz w:val="24"/>
                <w:szCs w:val="24"/>
              </w:rPr>
            </w:pPr>
            <w:r>
              <w:rPr>
                <w:rFonts w:hint="default" w:ascii="Times New Roman" w:hAnsi="Times New Roman" w:eastAsia="宋体" w:cs="Times New Roman"/>
                <w:smallCaps w:val="0"/>
                <w:color w:val="auto"/>
                <w:spacing w:val="0"/>
                <w:kern w:val="0"/>
                <w:position w:val="0"/>
                <w:sz w:val="24"/>
                <w:szCs w:val="24"/>
              </w:rPr>
              <w:t>/</w:t>
            </w:r>
          </w:p>
          <w:p w14:paraId="2173C702">
            <w:pPr>
              <w:pStyle w:val="46"/>
              <w:spacing w:line="360" w:lineRule="exact"/>
              <w:ind w:left="-53" w:leftChars="-25" w:right="-53" w:rightChars="-25" w:firstLine="480" w:firstLineChars="200"/>
              <w:jc w:val="left"/>
              <w:rPr>
                <w:rFonts w:hint="default" w:ascii="Times New Roman" w:hAnsi="Times New Roman" w:eastAsia="宋体" w:cs="Times New Roman"/>
                <w:smallCaps w:val="0"/>
                <w:color w:val="auto"/>
                <w:spacing w:val="0"/>
                <w:kern w:val="0"/>
                <w:position w:val="0"/>
                <w:sz w:val="24"/>
                <w:szCs w:val="24"/>
              </w:rPr>
            </w:pPr>
          </w:p>
          <w:p w14:paraId="6B7B6C26">
            <w:pPr>
              <w:pStyle w:val="46"/>
              <w:spacing w:line="360" w:lineRule="exact"/>
              <w:ind w:left="-53" w:leftChars="-25" w:right="-53" w:rightChars="-25" w:firstLine="480" w:firstLineChars="200"/>
              <w:jc w:val="left"/>
              <w:rPr>
                <w:rFonts w:hint="default" w:ascii="Times New Roman" w:hAnsi="Times New Roman" w:eastAsia="宋体" w:cs="Times New Roman"/>
                <w:smallCaps w:val="0"/>
                <w:color w:val="auto"/>
                <w:spacing w:val="0"/>
                <w:kern w:val="0"/>
                <w:position w:val="0"/>
                <w:sz w:val="24"/>
                <w:szCs w:val="24"/>
              </w:rPr>
            </w:pPr>
          </w:p>
          <w:p w14:paraId="5EDF8F33">
            <w:pPr>
              <w:pStyle w:val="46"/>
              <w:spacing w:line="360" w:lineRule="exact"/>
              <w:ind w:right="-53" w:rightChars="-25"/>
              <w:jc w:val="left"/>
              <w:rPr>
                <w:rFonts w:hint="default" w:ascii="Times New Roman" w:hAnsi="Times New Roman" w:eastAsia="宋体" w:cs="Times New Roman"/>
                <w:smallCaps w:val="0"/>
                <w:color w:val="auto"/>
                <w:spacing w:val="0"/>
                <w:kern w:val="0"/>
                <w:position w:val="0"/>
                <w:sz w:val="24"/>
                <w:szCs w:val="24"/>
              </w:rPr>
            </w:pPr>
          </w:p>
        </w:tc>
      </w:tr>
    </w:tbl>
    <w:p w14:paraId="6B99D6ED">
      <w:pPr>
        <w:pStyle w:val="16"/>
        <w:spacing w:before="60" w:after="60"/>
        <w:jc w:val="center"/>
        <w:outlineLvl w:val="0"/>
        <w:rPr>
          <w:rFonts w:hint="default" w:ascii="Times New Roman" w:hAnsi="Times New Roman" w:eastAsia="宋体" w:cs="Times New Roman"/>
          <w:smallCaps w:val="0"/>
          <w:snapToGrid w:val="0"/>
          <w:color w:val="auto"/>
          <w:spacing w:val="0"/>
          <w:kern w:val="0"/>
          <w:position w:val="0"/>
          <w:sz w:val="30"/>
          <w:szCs w:val="30"/>
        </w:rPr>
      </w:pPr>
      <w:r>
        <w:rPr>
          <w:rFonts w:hint="default" w:ascii="Times New Roman" w:hAnsi="Times New Roman" w:eastAsia="宋体" w:cs="Times New Roman"/>
          <w:smallCaps w:val="0"/>
          <w:snapToGrid w:val="0"/>
          <w:color w:val="auto"/>
          <w:spacing w:val="0"/>
          <w:kern w:val="0"/>
          <w:position w:val="0"/>
        </w:rPr>
        <w:br w:type="page"/>
      </w:r>
      <w:r>
        <w:rPr>
          <w:rFonts w:hint="default" w:ascii="Times New Roman" w:hAnsi="Times New Roman" w:eastAsia="宋体" w:cs="Times New Roman"/>
          <w:smallCaps w:val="0"/>
          <w:snapToGrid w:val="0"/>
          <w:color w:val="auto"/>
          <w:spacing w:val="0"/>
          <w:kern w:val="0"/>
          <w:position w:val="0"/>
          <w:sz w:val="30"/>
          <w:szCs w:val="30"/>
        </w:rPr>
        <w:t>六、结论</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60"/>
      </w:tblGrid>
      <w:tr w14:paraId="3A7874C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991" w:hRule="atLeast"/>
          <w:jc w:val="center"/>
        </w:trPr>
        <w:tc>
          <w:tcPr>
            <w:tcW w:w="8865" w:type="dxa"/>
            <w:noWrap w:val="0"/>
            <w:vAlign w:val="top"/>
          </w:tcPr>
          <w:p w14:paraId="171A02BD">
            <w:pPr>
              <w:pStyle w:val="47"/>
              <w:spacing w:line="500" w:lineRule="exact"/>
              <w:ind w:firstLine="480"/>
              <w:rPr>
                <w:rFonts w:hint="default" w:ascii="Times New Roman" w:hAnsi="Times New Roman" w:eastAsia="宋体" w:cs="Times New Roman"/>
                <w:smallCaps w:val="0"/>
                <w:color w:val="auto"/>
                <w:spacing w:val="0"/>
                <w:kern w:val="0"/>
                <w:position w:val="0"/>
                <w:szCs w:val="21"/>
                <w:lang w:eastAsia="zh-CN"/>
              </w:rPr>
            </w:pPr>
            <w:r>
              <w:rPr>
                <w:rFonts w:hint="default" w:ascii="Times New Roman" w:hAnsi="Times New Roman" w:eastAsia="宋体" w:cs="Times New Roman"/>
                <w:smallCaps w:val="0"/>
                <w:color w:val="auto"/>
                <w:spacing w:val="0"/>
                <w:kern w:val="0"/>
                <w:position w:val="0"/>
              </w:rPr>
              <w:t>本项目</w:t>
            </w:r>
            <w:r>
              <w:rPr>
                <w:rFonts w:hint="default" w:ascii="Times New Roman" w:hAnsi="Times New Roman" w:eastAsia="宋体" w:cs="Times New Roman"/>
                <w:smallCaps w:val="0"/>
                <w:color w:val="auto"/>
                <w:spacing w:val="0"/>
                <w:kern w:val="0"/>
                <w:position w:val="0"/>
                <w:lang w:val="en-US" w:eastAsia="zh-CN"/>
              </w:rPr>
              <w:t>主要从事</w:t>
            </w:r>
            <w:r>
              <w:rPr>
                <w:rFonts w:hint="default" w:ascii="Times New Roman" w:hAnsi="Times New Roman" w:eastAsia="宋体" w:cs="Times New Roman"/>
                <w:smallCaps w:val="0"/>
                <w:color w:val="auto"/>
                <w:spacing w:val="0"/>
                <w:kern w:val="0"/>
                <w:position w:val="0"/>
                <w:szCs w:val="21"/>
                <w:lang w:eastAsia="zh-CN"/>
              </w:rPr>
              <w:t>新建年产2万套信报箱生产项目，项目类型及其选址、布局、规模等符合环境保护法律法规和相关环保政策，符合国家和地方产业政策要求；项目符合生态环境保护规划等要求；项目拟采取的污染防治措施合理可行，能满足污染物稳定达标排放，所在地的现有环境功能不下降；项目建成后各类污染物可以在区域内实现平衡，对周围环境影响较小；在做好各项风险防范及应急措施的前提下本项目的环境风险在可接受水平内。</w:t>
            </w:r>
          </w:p>
          <w:p w14:paraId="7EC906C8">
            <w:pPr>
              <w:pStyle w:val="47"/>
              <w:spacing w:line="500" w:lineRule="exact"/>
              <w:ind w:firstLine="480"/>
              <w:rPr>
                <w:rFonts w:hint="default" w:ascii="Times New Roman" w:hAnsi="Times New Roman" w:eastAsia="宋体" w:cs="Times New Roman"/>
                <w:smallCaps w:val="0"/>
                <w:color w:val="auto"/>
                <w:spacing w:val="0"/>
                <w:kern w:val="0"/>
                <w:position w:val="0"/>
              </w:rPr>
            </w:pPr>
            <w:r>
              <w:rPr>
                <w:rFonts w:hint="default" w:ascii="Times New Roman" w:hAnsi="Times New Roman" w:eastAsia="宋体" w:cs="Times New Roman"/>
                <w:smallCaps w:val="0"/>
                <w:color w:val="auto"/>
                <w:spacing w:val="0"/>
                <w:kern w:val="0"/>
                <w:position w:val="0"/>
              </w:rPr>
              <w:t>故本项目在落实本报告表提出的各项环保措施要求，严格执行环保“三同时”的前提下，从环保角度分析，本项目建设具有环境可行性。</w:t>
            </w:r>
          </w:p>
          <w:p w14:paraId="62921E39">
            <w:pPr>
              <w:pStyle w:val="25"/>
              <w:spacing w:before="60" w:after="60"/>
              <w:ind w:firstLine="500"/>
              <w:rPr>
                <w:rFonts w:hint="default" w:ascii="Times New Roman" w:hAnsi="Times New Roman" w:eastAsia="宋体" w:cs="Times New Roman"/>
                <w:smallCaps w:val="0"/>
                <w:color w:val="auto"/>
                <w:spacing w:val="0"/>
                <w:kern w:val="0"/>
                <w:position w:val="0"/>
                <w:lang w:eastAsia="zh-CN"/>
              </w:rPr>
            </w:pPr>
          </w:p>
          <w:p w14:paraId="6A633868">
            <w:pPr>
              <w:pStyle w:val="25"/>
              <w:spacing w:before="60" w:after="60"/>
              <w:ind w:firstLine="500"/>
              <w:rPr>
                <w:rFonts w:hint="default" w:ascii="Times New Roman" w:hAnsi="Times New Roman" w:eastAsia="宋体" w:cs="Times New Roman"/>
                <w:smallCaps w:val="0"/>
                <w:color w:val="auto"/>
                <w:spacing w:val="0"/>
                <w:kern w:val="0"/>
                <w:position w:val="0"/>
              </w:rPr>
            </w:pPr>
          </w:p>
          <w:p w14:paraId="1C1C5A10">
            <w:pPr>
              <w:pStyle w:val="25"/>
              <w:spacing w:before="60" w:after="60"/>
              <w:ind w:firstLine="500"/>
              <w:rPr>
                <w:rFonts w:hint="default" w:ascii="Times New Roman" w:hAnsi="Times New Roman" w:eastAsia="宋体" w:cs="Times New Roman"/>
                <w:smallCaps w:val="0"/>
                <w:color w:val="auto"/>
                <w:spacing w:val="0"/>
                <w:kern w:val="0"/>
                <w:position w:val="0"/>
              </w:rPr>
            </w:pPr>
          </w:p>
          <w:p w14:paraId="7B471185">
            <w:pPr>
              <w:pStyle w:val="25"/>
              <w:spacing w:before="60" w:after="60"/>
              <w:ind w:firstLine="500"/>
              <w:rPr>
                <w:rFonts w:hint="default" w:ascii="Times New Roman" w:hAnsi="Times New Roman" w:eastAsia="宋体" w:cs="Times New Roman"/>
                <w:smallCaps w:val="0"/>
                <w:color w:val="auto"/>
                <w:spacing w:val="0"/>
                <w:kern w:val="0"/>
                <w:position w:val="0"/>
              </w:rPr>
            </w:pPr>
          </w:p>
          <w:p w14:paraId="09653DDF">
            <w:pPr>
              <w:pStyle w:val="25"/>
              <w:spacing w:before="60" w:after="60"/>
              <w:ind w:firstLine="500"/>
              <w:rPr>
                <w:rFonts w:hint="default" w:ascii="Times New Roman" w:hAnsi="Times New Roman" w:eastAsia="宋体" w:cs="Times New Roman"/>
                <w:smallCaps w:val="0"/>
                <w:color w:val="auto"/>
                <w:spacing w:val="0"/>
                <w:kern w:val="0"/>
                <w:position w:val="0"/>
              </w:rPr>
            </w:pPr>
          </w:p>
          <w:p w14:paraId="269BAA6F">
            <w:pPr>
              <w:pStyle w:val="25"/>
              <w:spacing w:before="60" w:after="60"/>
              <w:ind w:firstLine="500"/>
              <w:rPr>
                <w:rFonts w:hint="default" w:ascii="Times New Roman" w:hAnsi="Times New Roman" w:eastAsia="宋体" w:cs="Times New Roman"/>
                <w:smallCaps w:val="0"/>
                <w:color w:val="auto"/>
                <w:spacing w:val="0"/>
                <w:kern w:val="0"/>
                <w:position w:val="0"/>
              </w:rPr>
            </w:pPr>
          </w:p>
          <w:p w14:paraId="4A2523FB">
            <w:pPr>
              <w:pStyle w:val="25"/>
              <w:spacing w:before="60" w:after="60"/>
              <w:ind w:firstLine="500"/>
              <w:rPr>
                <w:rFonts w:hint="default" w:ascii="Times New Roman" w:hAnsi="Times New Roman" w:eastAsia="宋体" w:cs="Times New Roman"/>
                <w:smallCaps w:val="0"/>
                <w:color w:val="auto"/>
                <w:spacing w:val="0"/>
                <w:kern w:val="0"/>
                <w:position w:val="0"/>
              </w:rPr>
            </w:pPr>
          </w:p>
          <w:p w14:paraId="13A17D0A">
            <w:pPr>
              <w:pStyle w:val="25"/>
              <w:spacing w:before="60" w:after="60"/>
              <w:ind w:firstLine="500"/>
              <w:rPr>
                <w:rFonts w:hint="default" w:ascii="Times New Roman" w:hAnsi="Times New Roman" w:eastAsia="宋体" w:cs="Times New Roman"/>
                <w:smallCaps w:val="0"/>
                <w:color w:val="auto"/>
                <w:spacing w:val="0"/>
                <w:kern w:val="0"/>
                <w:position w:val="0"/>
              </w:rPr>
            </w:pPr>
          </w:p>
          <w:p w14:paraId="37A617E3">
            <w:pPr>
              <w:pStyle w:val="25"/>
              <w:spacing w:before="60" w:after="60"/>
              <w:ind w:firstLine="500"/>
              <w:rPr>
                <w:rFonts w:hint="default" w:ascii="Times New Roman" w:hAnsi="Times New Roman" w:eastAsia="宋体" w:cs="Times New Roman"/>
                <w:smallCaps w:val="0"/>
                <w:color w:val="auto"/>
                <w:spacing w:val="0"/>
                <w:kern w:val="0"/>
                <w:position w:val="0"/>
              </w:rPr>
            </w:pPr>
          </w:p>
          <w:p w14:paraId="2DF2FC7A">
            <w:pPr>
              <w:pStyle w:val="25"/>
              <w:spacing w:before="60" w:after="60"/>
              <w:ind w:firstLine="500"/>
              <w:rPr>
                <w:rFonts w:hint="default" w:ascii="Times New Roman" w:hAnsi="Times New Roman" w:eastAsia="宋体" w:cs="Times New Roman"/>
                <w:smallCaps w:val="0"/>
                <w:color w:val="auto"/>
                <w:spacing w:val="0"/>
                <w:kern w:val="0"/>
                <w:position w:val="0"/>
              </w:rPr>
            </w:pPr>
          </w:p>
          <w:p w14:paraId="685DFA77">
            <w:pPr>
              <w:pStyle w:val="25"/>
              <w:spacing w:before="60" w:after="60"/>
              <w:ind w:firstLine="500"/>
              <w:rPr>
                <w:rFonts w:hint="default" w:ascii="Times New Roman" w:hAnsi="Times New Roman" w:eastAsia="宋体" w:cs="Times New Roman"/>
                <w:smallCaps w:val="0"/>
                <w:color w:val="auto"/>
                <w:spacing w:val="0"/>
                <w:kern w:val="0"/>
                <w:position w:val="0"/>
              </w:rPr>
            </w:pPr>
          </w:p>
          <w:p w14:paraId="35587E81">
            <w:pPr>
              <w:pStyle w:val="25"/>
              <w:spacing w:before="60" w:after="60"/>
              <w:ind w:firstLine="500"/>
              <w:rPr>
                <w:rFonts w:hint="default" w:ascii="Times New Roman" w:hAnsi="Times New Roman" w:eastAsia="宋体" w:cs="Times New Roman"/>
                <w:smallCaps w:val="0"/>
                <w:color w:val="auto"/>
                <w:spacing w:val="0"/>
                <w:kern w:val="0"/>
                <w:position w:val="0"/>
              </w:rPr>
            </w:pPr>
          </w:p>
          <w:p w14:paraId="02718781">
            <w:pPr>
              <w:pStyle w:val="25"/>
              <w:spacing w:before="60" w:after="60"/>
              <w:ind w:firstLine="500"/>
              <w:rPr>
                <w:rFonts w:hint="default" w:ascii="Times New Roman" w:hAnsi="Times New Roman" w:eastAsia="宋体" w:cs="Times New Roman"/>
                <w:smallCaps w:val="0"/>
                <w:color w:val="auto"/>
                <w:spacing w:val="0"/>
                <w:kern w:val="0"/>
                <w:position w:val="0"/>
              </w:rPr>
            </w:pPr>
          </w:p>
          <w:p w14:paraId="40020B92">
            <w:pPr>
              <w:pStyle w:val="25"/>
              <w:spacing w:before="60" w:after="60"/>
              <w:ind w:firstLine="500"/>
              <w:rPr>
                <w:rFonts w:hint="default" w:ascii="Times New Roman" w:hAnsi="Times New Roman" w:eastAsia="宋体" w:cs="Times New Roman"/>
                <w:smallCaps w:val="0"/>
                <w:color w:val="auto"/>
                <w:spacing w:val="0"/>
                <w:kern w:val="0"/>
                <w:position w:val="0"/>
              </w:rPr>
            </w:pPr>
          </w:p>
          <w:p w14:paraId="6282CAD3">
            <w:pPr>
              <w:spacing w:before="60" w:after="60" w:line="360" w:lineRule="auto"/>
              <w:rPr>
                <w:rFonts w:hint="default" w:ascii="Times New Roman" w:hAnsi="Times New Roman" w:eastAsia="宋体" w:cs="Times New Roman"/>
                <w:smallCaps w:val="0"/>
                <w:color w:val="auto"/>
                <w:spacing w:val="0"/>
                <w:kern w:val="0"/>
                <w:position w:val="0"/>
                <w:sz w:val="24"/>
              </w:rPr>
            </w:pPr>
          </w:p>
        </w:tc>
      </w:tr>
    </w:tbl>
    <w:p w14:paraId="44EB9A80">
      <w:pPr>
        <w:spacing w:before="60" w:after="60"/>
        <w:ind w:firstLine="440"/>
        <w:rPr>
          <w:rFonts w:hint="default" w:ascii="Times New Roman" w:hAnsi="Times New Roman" w:eastAsia="宋体" w:cs="Times New Roman"/>
          <w:smallCaps w:val="0"/>
          <w:color w:val="auto"/>
          <w:spacing w:val="0"/>
          <w:kern w:val="0"/>
          <w:position w:val="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07B0B56">
      <w:pPr>
        <w:pStyle w:val="16"/>
        <w:adjustRightInd w:val="0"/>
        <w:snapToGrid w:val="0"/>
        <w:spacing w:before="60" w:beforeAutospacing="0" w:after="60" w:afterAutospacing="0"/>
        <w:ind w:firstLine="658"/>
        <w:outlineLvl w:val="0"/>
        <w:rPr>
          <w:rFonts w:hint="default" w:ascii="Times New Roman" w:hAnsi="Times New Roman" w:eastAsia="宋体" w:cs="Times New Roman"/>
          <w:b/>
          <w:smallCaps w:val="0"/>
          <w:snapToGrid w:val="0"/>
          <w:color w:val="auto"/>
          <w:spacing w:val="0"/>
          <w:kern w:val="0"/>
          <w:position w:val="0"/>
          <w:sz w:val="32"/>
          <w:szCs w:val="32"/>
        </w:rPr>
      </w:pPr>
      <w:bookmarkStart w:id="5" w:name="_Toc69390225"/>
      <w:r>
        <w:rPr>
          <w:rFonts w:hint="default" w:ascii="Times New Roman" w:hAnsi="Times New Roman" w:eastAsia="宋体" w:cs="Times New Roman"/>
          <w:b/>
          <w:smallCaps w:val="0"/>
          <w:snapToGrid w:val="0"/>
          <w:color w:val="auto"/>
          <w:spacing w:val="0"/>
          <w:kern w:val="0"/>
          <w:position w:val="0"/>
          <w:sz w:val="32"/>
          <w:szCs w:val="32"/>
        </w:rPr>
        <w:t>附表</w:t>
      </w:r>
      <w:bookmarkEnd w:id="5"/>
    </w:p>
    <w:p w14:paraId="7CB2D50A">
      <w:pPr>
        <w:pStyle w:val="25"/>
        <w:spacing w:before="60" w:after="60"/>
        <w:ind w:firstLine="582"/>
        <w:jc w:val="center"/>
        <w:rPr>
          <w:rFonts w:hint="default" w:ascii="Times New Roman" w:hAnsi="Times New Roman" w:eastAsia="宋体" w:cs="Times New Roman"/>
          <w:b/>
          <w:smallCaps w:val="0"/>
          <w:snapToGrid w:val="0"/>
          <w:color w:val="auto"/>
          <w:spacing w:val="0"/>
          <w:kern w:val="0"/>
          <w:position w:val="0"/>
          <w:sz w:val="28"/>
          <w:szCs w:val="28"/>
        </w:rPr>
      </w:pPr>
      <w:r>
        <w:rPr>
          <w:rFonts w:hint="default" w:ascii="Times New Roman" w:hAnsi="Times New Roman" w:eastAsia="宋体" w:cs="Times New Roman"/>
          <w:b/>
          <w:smallCaps w:val="0"/>
          <w:snapToGrid w:val="0"/>
          <w:color w:val="auto"/>
          <w:spacing w:val="0"/>
          <w:kern w:val="0"/>
          <w:position w:val="0"/>
          <w:sz w:val="28"/>
          <w:szCs w:val="28"/>
        </w:rPr>
        <w:t>建设项目污染物排放量汇总表（单位：t/a）</w:t>
      </w:r>
    </w:p>
    <w:tbl>
      <w:tblPr>
        <w:tblStyle w:val="17"/>
        <w:tblW w:w="5000" w:type="pct"/>
        <w:tblInd w:w="0" w:type="dxa"/>
        <w:tblLayout w:type="autofit"/>
        <w:tblCellMar>
          <w:top w:w="0" w:type="dxa"/>
          <w:left w:w="108" w:type="dxa"/>
          <w:bottom w:w="0" w:type="dxa"/>
          <w:right w:w="108" w:type="dxa"/>
        </w:tblCellMar>
      </w:tblPr>
      <w:tblGrid>
        <w:gridCol w:w="1002"/>
        <w:gridCol w:w="1006"/>
        <w:gridCol w:w="1580"/>
        <w:gridCol w:w="1580"/>
        <w:gridCol w:w="1580"/>
        <w:gridCol w:w="1580"/>
        <w:gridCol w:w="1580"/>
        <w:gridCol w:w="1586"/>
        <w:gridCol w:w="1586"/>
        <w:gridCol w:w="912"/>
      </w:tblGrid>
      <w:tr w14:paraId="45D64463">
        <w:tblPrEx>
          <w:tblCellMar>
            <w:top w:w="0" w:type="dxa"/>
            <w:left w:w="108" w:type="dxa"/>
            <w:bottom w:w="0" w:type="dxa"/>
            <w:right w:w="108" w:type="dxa"/>
          </w:tblCellMar>
        </w:tblPrEx>
        <w:trPr>
          <w:trHeight w:val="340" w:hRule="atLeast"/>
        </w:trPr>
        <w:tc>
          <w:tcPr>
            <w:tcW w:w="717" w:type="pct"/>
            <w:gridSpan w:val="2"/>
            <w:tcBorders>
              <w:top w:val="single" w:color="auto" w:sz="12" w:space="0"/>
              <w:left w:val="single" w:color="auto" w:sz="12" w:space="0"/>
              <w:bottom w:val="nil"/>
              <w:right w:val="single" w:color="auto" w:sz="4" w:space="0"/>
              <w:tl2br w:val="single" w:color="auto" w:sz="12" w:space="0"/>
            </w:tcBorders>
            <w:noWrap w:val="0"/>
            <w:vAlign w:val="center"/>
          </w:tcPr>
          <w:p w14:paraId="30593918">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项目</w:t>
            </w:r>
          </w:p>
          <w:p w14:paraId="10E1E17C">
            <w:pPr>
              <w:pStyle w:val="23"/>
              <w:rPr>
                <w:rFonts w:hint="default" w:ascii="Times New Roman" w:hAnsi="Times New Roman" w:eastAsia="宋体" w:cs="Times New Roman"/>
                <w:color w:val="auto"/>
                <w:spacing w:val="0"/>
                <w:kern w:val="0"/>
                <w:position w:val="0"/>
                <w:lang w:val="en-US" w:eastAsia="zh-CN"/>
              </w:rPr>
            </w:pPr>
            <w:r>
              <w:rPr>
                <w:rFonts w:hint="default" w:ascii="Times New Roman" w:hAnsi="Times New Roman" w:eastAsia="宋体" w:cs="Times New Roman"/>
                <w:b/>
                <w:bCs/>
                <w:smallCaps w:val="0"/>
                <w:color w:val="auto"/>
                <w:spacing w:val="0"/>
                <w:kern w:val="0"/>
                <w:position w:val="0"/>
                <w:sz w:val="21"/>
                <w:szCs w:val="21"/>
                <w:lang w:val="en-US" w:eastAsia="zh-CN"/>
              </w:rPr>
              <w:t>种类</w:t>
            </w:r>
          </w:p>
        </w:tc>
        <w:tc>
          <w:tcPr>
            <w:tcW w:w="564" w:type="pct"/>
            <w:tcBorders>
              <w:top w:val="single" w:color="auto" w:sz="12" w:space="0"/>
              <w:left w:val="single" w:color="auto" w:sz="4" w:space="0"/>
              <w:bottom w:val="single" w:color="auto" w:sz="4" w:space="0"/>
              <w:right w:val="single" w:color="auto" w:sz="4" w:space="0"/>
            </w:tcBorders>
            <w:noWrap w:val="0"/>
            <w:vAlign w:val="center"/>
          </w:tcPr>
          <w:p w14:paraId="6E305FDC">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污染物名称</w:t>
            </w:r>
          </w:p>
        </w:tc>
        <w:tc>
          <w:tcPr>
            <w:tcW w:w="564" w:type="pct"/>
            <w:tcBorders>
              <w:top w:val="single" w:color="auto" w:sz="12" w:space="0"/>
              <w:left w:val="single" w:color="auto" w:sz="4" w:space="0"/>
              <w:right w:val="single" w:color="auto" w:sz="4" w:space="0"/>
            </w:tcBorders>
            <w:noWrap w:val="0"/>
            <w:vAlign w:val="center"/>
          </w:tcPr>
          <w:p w14:paraId="16851805">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现有工程</w:t>
            </w:r>
          </w:p>
          <w:p w14:paraId="10F6A1FF">
            <w:pPr>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排放量（固体废物产生量）①</w:t>
            </w:r>
          </w:p>
        </w:tc>
        <w:tc>
          <w:tcPr>
            <w:tcW w:w="564" w:type="pct"/>
            <w:tcBorders>
              <w:top w:val="single" w:color="auto" w:sz="12" w:space="0"/>
              <w:left w:val="single" w:color="auto" w:sz="4" w:space="0"/>
              <w:right w:val="single" w:color="auto" w:sz="4" w:space="0"/>
            </w:tcBorders>
            <w:noWrap w:val="0"/>
            <w:vAlign w:val="center"/>
          </w:tcPr>
          <w:p w14:paraId="3C8E67C2">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现有工程</w:t>
            </w:r>
          </w:p>
          <w:p w14:paraId="4DB45635">
            <w:pPr>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许可排放量②</w:t>
            </w:r>
          </w:p>
        </w:tc>
        <w:tc>
          <w:tcPr>
            <w:tcW w:w="564" w:type="pct"/>
            <w:tcBorders>
              <w:top w:val="single" w:color="auto" w:sz="12" w:space="0"/>
              <w:left w:val="single" w:color="auto" w:sz="4" w:space="0"/>
              <w:right w:val="single" w:color="auto" w:sz="4" w:space="0"/>
            </w:tcBorders>
            <w:noWrap w:val="0"/>
            <w:vAlign w:val="center"/>
          </w:tcPr>
          <w:p w14:paraId="1FAA7BFB">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在建工程</w:t>
            </w:r>
          </w:p>
          <w:p w14:paraId="2065DD25">
            <w:pPr>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排放量（固体废物产生量）③</w:t>
            </w:r>
          </w:p>
        </w:tc>
        <w:tc>
          <w:tcPr>
            <w:tcW w:w="564" w:type="pct"/>
            <w:tcBorders>
              <w:top w:val="single" w:color="auto" w:sz="12" w:space="0"/>
              <w:left w:val="single" w:color="auto" w:sz="4" w:space="0"/>
              <w:right w:val="single" w:color="auto" w:sz="4" w:space="0"/>
            </w:tcBorders>
            <w:noWrap w:val="0"/>
            <w:vAlign w:val="center"/>
          </w:tcPr>
          <w:p w14:paraId="4FDC9474">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本项目</w:t>
            </w:r>
          </w:p>
          <w:p w14:paraId="3E60816A">
            <w:pPr>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排放量（固体废物产生量）④</w:t>
            </w:r>
          </w:p>
        </w:tc>
        <w:tc>
          <w:tcPr>
            <w:tcW w:w="566" w:type="pct"/>
            <w:tcBorders>
              <w:top w:val="single" w:color="auto" w:sz="12" w:space="0"/>
              <w:left w:val="single" w:color="auto" w:sz="4" w:space="0"/>
              <w:right w:val="single" w:color="auto" w:sz="4" w:space="0"/>
            </w:tcBorders>
            <w:noWrap w:val="0"/>
            <w:vAlign w:val="center"/>
          </w:tcPr>
          <w:p w14:paraId="28855A2C">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以新带老削减量（新建项目不填）⑤</w:t>
            </w:r>
          </w:p>
        </w:tc>
        <w:tc>
          <w:tcPr>
            <w:tcW w:w="566" w:type="pct"/>
            <w:tcBorders>
              <w:top w:val="single" w:color="auto" w:sz="12" w:space="0"/>
              <w:left w:val="single" w:color="auto" w:sz="4" w:space="0"/>
              <w:right w:val="single" w:color="auto" w:sz="4" w:space="0"/>
            </w:tcBorders>
            <w:noWrap w:val="0"/>
            <w:vAlign w:val="center"/>
          </w:tcPr>
          <w:p w14:paraId="667247B0">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本项目建成后全厂排放量（固体废物产生量）⑥</w:t>
            </w:r>
          </w:p>
        </w:tc>
        <w:tc>
          <w:tcPr>
            <w:tcW w:w="325" w:type="pct"/>
            <w:tcBorders>
              <w:top w:val="single" w:color="auto" w:sz="12" w:space="0"/>
              <w:left w:val="single" w:color="auto" w:sz="4" w:space="0"/>
              <w:right w:val="single" w:color="auto" w:sz="12" w:space="0"/>
            </w:tcBorders>
            <w:noWrap w:val="0"/>
            <w:vAlign w:val="center"/>
          </w:tcPr>
          <w:p w14:paraId="39FB4B34">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变化量</w:t>
            </w:r>
          </w:p>
          <w:p w14:paraId="0F3159F4">
            <w:pPr>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⑦</w:t>
            </w:r>
          </w:p>
        </w:tc>
      </w:tr>
      <w:tr w14:paraId="583DE117">
        <w:tblPrEx>
          <w:tblCellMar>
            <w:top w:w="0" w:type="dxa"/>
            <w:left w:w="108" w:type="dxa"/>
            <w:bottom w:w="0" w:type="dxa"/>
            <w:right w:w="108" w:type="dxa"/>
          </w:tblCellMar>
        </w:tblPrEx>
        <w:trPr>
          <w:trHeight w:val="340" w:hRule="atLeast"/>
        </w:trPr>
        <w:tc>
          <w:tcPr>
            <w:tcW w:w="358" w:type="pct"/>
            <w:tcBorders>
              <w:top w:val="single" w:color="auto" w:sz="4" w:space="0"/>
              <w:left w:val="single" w:color="auto" w:sz="12" w:space="0"/>
              <w:right w:val="single" w:color="auto" w:sz="4" w:space="0"/>
            </w:tcBorders>
            <w:noWrap w:val="0"/>
            <w:vAlign w:val="center"/>
          </w:tcPr>
          <w:p w14:paraId="6EFB1442">
            <w:pPr>
              <w:widowControl/>
              <w:jc w:val="center"/>
              <w:rPr>
                <w:rFonts w:hint="default" w:ascii="Times New Roman" w:hAnsi="Times New Roman" w:eastAsia="宋体" w:cs="Times New Roman"/>
                <w:b/>
                <w:bCs/>
                <w:smallCaps w:val="0"/>
                <w:color w:val="auto"/>
                <w:spacing w:val="0"/>
                <w:kern w:val="0"/>
                <w:position w:val="0"/>
                <w:sz w:val="21"/>
                <w:szCs w:val="21"/>
                <w:lang w:val="en-US" w:eastAsia="zh-CN"/>
              </w:rPr>
            </w:pPr>
            <w:r>
              <w:rPr>
                <w:rFonts w:hint="default" w:ascii="Times New Roman" w:hAnsi="Times New Roman" w:eastAsia="宋体" w:cs="Times New Roman"/>
                <w:b/>
                <w:bCs/>
                <w:smallCaps w:val="0"/>
                <w:color w:val="auto"/>
                <w:spacing w:val="0"/>
                <w:kern w:val="0"/>
                <w:position w:val="0"/>
                <w:sz w:val="21"/>
                <w:szCs w:val="21"/>
                <w:lang w:val="en-US" w:eastAsia="zh-CN"/>
              </w:rPr>
              <w:t>废气</w:t>
            </w:r>
          </w:p>
        </w:tc>
        <w:tc>
          <w:tcPr>
            <w:tcW w:w="359" w:type="pct"/>
            <w:tcBorders>
              <w:top w:val="single" w:color="auto" w:sz="4" w:space="0"/>
              <w:left w:val="single" w:color="auto" w:sz="12" w:space="0"/>
              <w:right w:val="single" w:color="auto" w:sz="4" w:space="0"/>
            </w:tcBorders>
            <w:noWrap w:val="0"/>
            <w:vAlign w:val="center"/>
          </w:tcPr>
          <w:p w14:paraId="0E2ADB76">
            <w:pPr>
              <w:widowControl/>
              <w:jc w:val="center"/>
              <w:rPr>
                <w:rFonts w:hint="default" w:ascii="Times New Roman" w:hAnsi="Times New Roman" w:eastAsia="宋体" w:cs="Times New Roman"/>
                <w:b/>
                <w:bCs/>
                <w:smallCaps w:val="0"/>
                <w:color w:val="auto"/>
                <w:spacing w:val="0"/>
                <w:kern w:val="0"/>
                <w:position w:val="0"/>
                <w:sz w:val="21"/>
                <w:szCs w:val="21"/>
                <w:lang w:val="en-US" w:eastAsia="zh-CN"/>
              </w:rPr>
            </w:pPr>
            <w:r>
              <w:rPr>
                <w:rFonts w:hint="default" w:ascii="Times New Roman" w:hAnsi="Times New Roman" w:eastAsia="宋体" w:cs="Times New Roman"/>
                <w:b/>
                <w:bCs/>
                <w:smallCaps w:val="0"/>
                <w:color w:val="auto"/>
                <w:spacing w:val="0"/>
                <w:kern w:val="0"/>
                <w:position w:val="0"/>
                <w:sz w:val="21"/>
                <w:szCs w:val="21"/>
                <w:lang w:val="en-US" w:eastAsia="zh-CN"/>
              </w:rPr>
              <w:t>无组织</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62AEAC0">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颗粒物</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54EC2F7">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C558D4F">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23071ABC">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cs="Times New Roman"/>
                <w:smallCaps w:val="0"/>
                <w:color w:val="auto"/>
                <w:spacing w:val="0"/>
                <w:kern w:val="0"/>
                <w:position w:val="0"/>
                <w:sz w:val="21"/>
                <w:szCs w:val="21"/>
                <w:lang w:val="en-US" w:eastAsia="zh-CN"/>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9C13F01">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 w:val="21"/>
                <w:szCs w:val="21"/>
                <w:lang w:val="en-US" w:eastAsia="zh-CN"/>
              </w:rPr>
              <w:t>0.0208</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393B4A8">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59BBFE75">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 w:val="21"/>
                <w:szCs w:val="21"/>
                <w:lang w:val="en-US" w:eastAsia="zh-CN"/>
              </w:rPr>
              <w:t>0.0208</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584B436F">
            <w:pPr>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w:t>
            </w:r>
            <w:r>
              <w:rPr>
                <w:rFonts w:hint="eastAsia" w:cs="Times New Roman"/>
                <w:smallCaps w:val="0"/>
                <w:color w:val="auto"/>
                <w:spacing w:val="0"/>
                <w:kern w:val="0"/>
                <w:position w:val="0"/>
                <w:sz w:val="21"/>
                <w:szCs w:val="21"/>
                <w:lang w:val="en-US" w:eastAsia="zh-CN"/>
              </w:rPr>
              <w:t>0.0208</w:t>
            </w:r>
          </w:p>
        </w:tc>
      </w:tr>
      <w:tr w14:paraId="45C625CF">
        <w:tblPrEx>
          <w:tblCellMar>
            <w:top w:w="0" w:type="dxa"/>
            <w:left w:w="108" w:type="dxa"/>
            <w:bottom w:w="0" w:type="dxa"/>
            <w:right w:w="108" w:type="dxa"/>
          </w:tblCellMar>
        </w:tblPrEx>
        <w:trPr>
          <w:trHeight w:val="340" w:hRule="atLeast"/>
        </w:trPr>
        <w:tc>
          <w:tcPr>
            <w:tcW w:w="717" w:type="pct"/>
            <w:gridSpan w:val="2"/>
            <w:vMerge w:val="restart"/>
            <w:tcBorders>
              <w:top w:val="single" w:color="auto" w:sz="4" w:space="0"/>
              <w:left w:val="single" w:color="auto" w:sz="12" w:space="0"/>
              <w:right w:val="single" w:color="auto" w:sz="4" w:space="0"/>
            </w:tcBorders>
            <w:noWrap w:val="0"/>
            <w:vAlign w:val="center"/>
          </w:tcPr>
          <w:p w14:paraId="6BE3DE9A">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废水</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4C0D3143">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水量</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0BCF79E7">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49528D1">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0F484C8">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64A39BE">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Cs w:val="21"/>
                <w:lang w:val="en-US" w:eastAsia="zh-CN"/>
              </w:rPr>
              <w:t>120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CF1FA68">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3F7162BD">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Cs w:val="21"/>
                <w:lang w:val="en-US" w:eastAsia="zh-CN"/>
              </w:rPr>
              <w:t>120</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62ABB278">
            <w:pPr>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w:t>
            </w:r>
            <w:r>
              <w:rPr>
                <w:rFonts w:hint="default" w:ascii="Times New Roman" w:hAnsi="Times New Roman" w:eastAsia="宋体" w:cs="Times New Roman"/>
                <w:smallCaps w:val="0"/>
                <w:color w:val="auto"/>
                <w:spacing w:val="0"/>
                <w:kern w:val="0"/>
                <w:position w:val="0"/>
                <w:sz w:val="21"/>
                <w:szCs w:val="21"/>
                <w:lang w:eastAsia="zh-CN"/>
              </w:rPr>
              <w:t>12</w:t>
            </w:r>
            <w:r>
              <w:rPr>
                <w:rFonts w:hint="default" w:ascii="Times New Roman" w:hAnsi="Times New Roman" w:eastAsia="宋体" w:cs="Times New Roman"/>
                <w:smallCaps w:val="0"/>
                <w:color w:val="auto"/>
                <w:spacing w:val="0"/>
                <w:kern w:val="0"/>
                <w:position w:val="0"/>
                <w:sz w:val="21"/>
                <w:szCs w:val="21"/>
                <w:lang w:val="en-US" w:eastAsia="zh-CN"/>
              </w:rPr>
              <w:t>0</w:t>
            </w:r>
          </w:p>
        </w:tc>
      </w:tr>
      <w:tr w14:paraId="14C9EE01">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2CF101E6">
            <w:pPr>
              <w:widowControl/>
              <w:jc w:val="left"/>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bottom w:val="single" w:color="auto" w:sz="4" w:space="0"/>
              <w:right w:val="single" w:color="auto" w:sz="4" w:space="0"/>
            </w:tcBorders>
            <w:noWrap w:val="0"/>
            <w:vAlign w:val="center"/>
          </w:tcPr>
          <w:p w14:paraId="6D11F6FC">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COD</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48B9E1D">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1491D4A">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9A26841">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13724B34">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0.048</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1CA83772">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C3006D3">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0.048</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02C6F825">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+0.048</w:t>
            </w:r>
          </w:p>
        </w:tc>
      </w:tr>
      <w:tr w14:paraId="309BF396">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236FB298">
            <w:pPr>
              <w:widowControl/>
              <w:jc w:val="left"/>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bottom w:val="single" w:color="auto" w:sz="4" w:space="0"/>
              <w:right w:val="single" w:color="auto" w:sz="4" w:space="0"/>
            </w:tcBorders>
            <w:noWrap w:val="0"/>
            <w:vAlign w:val="center"/>
          </w:tcPr>
          <w:p w14:paraId="4628E25C">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SS</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52ED6CFF">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263B4F50">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05542611">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0A62BFB">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0.03</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803E15A">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74FFC09A">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0.03</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6B8C69D4">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+0.03</w:t>
            </w:r>
          </w:p>
        </w:tc>
      </w:tr>
      <w:tr w14:paraId="0C376787">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57312ADA">
            <w:pPr>
              <w:widowControl/>
              <w:jc w:val="left"/>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bottom w:val="single" w:color="auto" w:sz="4" w:space="0"/>
              <w:right w:val="single" w:color="auto" w:sz="4" w:space="0"/>
            </w:tcBorders>
            <w:noWrap w:val="0"/>
            <w:vAlign w:val="center"/>
          </w:tcPr>
          <w:p w14:paraId="20417179">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NH</w:t>
            </w:r>
            <w:r>
              <w:rPr>
                <w:rFonts w:hint="default" w:ascii="Times New Roman" w:hAnsi="Times New Roman" w:eastAsia="宋体" w:cs="Times New Roman"/>
                <w:smallCaps w:val="0"/>
                <w:color w:val="auto"/>
                <w:spacing w:val="0"/>
                <w:kern w:val="0"/>
                <w:position w:val="0"/>
                <w:sz w:val="21"/>
                <w:szCs w:val="21"/>
                <w:vertAlign w:val="subscript"/>
              </w:rPr>
              <w:t>3</w:t>
            </w:r>
            <w:r>
              <w:rPr>
                <w:rFonts w:hint="default" w:ascii="Times New Roman" w:hAnsi="Times New Roman" w:eastAsia="宋体" w:cs="Times New Roman"/>
                <w:smallCaps w:val="0"/>
                <w:color w:val="auto"/>
                <w:spacing w:val="0"/>
                <w:kern w:val="0"/>
                <w:position w:val="0"/>
                <w:sz w:val="21"/>
                <w:szCs w:val="21"/>
              </w:rPr>
              <w:t>-N</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2BE1F0A">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16A005F3">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3691065C">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483BC307">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0.003</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C512254">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0F6552A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0.003</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7A9AE6C5">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+0.003</w:t>
            </w:r>
          </w:p>
        </w:tc>
      </w:tr>
      <w:tr w14:paraId="2FACE8AF">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26736043">
            <w:pPr>
              <w:widowControl/>
              <w:jc w:val="left"/>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bottom w:val="single" w:color="auto" w:sz="4" w:space="0"/>
              <w:right w:val="single" w:color="auto" w:sz="4" w:space="0"/>
            </w:tcBorders>
            <w:noWrap w:val="0"/>
            <w:vAlign w:val="center"/>
          </w:tcPr>
          <w:p w14:paraId="59CA15FA">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TP</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1AB4823D">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0402A4D">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59F7C3C7">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29FFA18B">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0.0004</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53DDD2A">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8E860B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0.0004</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0C64ED83">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+0.0004</w:t>
            </w:r>
          </w:p>
        </w:tc>
      </w:tr>
      <w:tr w14:paraId="699880F7">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0096943B">
            <w:pPr>
              <w:widowControl/>
              <w:jc w:val="left"/>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bottom w:val="single" w:color="auto" w:sz="4" w:space="0"/>
              <w:right w:val="single" w:color="auto" w:sz="4" w:space="0"/>
            </w:tcBorders>
            <w:noWrap w:val="0"/>
            <w:vAlign w:val="center"/>
          </w:tcPr>
          <w:p w14:paraId="104181DD">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TN</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304EA60D">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224A4877">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BC7FF42">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F1CF1BE">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0.0042</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5B001994">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0CD304D">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color w:val="auto"/>
                <w:spacing w:val="0"/>
                <w:kern w:val="0"/>
                <w:position w:val="0"/>
                <w:sz w:val="21"/>
                <w:szCs w:val="21"/>
                <w:u w:val="none"/>
                <w:lang w:val="en-US" w:eastAsia="zh-CN" w:bidi="ar"/>
              </w:rPr>
              <w:t>0.0042</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379F3EDC">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i w:val="0"/>
                <w:iCs w:val="0"/>
                <w:smallCaps w:val="0"/>
                <w:color w:val="auto"/>
                <w:spacing w:val="0"/>
                <w:kern w:val="0"/>
                <w:position w:val="0"/>
                <w:sz w:val="21"/>
                <w:szCs w:val="21"/>
                <w:u w:val="none"/>
                <w:lang w:val="en-US" w:eastAsia="zh-CN" w:bidi="ar"/>
              </w:rPr>
              <w:t>+0.0042</w:t>
            </w:r>
          </w:p>
        </w:tc>
      </w:tr>
      <w:tr w14:paraId="6D71BB1B">
        <w:tblPrEx>
          <w:tblCellMar>
            <w:top w:w="0" w:type="dxa"/>
            <w:left w:w="108" w:type="dxa"/>
            <w:bottom w:w="0" w:type="dxa"/>
            <w:right w:w="108" w:type="dxa"/>
          </w:tblCellMar>
        </w:tblPrEx>
        <w:trPr>
          <w:trHeight w:val="340" w:hRule="atLeast"/>
        </w:trPr>
        <w:tc>
          <w:tcPr>
            <w:tcW w:w="717" w:type="pct"/>
            <w:gridSpan w:val="2"/>
            <w:vMerge w:val="restart"/>
            <w:tcBorders>
              <w:top w:val="single" w:color="auto" w:sz="4" w:space="0"/>
              <w:left w:val="single" w:color="auto" w:sz="12" w:space="0"/>
              <w:right w:val="single" w:color="auto" w:sz="4" w:space="0"/>
            </w:tcBorders>
            <w:noWrap w:val="0"/>
            <w:vAlign w:val="center"/>
          </w:tcPr>
          <w:p w14:paraId="0531012C">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一般工业固体废物</w:t>
            </w:r>
          </w:p>
        </w:tc>
        <w:tc>
          <w:tcPr>
            <w:tcW w:w="564" w:type="pct"/>
            <w:tcBorders>
              <w:top w:val="single" w:color="auto" w:sz="4" w:space="0"/>
              <w:left w:val="single" w:color="auto" w:sz="4" w:space="0"/>
              <w:right w:val="single" w:color="auto" w:sz="4" w:space="0"/>
            </w:tcBorders>
            <w:shd w:val="clear" w:color="auto" w:fill="auto"/>
            <w:noWrap w:val="0"/>
            <w:vAlign w:val="center"/>
          </w:tcPr>
          <w:p w14:paraId="2BA2430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金属边角料</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4C56190E">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59C4FBB">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3E020E21">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5829A6EC">
            <w:pPr>
              <w:adjustRightInd w:val="0"/>
              <w:snapToGrid w:val="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Cs w:val="21"/>
                <w:lang w:val="en-US" w:eastAsia="zh-CN"/>
              </w:rPr>
              <w:t>0.1</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C4B57FE">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C373890">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0B0814D1">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eastAsia="宋体" w:cs="Times New Roman"/>
                <w:smallCaps w:val="0"/>
                <w:color w:val="auto"/>
                <w:spacing w:val="0"/>
                <w:kern w:val="0"/>
                <w:position w:val="0"/>
                <w:szCs w:val="21"/>
                <w:lang w:val="en-US" w:eastAsia="zh-CN"/>
              </w:rPr>
              <w:t>+</w:t>
            </w:r>
            <w:r>
              <w:rPr>
                <w:rFonts w:hint="default" w:ascii="Times New Roman" w:hAnsi="Times New Roman" w:eastAsia="宋体" w:cs="Times New Roman"/>
                <w:smallCaps w:val="0"/>
                <w:color w:val="auto"/>
                <w:spacing w:val="0"/>
                <w:kern w:val="0"/>
                <w:position w:val="0"/>
                <w:szCs w:val="21"/>
                <w:lang w:val="en-US" w:eastAsia="zh-CN"/>
              </w:rPr>
              <w:t>0.1</w:t>
            </w:r>
          </w:p>
        </w:tc>
      </w:tr>
      <w:tr w14:paraId="0495E87D">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140EE526">
            <w:pPr>
              <w:widowControl/>
              <w:jc w:val="center"/>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right w:val="single" w:color="auto" w:sz="4" w:space="0"/>
            </w:tcBorders>
            <w:shd w:val="clear" w:color="auto" w:fill="auto"/>
            <w:noWrap w:val="0"/>
            <w:vAlign w:val="center"/>
          </w:tcPr>
          <w:p w14:paraId="03647F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焊渣</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248ECA5">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01DB428E">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2746120E">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07913FF2">
            <w:pPr>
              <w:adjustRightInd w:val="0"/>
              <w:snapToGrid w:val="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Cs w:val="21"/>
                <w:lang w:val="en-US" w:eastAsia="zh-CN"/>
              </w:rPr>
              <w:t>0.0128</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108055F5">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1C05D71">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4B5242FF">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eastAsia="宋体" w:cs="Times New Roman"/>
                <w:smallCaps w:val="0"/>
                <w:color w:val="auto"/>
                <w:spacing w:val="0"/>
                <w:kern w:val="0"/>
                <w:position w:val="0"/>
                <w:szCs w:val="21"/>
                <w:lang w:val="en-US" w:eastAsia="zh-CN"/>
              </w:rPr>
              <w:t>+</w:t>
            </w:r>
            <w:r>
              <w:rPr>
                <w:rFonts w:hint="default" w:ascii="Times New Roman" w:hAnsi="Times New Roman" w:eastAsia="宋体" w:cs="Times New Roman"/>
                <w:smallCaps w:val="0"/>
                <w:color w:val="auto"/>
                <w:spacing w:val="0"/>
                <w:kern w:val="0"/>
                <w:position w:val="0"/>
                <w:szCs w:val="21"/>
                <w:lang w:val="en-US" w:eastAsia="zh-CN"/>
              </w:rPr>
              <w:t>0.0128</w:t>
            </w:r>
          </w:p>
        </w:tc>
      </w:tr>
      <w:tr w14:paraId="3C6AF286">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14707AFB">
            <w:pPr>
              <w:widowControl/>
              <w:jc w:val="center"/>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right w:val="single" w:color="auto" w:sz="4" w:space="0"/>
            </w:tcBorders>
            <w:shd w:val="clear" w:color="auto" w:fill="auto"/>
            <w:noWrap w:val="0"/>
            <w:vAlign w:val="center"/>
          </w:tcPr>
          <w:p w14:paraId="266ACC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rPr>
            </w:pPr>
            <w:r>
              <w:rPr>
                <w:rFonts w:hint="eastAsia" w:cs="Times New Roman"/>
                <w:smallCaps w:val="0"/>
                <w:color w:val="auto"/>
                <w:spacing w:val="0"/>
                <w:kern w:val="0"/>
                <w:position w:val="0"/>
                <w:sz w:val="21"/>
                <w:szCs w:val="21"/>
                <w:lang w:val="en-US" w:eastAsia="zh-CN"/>
              </w:rPr>
              <w:t>切割集尘</w:t>
            </w:r>
          </w:p>
        </w:tc>
        <w:tc>
          <w:tcPr>
            <w:tcW w:w="5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042CBF1">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E4DDE5">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4BFB92">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4FEBD93">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0.0704</w:t>
            </w:r>
          </w:p>
        </w:tc>
        <w:tc>
          <w:tcPr>
            <w:tcW w:w="56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99FA5D">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7436E7">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1EDD8903">
            <w:pPr>
              <w:adjustRightInd w:val="0"/>
              <w:snapToGrid w:val="0"/>
              <w:jc w:val="center"/>
              <w:rPr>
                <w:rFonts w:hint="default" w:ascii="Times New Roman" w:hAnsi="Times New Roman" w:eastAsia="宋体" w:cs="Times New Roman"/>
                <w:smallCaps w:val="0"/>
                <w:color w:val="auto"/>
                <w:spacing w:val="0"/>
                <w:kern w:val="0"/>
                <w:position w:val="0"/>
                <w:szCs w:val="21"/>
                <w:lang w:val="en-US" w:eastAsia="zh-CN"/>
              </w:rPr>
            </w:pPr>
            <w:r>
              <w:rPr>
                <w:rFonts w:hint="eastAsia" w:cs="Times New Roman"/>
                <w:smallCaps w:val="0"/>
                <w:color w:val="auto"/>
                <w:spacing w:val="0"/>
                <w:kern w:val="0"/>
                <w:position w:val="0"/>
                <w:szCs w:val="21"/>
                <w:lang w:val="en-US" w:eastAsia="zh-CN"/>
              </w:rPr>
              <w:t>+0.0704</w:t>
            </w:r>
          </w:p>
        </w:tc>
      </w:tr>
      <w:tr w14:paraId="7C6115F5">
        <w:tblPrEx>
          <w:tblCellMar>
            <w:top w:w="0" w:type="dxa"/>
            <w:left w:w="108" w:type="dxa"/>
            <w:bottom w:w="0" w:type="dxa"/>
            <w:right w:w="108" w:type="dxa"/>
          </w:tblCellMar>
        </w:tblPrEx>
        <w:trPr>
          <w:trHeight w:val="340" w:hRule="atLeast"/>
        </w:trPr>
        <w:tc>
          <w:tcPr>
            <w:tcW w:w="717" w:type="pct"/>
            <w:gridSpan w:val="2"/>
            <w:vMerge w:val="restart"/>
            <w:tcBorders>
              <w:top w:val="single" w:color="auto" w:sz="4" w:space="0"/>
              <w:left w:val="single" w:color="auto" w:sz="12" w:space="0"/>
              <w:right w:val="single" w:color="auto" w:sz="4" w:space="0"/>
            </w:tcBorders>
            <w:noWrap w:val="0"/>
            <w:vAlign w:val="center"/>
          </w:tcPr>
          <w:p w14:paraId="60123DB2">
            <w:pPr>
              <w:widowControl/>
              <w:jc w:val="center"/>
              <w:rPr>
                <w:rFonts w:hint="default" w:ascii="Times New Roman" w:hAnsi="Times New Roman" w:eastAsia="宋体" w:cs="Times New Roman"/>
                <w:b/>
                <w:bCs/>
                <w:smallCaps w:val="0"/>
                <w:color w:val="auto"/>
                <w:spacing w:val="0"/>
                <w:kern w:val="0"/>
                <w:position w:val="0"/>
                <w:sz w:val="21"/>
                <w:szCs w:val="21"/>
              </w:rPr>
            </w:pPr>
            <w:r>
              <w:rPr>
                <w:rFonts w:hint="default" w:ascii="Times New Roman" w:hAnsi="Times New Roman" w:eastAsia="宋体" w:cs="Times New Roman"/>
                <w:b/>
                <w:bCs/>
                <w:smallCaps w:val="0"/>
                <w:color w:val="auto"/>
                <w:spacing w:val="0"/>
                <w:kern w:val="0"/>
                <w:position w:val="0"/>
                <w:sz w:val="21"/>
                <w:szCs w:val="21"/>
              </w:rPr>
              <w:t>危险废物</w:t>
            </w:r>
          </w:p>
        </w:tc>
        <w:tc>
          <w:tcPr>
            <w:tcW w:w="564" w:type="pct"/>
            <w:tcBorders>
              <w:top w:val="single" w:color="auto" w:sz="4" w:space="0"/>
              <w:left w:val="single" w:color="auto" w:sz="4" w:space="0"/>
              <w:right w:val="single" w:color="auto" w:sz="4" w:space="0"/>
            </w:tcBorders>
            <w:shd w:val="clear" w:color="auto" w:fill="auto"/>
            <w:noWrap w:val="0"/>
            <w:vAlign w:val="center"/>
          </w:tcPr>
          <w:p w14:paraId="78A14C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废液压油</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4FD33E5">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0FF3C6C8">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982D383">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231067FC">
            <w:pPr>
              <w:adjustRightInd w:val="0"/>
              <w:snapToGrid w:val="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Cs w:val="21"/>
                <w:lang w:val="en-US" w:eastAsia="zh-CN"/>
              </w:rPr>
              <w:t>0.3</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F45B9A3">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6ACF915">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672DEEF6">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eastAsia="宋体" w:cs="Times New Roman"/>
                <w:smallCaps w:val="0"/>
                <w:color w:val="auto"/>
                <w:spacing w:val="0"/>
                <w:kern w:val="0"/>
                <w:position w:val="0"/>
                <w:szCs w:val="21"/>
                <w:lang w:val="en-US" w:eastAsia="zh-CN"/>
              </w:rPr>
              <w:t>+</w:t>
            </w:r>
            <w:r>
              <w:rPr>
                <w:rFonts w:hint="default" w:ascii="Times New Roman" w:hAnsi="Times New Roman" w:eastAsia="宋体" w:cs="Times New Roman"/>
                <w:smallCaps w:val="0"/>
                <w:color w:val="auto"/>
                <w:spacing w:val="0"/>
                <w:kern w:val="0"/>
                <w:position w:val="0"/>
                <w:szCs w:val="21"/>
                <w:lang w:val="en-US" w:eastAsia="zh-CN"/>
              </w:rPr>
              <w:t>0.3</w:t>
            </w:r>
          </w:p>
        </w:tc>
      </w:tr>
      <w:tr w14:paraId="58FF76B8">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0D3AC292">
            <w:pPr>
              <w:widowControl/>
              <w:jc w:val="center"/>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right w:val="single" w:color="auto" w:sz="4" w:space="0"/>
            </w:tcBorders>
            <w:shd w:val="clear" w:color="auto" w:fill="auto"/>
            <w:noWrap w:val="0"/>
            <w:vAlign w:val="center"/>
          </w:tcPr>
          <w:p w14:paraId="20035E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清洗废液</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0BE1FE3A">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2323D957">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6D3C7F4A">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AF4E543">
            <w:pPr>
              <w:adjustRightInd w:val="0"/>
              <w:snapToGrid w:val="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Cs w:val="21"/>
                <w:lang w:val="en-US" w:eastAsia="zh-CN"/>
              </w:rPr>
              <w:t>4.8</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1916D2F2">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34415DF3">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02808C9F">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eastAsia="宋体" w:cs="Times New Roman"/>
                <w:smallCaps w:val="0"/>
                <w:color w:val="auto"/>
                <w:spacing w:val="0"/>
                <w:kern w:val="0"/>
                <w:position w:val="0"/>
                <w:szCs w:val="21"/>
                <w:lang w:val="en-US" w:eastAsia="zh-CN"/>
              </w:rPr>
              <w:t>+</w:t>
            </w:r>
            <w:r>
              <w:rPr>
                <w:rFonts w:hint="default" w:ascii="Times New Roman" w:hAnsi="Times New Roman" w:eastAsia="宋体" w:cs="Times New Roman"/>
                <w:smallCaps w:val="0"/>
                <w:color w:val="auto"/>
                <w:spacing w:val="0"/>
                <w:kern w:val="0"/>
                <w:position w:val="0"/>
                <w:szCs w:val="21"/>
                <w:lang w:val="en-US" w:eastAsia="zh-CN"/>
              </w:rPr>
              <w:t>4.8</w:t>
            </w:r>
          </w:p>
        </w:tc>
      </w:tr>
      <w:tr w14:paraId="05F28437">
        <w:tblPrEx>
          <w:tblCellMar>
            <w:top w:w="0" w:type="dxa"/>
            <w:left w:w="108" w:type="dxa"/>
            <w:bottom w:w="0" w:type="dxa"/>
            <w:right w:w="108" w:type="dxa"/>
          </w:tblCellMar>
        </w:tblPrEx>
        <w:trPr>
          <w:trHeight w:val="340" w:hRule="atLeast"/>
        </w:trPr>
        <w:tc>
          <w:tcPr>
            <w:tcW w:w="717" w:type="pct"/>
            <w:gridSpan w:val="2"/>
            <w:vMerge w:val="continue"/>
            <w:tcBorders>
              <w:left w:val="single" w:color="auto" w:sz="12" w:space="0"/>
              <w:right w:val="single" w:color="auto" w:sz="4" w:space="0"/>
            </w:tcBorders>
            <w:noWrap w:val="0"/>
            <w:vAlign w:val="center"/>
          </w:tcPr>
          <w:p w14:paraId="6041F498">
            <w:pPr>
              <w:widowControl/>
              <w:jc w:val="center"/>
              <w:rPr>
                <w:rFonts w:hint="default" w:ascii="Times New Roman" w:hAnsi="Times New Roman" w:eastAsia="宋体" w:cs="Times New Roman"/>
                <w:b/>
                <w:bCs/>
                <w:smallCaps w:val="0"/>
                <w:color w:val="auto"/>
                <w:spacing w:val="0"/>
                <w:kern w:val="0"/>
                <w:position w:val="0"/>
                <w:sz w:val="21"/>
                <w:szCs w:val="21"/>
              </w:rPr>
            </w:pPr>
          </w:p>
        </w:tc>
        <w:tc>
          <w:tcPr>
            <w:tcW w:w="564" w:type="pct"/>
            <w:tcBorders>
              <w:top w:val="single" w:color="auto" w:sz="4" w:space="0"/>
              <w:left w:val="single" w:color="auto" w:sz="4" w:space="0"/>
              <w:right w:val="single" w:color="auto" w:sz="4" w:space="0"/>
            </w:tcBorders>
            <w:shd w:val="clear" w:color="auto" w:fill="auto"/>
            <w:noWrap w:val="0"/>
            <w:vAlign w:val="center"/>
          </w:tcPr>
          <w:p w14:paraId="1CEC1B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lang w:val="en-US" w:eastAsia="zh-CN"/>
              </w:rPr>
              <w:t>废包装桶</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7A55DFED">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1A36BF84">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519FE74A">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4" w:space="0"/>
              <w:right w:val="single" w:color="auto" w:sz="4" w:space="0"/>
            </w:tcBorders>
            <w:noWrap w:val="0"/>
            <w:vAlign w:val="center"/>
          </w:tcPr>
          <w:p w14:paraId="47F3C655">
            <w:pPr>
              <w:adjustRightInd w:val="0"/>
              <w:snapToGrid w:val="0"/>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Cs w:val="21"/>
                <w:lang w:val="en-US" w:eastAsia="zh-CN"/>
              </w:rPr>
              <w:t>0.1</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E289EE3">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63E93AC">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325" w:type="pct"/>
            <w:tcBorders>
              <w:top w:val="single" w:color="auto" w:sz="4" w:space="0"/>
              <w:left w:val="single" w:color="auto" w:sz="4" w:space="0"/>
              <w:bottom w:val="single" w:color="auto" w:sz="4" w:space="0"/>
              <w:right w:val="single" w:color="auto" w:sz="12" w:space="0"/>
            </w:tcBorders>
            <w:noWrap w:val="0"/>
            <w:vAlign w:val="center"/>
          </w:tcPr>
          <w:p w14:paraId="4550AC83">
            <w:pPr>
              <w:adjustRightInd w:val="0"/>
              <w:snapToGrid w:val="0"/>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eastAsia="宋体" w:cs="Times New Roman"/>
                <w:smallCaps w:val="0"/>
                <w:color w:val="auto"/>
                <w:spacing w:val="0"/>
                <w:kern w:val="0"/>
                <w:position w:val="0"/>
                <w:szCs w:val="21"/>
                <w:lang w:val="en-US" w:eastAsia="zh-CN"/>
              </w:rPr>
              <w:t>+</w:t>
            </w:r>
            <w:r>
              <w:rPr>
                <w:rFonts w:hint="default" w:ascii="Times New Roman" w:hAnsi="Times New Roman" w:eastAsia="宋体" w:cs="Times New Roman"/>
                <w:smallCaps w:val="0"/>
                <w:color w:val="auto"/>
                <w:spacing w:val="0"/>
                <w:kern w:val="0"/>
                <w:position w:val="0"/>
                <w:szCs w:val="21"/>
                <w:lang w:val="en-US" w:eastAsia="zh-CN"/>
              </w:rPr>
              <w:t>0.1</w:t>
            </w:r>
          </w:p>
        </w:tc>
      </w:tr>
      <w:tr w14:paraId="3F3C0578">
        <w:tblPrEx>
          <w:tblCellMar>
            <w:top w:w="0" w:type="dxa"/>
            <w:left w:w="108" w:type="dxa"/>
            <w:bottom w:w="0" w:type="dxa"/>
            <w:right w:w="108" w:type="dxa"/>
          </w:tblCellMar>
        </w:tblPrEx>
        <w:trPr>
          <w:trHeight w:val="340" w:hRule="atLeast"/>
        </w:trPr>
        <w:tc>
          <w:tcPr>
            <w:tcW w:w="717" w:type="pct"/>
            <w:gridSpan w:val="2"/>
            <w:tcBorders>
              <w:top w:val="single" w:color="auto" w:sz="4" w:space="0"/>
              <w:left w:val="single" w:color="auto" w:sz="12" w:space="0"/>
              <w:bottom w:val="single" w:color="auto" w:sz="12" w:space="0"/>
              <w:right w:val="single" w:color="auto" w:sz="4" w:space="0"/>
            </w:tcBorders>
            <w:noWrap w:val="0"/>
            <w:vAlign w:val="center"/>
          </w:tcPr>
          <w:p w14:paraId="2EBD9C73">
            <w:pPr>
              <w:widowControl/>
              <w:jc w:val="center"/>
              <w:rPr>
                <w:rFonts w:hint="default" w:ascii="Times New Roman" w:hAnsi="Times New Roman" w:eastAsia="宋体" w:cs="Times New Roman"/>
                <w:b/>
                <w:bCs/>
                <w:smallCaps w:val="0"/>
                <w:color w:val="auto"/>
                <w:spacing w:val="0"/>
                <w:kern w:val="0"/>
                <w:position w:val="0"/>
                <w:sz w:val="21"/>
                <w:szCs w:val="21"/>
                <w:lang w:val="en-US" w:eastAsia="zh-CN"/>
              </w:rPr>
            </w:pPr>
            <w:r>
              <w:rPr>
                <w:rFonts w:hint="default" w:ascii="Times New Roman" w:hAnsi="Times New Roman" w:eastAsia="宋体" w:cs="Times New Roman"/>
                <w:b/>
                <w:bCs/>
                <w:smallCaps w:val="0"/>
                <w:color w:val="auto"/>
                <w:spacing w:val="0"/>
                <w:kern w:val="0"/>
                <w:position w:val="0"/>
                <w:sz w:val="21"/>
                <w:szCs w:val="21"/>
                <w:lang w:val="en-US" w:eastAsia="zh-CN"/>
              </w:rPr>
              <w:t>生活垃圾</w:t>
            </w:r>
          </w:p>
        </w:tc>
        <w:tc>
          <w:tcPr>
            <w:tcW w:w="564" w:type="pct"/>
            <w:tcBorders>
              <w:top w:val="single" w:color="auto" w:sz="4" w:space="0"/>
              <w:left w:val="single" w:color="auto" w:sz="4" w:space="0"/>
              <w:bottom w:val="single" w:color="auto" w:sz="12" w:space="0"/>
              <w:right w:val="single" w:color="auto" w:sz="4" w:space="0"/>
            </w:tcBorders>
            <w:noWrap w:val="0"/>
            <w:vAlign w:val="center"/>
          </w:tcPr>
          <w:p w14:paraId="7F2273A7">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lang w:val="en-US" w:eastAsia="zh-CN"/>
              </w:rPr>
              <w:t>生活垃圾</w:t>
            </w:r>
          </w:p>
        </w:tc>
        <w:tc>
          <w:tcPr>
            <w:tcW w:w="564"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0BA1D7C3">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0CDC6D6C">
            <w:pPr>
              <w:widowControl/>
              <w:jc w:val="center"/>
              <w:rPr>
                <w:rFonts w:hint="default" w:ascii="Times New Roman" w:hAnsi="Times New Roman" w:eastAsia="宋体" w:cs="Times New Roman"/>
                <w:smallCaps w:val="0"/>
                <w:color w:val="auto"/>
                <w:spacing w:val="0"/>
                <w:kern w:val="0"/>
                <w:position w:val="0"/>
                <w:sz w:val="21"/>
                <w:szCs w:val="21"/>
                <w:lang w:val="en-US" w:eastAsia="zh-CN" w:bidi="ar-SA"/>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12" w:space="0"/>
              <w:right w:val="single" w:color="auto" w:sz="4" w:space="0"/>
            </w:tcBorders>
            <w:noWrap w:val="0"/>
            <w:vAlign w:val="center"/>
          </w:tcPr>
          <w:p w14:paraId="563843EA">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default" w:ascii="Times New Roman" w:hAnsi="Times New Roman" w:eastAsia="宋体" w:cs="Times New Roman"/>
                <w:smallCaps w:val="0"/>
                <w:color w:val="auto"/>
                <w:spacing w:val="0"/>
                <w:kern w:val="0"/>
                <w:position w:val="0"/>
                <w:sz w:val="21"/>
                <w:szCs w:val="21"/>
              </w:rPr>
              <w:t>0</w:t>
            </w:r>
          </w:p>
        </w:tc>
        <w:tc>
          <w:tcPr>
            <w:tcW w:w="564" w:type="pct"/>
            <w:tcBorders>
              <w:top w:val="single" w:color="auto" w:sz="4" w:space="0"/>
              <w:left w:val="single" w:color="auto" w:sz="4" w:space="0"/>
              <w:bottom w:val="single" w:color="auto" w:sz="12" w:space="0"/>
              <w:right w:val="single" w:color="auto" w:sz="4" w:space="0"/>
            </w:tcBorders>
            <w:noWrap w:val="0"/>
            <w:vAlign w:val="center"/>
          </w:tcPr>
          <w:p w14:paraId="30969C6D">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lang w:val="en-US" w:eastAsia="zh-CN"/>
              </w:rPr>
              <w:t>1.5</w:t>
            </w:r>
          </w:p>
        </w:tc>
        <w:tc>
          <w:tcPr>
            <w:tcW w:w="566" w:type="pct"/>
            <w:tcBorders>
              <w:top w:val="single" w:color="auto" w:sz="4" w:space="0"/>
              <w:left w:val="single" w:color="auto" w:sz="4" w:space="0"/>
              <w:bottom w:val="single" w:color="auto" w:sz="12" w:space="0"/>
              <w:right w:val="single" w:color="auto" w:sz="4" w:space="0"/>
            </w:tcBorders>
            <w:noWrap w:val="0"/>
            <w:vAlign w:val="center"/>
          </w:tcPr>
          <w:p w14:paraId="655CF68A">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566" w:type="pct"/>
            <w:tcBorders>
              <w:top w:val="single" w:color="auto" w:sz="4" w:space="0"/>
              <w:left w:val="single" w:color="auto" w:sz="4" w:space="0"/>
              <w:bottom w:val="single" w:color="auto" w:sz="12" w:space="0"/>
              <w:right w:val="single" w:color="auto" w:sz="4" w:space="0"/>
            </w:tcBorders>
            <w:noWrap w:val="0"/>
            <w:vAlign w:val="center"/>
          </w:tcPr>
          <w:p w14:paraId="60DBE0E2">
            <w:pPr>
              <w:widowControl/>
              <w:jc w:val="center"/>
              <w:rPr>
                <w:rFonts w:hint="default" w:ascii="Times New Roman" w:hAnsi="Times New Roman" w:eastAsia="宋体" w:cs="Times New Roman"/>
                <w:smallCaps w:val="0"/>
                <w:color w:val="auto"/>
                <w:spacing w:val="0"/>
                <w:kern w:val="0"/>
                <w:position w:val="0"/>
                <w:sz w:val="21"/>
                <w:szCs w:val="21"/>
              </w:rPr>
            </w:pPr>
            <w:r>
              <w:rPr>
                <w:rFonts w:hint="default" w:ascii="Times New Roman" w:hAnsi="Times New Roman" w:eastAsia="宋体" w:cs="Times New Roman"/>
                <w:smallCaps w:val="0"/>
                <w:color w:val="auto"/>
                <w:spacing w:val="0"/>
                <w:kern w:val="0"/>
                <w:position w:val="0"/>
                <w:sz w:val="21"/>
                <w:szCs w:val="21"/>
              </w:rPr>
              <w:t>0</w:t>
            </w:r>
          </w:p>
        </w:tc>
        <w:tc>
          <w:tcPr>
            <w:tcW w:w="325" w:type="pct"/>
            <w:tcBorders>
              <w:top w:val="single" w:color="auto" w:sz="4" w:space="0"/>
              <w:left w:val="single" w:color="auto" w:sz="4" w:space="0"/>
              <w:bottom w:val="single" w:color="auto" w:sz="12" w:space="0"/>
              <w:right w:val="single" w:color="auto" w:sz="12" w:space="0"/>
            </w:tcBorders>
            <w:noWrap w:val="0"/>
            <w:vAlign w:val="center"/>
          </w:tcPr>
          <w:p w14:paraId="76F63DCF">
            <w:pPr>
              <w:widowControl/>
              <w:jc w:val="center"/>
              <w:rPr>
                <w:rFonts w:hint="default" w:ascii="Times New Roman" w:hAnsi="Times New Roman" w:eastAsia="宋体" w:cs="Times New Roman"/>
                <w:smallCaps w:val="0"/>
                <w:color w:val="auto"/>
                <w:spacing w:val="0"/>
                <w:kern w:val="0"/>
                <w:position w:val="0"/>
                <w:sz w:val="21"/>
                <w:szCs w:val="21"/>
                <w:lang w:val="en-US" w:eastAsia="zh-CN"/>
              </w:rPr>
            </w:pPr>
            <w:r>
              <w:rPr>
                <w:rFonts w:hint="eastAsia" w:ascii="Times New Roman" w:hAnsi="Times New Roman" w:eastAsia="宋体" w:cs="Times New Roman"/>
                <w:smallCaps w:val="0"/>
                <w:color w:val="auto"/>
                <w:spacing w:val="0"/>
                <w:kern w:val="0"/>
                <w:position w:val="0"/>
                <w:sz w:val="21"/>
                <w:szCs w:val="21"/>
                <w:lang w:val="en-US" w:eastAsia="zh-CN"/>
              </w:rPr>
              <w:t>+</w:t>
            </w:r>
            <w:r>
              <w:rPr>
                <w:rFonts w:hint="default" w:ascii="Times New Roman" w:hAnsi="Times New Roman" w:eastAsia="宋体" w:cs="Times New Roman"/>
                <w:smallCaps w:val="0"/>
                <w:color w:val="auto"/>
                <w:spacing w:val="0"/>
                <w:kern w:val="0"/>
                <w:position w:val="0"/>
                <w:sz w:val="21"/>
                <w:szCs w:val="21"/>
                <w:lang w:val="en-US" w:eastAsia="zh-CN"/>
              </w:rPr>
              <w:t>1.5</w:t>
            </w:r>
          </w:p>
        </w:tc>
      </w:tr>
    </w:tbl>
    <w:p w14:paraId="16E7F525">
      <w:pPr>
        <w:pStyle w:val="48"/>
        <w:spacing w:before="192" w:beforeLines="80" w:after="24"/>
        <w:ind w:firstLine="440"/>
        <w:jc w:val="left"/>
        <w:rPr>
          <w:rFonts w:hint="default" w:ascii="Times New Roman" w:hAnsi="Times New Roman" w:eastAsia="宋体" w:cs="Times New Roman"/>
          <w:smallCaps w:val="0"/>
          <w:snapToGrid w:val="0"/>
          <w:color w:val="auto"/>
          <w:spacing w:val="0"/>
          <w:kern w:val="0"/>
          <w:position w:val="0"/>
          <w:szCs w:val="21"/>
        </w:rPr>
      </w:pPr>
      <w:r>
        <w:rPr>
          <w:rFonts w:hint="default" w:ascii="Times New Roman" w:hAnsi="Times New Roman" w:eastAsia="宋体" w:cs="Times New Roman"/>
          <w:smallCaps w:val="0"/>
          <w:snapToGrid w:val="0"/>
          <w:color w:val="auto"/>
          <w:spacing w:val="0"/>
          <w:kern w:val="0"/>
          <w:position w:val="0"/>
          <w:szCs w:val="21"/>
        </w:rPr>
        <w:t>注：</w:t>
      </w:r>
      <w:r>
        <w:rPr>
          <w:rFonts w:hint="default" w:ascii="Times New Roman" w:hAnsi="Times New Roman" w:eastAsia="宋体" w:cs="Times New Roman"/>
          <w:smallCaps w:val="0"/>
          <w:snapToGrid w:val="0"/>
          <w:color w:val="auto"/>
          <w:spacing w:val="0"/>
          <w:kern w:val="0"/>
          <w:position w:val="0"/>
          <w:szCs w:val="21"/>
        </w:rPr>
        <w:fldChar w:fldCharType="begin"/>
      </w:r>
      <w:r>
        <w:rPr>
          <w:rFonts w:hint="default" w:ascii="Times New Roman" w:hAnsi="Times New Roman" w:eastAsia="宋体" w:cs="Times New Roman"/>
          <w:smallCaps w:val="0"/>
          <w:snapToGrid w:val="0"/>
          <w:color w:val="auto"/>
          <w:spacing w:val="0"/>
          <w:kern w:val="0"/>
          <w:position w:val="0"/>
          <w:szCs w:val="21"/>
        </w:rPr>
        <w:instrText xml:space="preserve"> = 6 \* GB3 \* MERGEFORMAT </w:instrText>
      </w:r>
      <w:r>
        <w:rPr>
          <w:rFonts w:hint="default" w:ascii="Times New Roman" w:hAnsi="Times New Roman" w:eastAsia="宋体" w:cs="Times New Roman"/>
          <w:smallCaps w:val="0"/>
          <w:snapToGrid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⑥</w:t>
      </w:r>
      <w:r>
        <w:rPr>
          <w:rFonts w:hint="default" w:ascii="Times New Roman" w:hAnsi="Times New Roman" w:eastAsia="宋体" w:cs="Times New Roman"/>
          <w:smallCaps w:val="0"/>
          <w:snapToGrid w:val="0"/>
          <w:color w:val="auto"/>
          <w:spacing w:val="0"/>
          <w:kern w:val="0"/>
          <w:position w:val="0"/>
          <w:szCs w:val="21"/>
        </w:rPr>
        <w:fldChar w:fldCharType="end"/>
      </w:r>
      <w:r>
        <w:rPr>
          <w:rFonts w:hint="default" w:ascii="Times New Roman" w:hAnsi="Times New Roman" w:eastAsia="宋体" w:cs="Times New Roman"/>
          <w:smallCaps w:val="0"/>
          <w:snapToGrid w:val="0"/>
          <w:color w:val="auto"/>
          <w:spacing w:val="0"/>
          <w:kern w:val="0"/>
          <w:position w:val="0"/>
          <w:szCs w:val="21"/>
        </w:rPr>
        <w:t>=</w:t>
      </w:r>
      <w:r>
        <w:rPr>
          <w:rFonts w:hint="default" w:ascii="Times New Roman" w:hAnsi="Times New Roman" w:eastAsia="宋体" w:cs="Times New Roman"/>
          <w:smallCaps w:val="0"/>
          <w:snapToGrid w:val="0"/>
          <w:color w:val="auto"/>
          <w:spacing w:val="0"/>
          <w:kern w:val="0"/>
          <w:position w:val="0"/>
          <w:szCs w:val="21"/>
        </w:rPr>
        <w:fldChar w:fldCharType="begin"/>
      </w:r>
      <w:r>
        <w:rPr>
          <w:rFonts w:hint="default" w:ascii="Times New Roman" w:hAnsi="Times New Roman" w:eastAsia="宋体" w:cs="Times New Roman"/>
          <w:smallCaps w:val="0"/>
          <w:snapToGrid w:val="0"/>
          <w:color w:val="auto"/>
          <w:spacing w:val="0"/>
          <w:kern w:val="0"/>
          <w:position w:val="0"/>
          <w:szCs w:val="21"/>
        </w:rPr>
        <w:instrText xml:space="preserve"> = 1 \* GB3 \* MERGEFORMAT </w:instrText>
      </w:r>
      <w:r>
        <w:rPr>
          <w:rFonts w:hint="default" w:ascii="Times New Roman" w:hAnsi="Times New Roman" w:eastAsia="宋体" w:cs="Times New Roman"/>
          <w:smallCaps w:val="0"/>
          <w:snapToGrid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①</w:t>
      </w:r>
      <w:r>
        <w:rPr>
          <w:rFonts w:hint="default" w:ascii="Times New Roman" w:hAnsi="Times New Roman" w:eastAsia="宋体" w:cs="Times New Roman"/>
          <w:smallCaps w:val="0"/>
          <w:snapToGrid w:val="0"/>
          <w:color w:val="auto"/>
          <w:spacing w:val="0"/>
          <w:kern w:val="0"/>
          <w:position w:val="0"/>
          <w:szCs w:val="21"/>
        </w:rPr>
        <w:fldChar w:fldCharType="end"/>
      </w:r>
      <w:r>
        <w:rPr>
          <w:rFonts w:hint="default" w:ascii="Times New Roman" w:hAnsi="Times New Roman" w:eastAsia="宋体" w:cs="Times New Roman"/>
          <w:smallCaps w:val="0"/>
          <w:snapToGrid w:val="0"/>
          <w:color w:val="auto"/>
          <w:spacing w:val="0"/>
          <w:kern w:val="0"/>
          <w:position w:val="0"/>
          <w:szCs w:val="21"/>
        </w:rPr>
        <w:t>+</w:t>
      </w:r>
      <w:r>
        <w:rPr>
          <w:rFonts w:hint="default" w:ascii="Times New Roman" w:hAnsi="Times New Roman" w:eastAsia="宋体" w:cs="Times New Roman"/>
          <w:smallCaps w:val="0"/>
          <w:snapToGrid w:val="0"/>
          <w:color w:val="auto"/>
          <w:spacing w:val="0"/>
          <w:kern w:val="0"/>
          <w:position w:val="0"/>
          <w:szCs w:val="21"/>
        </w:rPr>
        <w:fldChar w:fldCharType="begin"/>
      </w:r>
      <w:r>
        <w:rPr>
          <w:rFonts w:hint="default" w:ascii="Times New Roman" w:hAnsi="Times New Roman" w:eastAsia="宋体" w:cs="Times New Roman"/>
          <w:smallCaps w:val="0"/>
          <w:snapToGrid w:val="0"/>
          <w:color w:val="auto"/>
          <w:spacing w:val="0"/>
          <w:kern w:val="0"/>
          <w:position w:val="0"/>
          <w:szCs w:val="21"/>
        </w:rPr>
        <w:instrText xml:space="preserve"> = 3 \* GB3 \* MERGEFORMAT </w:instrText>
      </w:r>
      <w:r>
        <w:rPr>
          <w:rFonts w:hint="default" w:ascii="Times New Roman" w:hAnsi="Times New Roman" w:eastAsia="宋体" w:cs="Times New Roman"/>
          <w:smallCaps w:val="0"/>
          <w:snapToGrid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③</w:t>
      </w:r>
      <w:r>
        <w:rPr>
          <w:rFonts w:hint="default" w:ascii="Times New Roman" w:hAnsi="Times New Roman" w:eastAsia="宋体" w:cs="Times New Roman"/>
          <w:smallCaps w:val="0"/>
          <w:snapToGrid w:val="0"/>
          <w:color w:val="auto"/>
          <w:spacing w:val="0"/>
          <w:kern w:val="0"/>
          <w:position w:val="0"/>
          <w:szCs w:val="21"/>
        </w:rPr>
        <w:fldChar w:fldCharType="end"/>
      </w:r>
      <w:r>
        <w:rPr>
          <w:rFonts w:hint="default" w:ascii="Times New Roman" w:hAnsi="Times New Roman" w:eastAsia="宋体" w:cs="Times New Roman"/>
          <w:smallCaps w:val="0"/>
          <w:snapToGrid w:val="0"/>
          <w:color w:val="auto"/>
          <w:spacing w:val="0"/>
          <w:kern w:val="0"/>
          <w:position w:val="0"/>
          <w:szCs w:val="21"/>
        </w:rPr>
        <w:t>+</w:t>
      </w:r>
      <w:r>
        <w:rPr>
          <w:rFonts w:hint="default" w:ascii="Times New Roman" w:hAnsi="Times New Roman" w:eastAsia="宋体" w:cs="Times New Roman"/>
          <w:smallCaps w:val="0"/>
          <w:snapToGrid w:val="0"/>
          <w:color w:val="auto"/>
          <w:spacing w:val="0"/>
          <w:kern w:val="0"/>
          <w:position w:val="0"/>
          <w:szCs w:val="21"/>
        </w:rPr>
        <w:fldChar w:fldCharType="begin"/>
      </w:r>
      <w:r>
        <w:rPr>
          <w:rFonts w:hint="default" w:ascii="Times New Roman" w:hAnsi="Times New Roman" w:eastAsia="宋体" w:cs="Times New Roman"/>
          <w:smallCaps w:val="0"/>
          <w:snapToGrid w:val="0"/>
          <w:color w:val="auto"/>
          <w:spacing w:val="0"/>
          <w:kern w:val="0"/>
          <w:position w:val="0"/>
          <w:szCs w:val="21"/>
        </w:rPr>
        <w:instrText xml:space="preserve"> = 4 \* GB3 \* MERGEFORMAT </w:instrText>
      </w:r>
      <w:r>
        <w:rPr>
          <w:rFonts w:hint="default" w:ascii="Times New Roman" w:hAnsi="Times New Roman" w:eastAsia="宋体" w:cs="Times New Roman"/>
          <w:smallCaps w:val="0"/>
          <w:snapToGrid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④</w:t>
      </w:r>
      <w:r>
        <w:rPr>
          <w:rFonts w:hint="default" w:ascii="Times New Roman" w:hAnsi="Times New Roman" w:eastAsia="宋体" w:cs="Times New Roman"/>
          <w:smallCaps w:val="0"/>
          <w:snapToGrid w:val="0"/>
          <w:color w:val="auto"/>
          <w:spacing w:val="0"/>
          <w:kern w:val="0"/>
          <w:position w:val="0"/>
          <w:szCs w:val="21"/>
        </w:rPr>
        <w:fldChar w:fldCharType="end"/>
      </w:r>
      <w:r>
        <w:rPr>
          <w:rFonts w:hint="default" w:ascii="Times New Roman" w:hAnsi="Times New Roman" w:eastAsia="宋体" w:cs="Times New Roman"/>
          <w:smallCaps w:val="0"/>
          <w:snapToGrid w:val="0"/>
          <w:color w:val="auto"/>
          <w:spacing w:val="0"/>
          <w:kern w:val="0"/>
          <w:position w:val="0"/>
          <w:szCs w:val="21"/>
        </w:rPr>
        <w:t>-</w:t>
      </w:r>
      <w:r>
        <w:rPr>
          <w:rFonts w:hint="default" w:ascii="Times New Roman" w:hAnsi="Times New Roman" w:eastAsia="宋体" w:cs="Times New Roman"/>
          <w:smallCaps w:val="0"/>
          <w:snapToGrid w:val="0"/>
          <w:color w:val="auto"/>
          <w:spacing w:val="0"/>
          <w:kern w:val="0"/>
          <w:position w:val="0"/>
          <w:szCs w:val="21"/>
        </w:rPr>
        <w:fldChar w:fldCharType="begin"/>
      </w:r>
      <w:r>
        <w:rPr>
          <w:rFonts w:hint="default" w:ascii="Times New Roman" w:hAnsi="Times New Roman" w:eastAsia="宋体" w:cs="Times New Roman"/>
          <w:smallCaps w:val="0"/>
          <w:snapToGrid w:val="0"/>
          <w:color w:val="auto"/>
          <w:spacing w:val="0"/>
          <w:kern w:val="0"/>
          <w:position w:val="0"/>
          <w:szCs w:val="21"/>
        </w:rPr>
        <w:instrText xml:space="preserve"> = 5 \* GB3 \* MERGEFORMAT </w:instrText>
      </w:r>
      <w:r>
        <w:rPr>
          <w:rFonts w:hint="default" w:ascii="Times New Roman" w:hAnsi="Times New Roman" w:eastAsia="宋体" w:cs="Times New Roman"/>
          <w:smallCaps w:val="0"/>
          <w:snapToGrid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⑤</w:t>
      </w:r>
      <w:r>
        <w:rPr>
          <w:rFonts w:hint="default" w:ascii="Times New Roman" w:hAnsi="Times New Roman" w:eastAsia="宋体" w:cs="Times New Roman"/>
          <w:smallCaps w:val="0"/>
          <w:snapToGrid w:val="0"/>
          <w:color w:val="auto"/>
          <w:spacing w:val="0"/>
          <w:kern w:val="0"/>
          <w:position w:val="0"/>
          <w:szCs w:val="21"/>
        </w:rPr>
        <w:fldChar w:fldCharType="end"/>
      </w:r>
      <w:r>
        <w:rPr>
          <w:rFonts w:hint="default" w:ascii="Times New Roman" w:hAnsi="Times New Roman" w:eastAsia="宋体" w:cs="Times New Roman"/>
          <w:smallCaps w:val="0"/>
          <w:snapToGrid w:val="0"/>
          <w:color w:val="auto"/>
          <w:spacing w:val="0"/>
          <w:kern w:val="0"/>
          <w:position w:val="0"/>
          <w:szCs w:val="21"/>
        </w:rPr>
        <w:t>；</w:t>
      </w:r>
      <w:r>
        <w:rPr>
          <w:rFonts w:hint="default" w:ascii="Times New Roman" w:hAnsi="Times New Roman" w:eastAsia="宋体" w:cs="Times New Roman"/>
          <w:smallCaps w:val="0"/>
          <w:snapToGrid w:val="0"/>
          <w:color w:val="auto"/>
          <w:spacing w:val="0"/>
          <w:kern w:val="0"/>
          <w:position w:val="0"/>
          <w:szCs w:val="21"/>
        </w:rPr>
        <w:fldChar w:fldCharType="begin"/>
      </w:r>
      <w:r>
        <w:rPr>
          <w:rFonts w:hint="default" w:ascii="Times New Roman" w:hAnsi="Times New Roman" w:eastAsia="宋体" w:cs="Times New Roman"/>
          <w:smallCaps w:val="0"/>
          <w:snapToGrid w:val="0"/>
          <w:color w:val="auto"/>
          <w:spacing w:val="0"/>
          <w:kern w:val="0"/>
          <w:position w:val="0"/>
          <w:szCs w:val="21"/>
        </w:rPr>
        <w:instrText xml:space="preserve"> = 7 \* GB3 \* MERGEFORMAT </w:instrText>
      </w:r>
      <w:r>
        <w:rPr>
          <w:rFonts w:hint="default" w:ascii="Times New Roman" w:hAnsi="Times New Roman" w:eastAsia="宋体" w:cs="Times New Roman"/>
          <w:smallCaps w:val="0"/>
          <w:snapToGrid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⑦</w:t>
      </w:r>
      <w:r>
        <w:rPr>
          <w:rFonts w:hint="default" w:ascii="Times New Roman" w:hAnsi="Times New Roman" w:eastAsia="宋体" w:cs="Times New Roman"/>
          <w:smallCaps w:val="0"/>
          <w:snapToGrid w:val="0"/>
          <w:color w:val="auto"/>
          <w:spacing w:val="0"/>
          <w:kern w:val="0"/>
          <w:position w:val="0"/>
          <w:szCs w:val="21"/>
        </w:rPr>
        <w:fldChar w:fldCharType="end"/>
      </w:r>
      <w:r>
        <w:rPr>
          <w:rFonts w:hint="default" w:ascii="Times New Roman" w:hAnsi="Times New Roman" w:eastAsia="宋体" w:cs="Times New Roman"/>
          <w:smallCaps w:val="0"/>
          <w:snapToGrid w:val="0"/>
          <w:color w:val="auto"/>
          <w:spacing w:val="0"/>
          <w:kern w:val="0"/>
          <w:position w:val="0"/>
          <w:szCs w:val="21"/>
        </w:rPr>
        <w:t>=</w:t>
      </w:r>
      <w:r>
        <w:rPr>
          <w:rFonts w:hint="default" w:ascii="Times New Roman" w:hAnsi="Times New Roman" w:eastAsia="宋体" w:cs="Times New Roman"/>
          <w:smallCaps w:val="0"/>
          <w:snapToGrid w:val="0"/>
          <w:color w:val="auto"/>
          <w:spacing w:val="0"/>
          <w:kern w:val="0"/>
          <w:position w:val="0"/>
          <w:szCs w:val="21"/>
        </w:rPr>
        <w:fldChar w:fldCharType="begin"/>
      </w:r>
      <w:r>
        <w:rPr>
          <w:rFonts w:hint="default" w:ascii="Times New Roman" w:hAnsi="Times New Roman" w:eastAsia="宋体" w:cs="Times New Roman"/>
          <w:smallCaps w:val="0"/>
          <w:snapToGrid w:val="0"/>
          <w:color w:val="auto"/>
          <w:spacing w:val="0"/>
          <w:kern w:val="0"/>
          <w:position w:val="0"/>
          <w:szCs w:val="21"/>
        </w:rPr>
        <w:instrText xml:space="preserve"> = 6 \* GB3 \* MERGEFORMAT </w:instrText>
      </w:r>
      <w:r>
        <w:rPr>
          <w:rFonts w:hint="default" w:ascii="Times New Roman" w:hAnsi="Times New Roman" w:eastAsia="宋体" w:cs="Times New Roman"/>
          <w:smallCaps w:val="0"/>
          <w:snapToGrid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⑥</w:t>
      </w:r>
      <w:r>
        <w:rPr>
          <w:rFonts w:hint="default" w:ascii="Times New Roman" w:hAnsi="Times New Roman" w:eastAsia="宋体" w:cs="Times New Roman"/>
          <w:smallCaps w:val="0"/>
          <w:snapToGrid w:val="0"/>
          <w:color w:val="auto"/>
          <w:spacing w:val="0"/>
          <w:kern w:val="0"/>
          <w:position w:val="0"/>
          <w:szCs w:val="21"/>
        </w:rPr>
        <w:fldChar w:fldCharType="end"/>
      </w:r>
      <w:r>
        <w:rPr>
          <w:rFonts w:hint="default" w:ascii="Times New Roman" w:hAnsi="Times New Roman" w:eastAsia="宋体" w:cs="Times New Roman"/>
          <w:smallCaps w:val="0"/>
          <w:snapToGrid w:val="0"/>
          <w:color w:val="auto"/>
          <w:spacing w:val="0"/>
          <w:kern w:val="0"/>
          <w:position w:val="0"/>
          <w:szCs w:val="21"/>
        </w:rPr>
        <w:t>-</w:t>
      </w:r>
      <w:r>
        <w:rPr>
          <w:rFonts w:hint="default" w:ascii="Times New Roman" w:hAnsi="Times New Roman" w:eastAsia="宋体" w:cs="Times New Roman"/>
          <w:smallCaps w:val="0"/>
          <w:snapToGrid w:val="0"/>
          <w:color w:val="auto"/>
          <w:spacing w:val="0"/>
          <w:kern w:val="0"/>
          <w:position w:val="0"/>
          <w:szCs w:val="21"/>
        </w:rPr>
        <w:fldChar w:fldCharType="begin"/>
      </w:r>
      <w:r>
        <w:rPr>
          <w:rFonts w:hint="default" w:ascii="Times New Roman" w:hAnsi="Times New Roman" w:eastAsia="宋体" w:cs="Times New Roman"/>
          <w:smallCaps w:val="0"/>
          <w:snapToGrid w:val="0"/>
          <w:color w:val="auto"/>
          <w:spacing w:val="0"/>
          <w:kern w:val="0"/>
          <w:position w:val="0"/>
          <w:szCs w:val="21"/>
        </w:rPr>
        <w:instrText xml:space="preserve"> = 1 \* GB3 \* MERGEFORMAT </w:instrText>
      </w:r>
      <w:r>
        <w:rPr>
          <w:rFonts w:hint="default" w:ascii="Times New Roman" w:hAnsi="Times New Roman" w:eastAsia="宋体" w:cs="Times New Roman"/>
          <w:smallCaps w:val="0"/>
          <w:snapToGrid w:val="0"/>
          <w:color w:val="auto"/>
          <w:spacing w:val="0"/>
          <w:kern w:val="0"/>
          <w:position w:val="0"/>
          <w:szCs w:val="21"/>
        </w:rPr>
        <w:fldChar w:fldCharType="separate"/>
      </w:r>
      <w:r>
        <w:rPr>
          <w:rFonts w:hint="default" w:ascii="Times New Roman" w:hAnsi="Times New Roman" w:eastAsia="宋体" w:cs="Times New Roman"/>
          <w:smallCaps w:val="0"/>
          <w:color w:val="auto"/>
          <w:spacing w:val="0"/>
          <w:kern w:val="0"/>
          <w:position w:val="0"/>
          <w:szCs w:val="21"/>
        </w:rPr>
        <w:t>①</w:t>
      </w:r>
      <w:r>
        <w:rPr>
          <w:rFonts w:hint="default" w:ascii="Times New Roman" w:hAnsi="Times New Roman" w:eastAsia="宋体" w:cs="Times New Roman"/>
          <w:smallCaps w:val="0"/>
          <w:snapToGrid w:val="0"/>
          <w:color w:val="auto"/>
          <w:spacing w:val="0"/>
          <w:kern w:val="0"/>
          <w:position w:val="0"/>
          <w:szCs w:val="21"/>
        </w:rPr>
        <w:fldChar w:fldCharType="end"/>
      </w:r>
    </w:p>
    <w:p w14:paraId="558AA9BC">
      <w:pPr>
        <w:spacing w:before="60" w:after="60"/>
        <w:rPr>
          <w:rFonts w:hint="default" w:ascii="Times New Roman" w:hAnsi="Times New Roman" w:eastAsia="宋体" w:cs="Times New Roman"/>
          <w:smallCaps w:val="0"/>
          <w:color w:val="auto"/>
          <w:spacing w:val="0"/>
          <w:kern w:val="0"/>
          <w:position w:val="0"/>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17"/>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5B26F11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9070" w:type="dxa"/>
            <w:noWrap w:val="0"/>
            <w:vAlign w:val="center"/>
          </w:tcPr>
          <w:p w14:paraId="6858BA12">
            <w:pPr>
              <w:spacing w:line="360" w:lineRule="auto"/>
              <w:ind w:firstLine="482" w:firstLineChars="200"/>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附件：</w:t>
            </w:r>
          </w:p>
          <w:p w14:paraId="6EF05AF5">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附件1：备案证</w:t>
            </w:r>
          </w:p>
          <w:p w14:paraId="0136FB0A">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附件2：土地手续</w:t>
            </w:r>
          </w:p>
          <w:p w14:paraId="7FCDE5C3">
            <w:pPr>
              <w:spacing w:line="360" w:lineRule="auto"/>
              <w:ind w:firstLine="480" w:firstLineChars="200"/>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rPr>
              <w:t>附件3：营业执照</w:t>
            </w:r>
            <w:r>
              <w:rPr>
                <w:rFonts w:hint="default" w:ascii="Times New Roman" w:hAnsi="Times New Roman" w:eastAsia="宋体" w:cs="Times New Roman"/>
                <w:smallCaps w:val="0"/>
                <w:color w:val="auto"/>
                <w:spacing w:val="0"/>
                <w:kern w:val="0"/>
                <w:position w:val="0"/>
                <w:sz w:val="24"/>
                <w:lang w:val="en-US" w:eastAsia="zh-CN"/>
              </w:rPr>
              <w:t>和法人身份证</w:t>
            </w:r>
          </w:p>
          <w:p w14:paraId="01B5B8E0">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附件4：环境现状监测报告</w:t>
            </w:r>
          </w:p>
          <w:p w14:paraId="0E1B8D1B">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附件5：项目所在</w:t>
            </w:r>
            <w:r>
              <w:rPr>
                <w:rFonts w:hint="default" w:ascii="Times New Roman" w:hAnsi="Times New Roman" w:eastAsia="宋体" w:cs="Times New Roman"/>
                <w:smallCaps w:val="0"/>
                <w:color w:val="auto"/>
                <w:spacing w:val="0"/>
                <w:kern w:val="0"/>
                <w:position w:val="0"/>
                <w:sz w:val="24"/>
                <w:lang w:val="en-US" w:eastAsia="zh-CN"/>
              </w:rPr>
              <w:t>区域</w:t>
            </w:r>
            <w:r>
              <w:rPr>
                <w:rFonts w:hint="default" w:ascii="Times New Roman" w:hAnsi="Times New Roman" w:eastAsia="宋体" w:cs="Times New Roman"/>
                <w:smallCaps w:val="0"/>
                <w:color w:val="auto"/>
                <w:spacing w:val="0"/>
                <w:kern w:val="0"/>
                <w:position w:val="0"/>
                <w:sz w:val="24"/>
              </w:rPr>
              <w:t>规划及规划环评批复</w:t>
            </w:r>
          </w:p>
          <w:p w14:paraId="09F6DA29">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附件6：污水接管协议</w:t>
            </w:r>
          </w:p>
          <w:p w14:paraId="0ED7CD51">
            <w:pPr>
              <w:spacing w:line="360" w:lineRule="auto"/>
              <w:ind w:firstLine="480" w:firstLineChars="200"/>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附件7：油墨MSDS和VOC检测报告</w:t>
            </w:r>
          </w:p>
          <w:p w14:paraId="02BB1205">
            <w:pPr>
              <w:spacing w:line="360" w:lineRule="auto"/>
              <w:ind w:firstLine="480" w:firstLineChars="200"/>
              <w:rPr>
                <w:rFonts w:hint="eastAsia" w:ascii="Times New Roman" w:hAnsi="Times New Roman" w:eastAsia="宋体" w:cs="Times New Roman"/>
                <w:smallCaps w:val="0"/>
                <w:color w:val="auto"/>
                <w:spacing w:val="0"/>
                <w:kern w:val="0"/>
                <w:position w:val="0"/>
                <w:sz w:val="24"/>
                <w:lang w:val="en-US" w:eastAsia="zh-CN"/>
              </w:rPr>
            </w:pPr>
            <w:r>
              <w:rPr>
                <w:rFonts w:hint="eastAsia" w:ascii="Times New Roman" w:hAnsi="Times New Roman" w:eastAsia="宋体" w:cs="Times New Roman"/>
                <w:smallCaps w:val="0"/>
                <w:color w:val="auto"/>
                <w:spacing w:val="0"/>
                <w:kern w:val="0"/>
                <w:position w:val="0"/>
                <w:sz w:val="24"/>
                <w:lang w:val="en-US" w:eastAsia="zh-CN"/>
              </w:rPr>
              <w:t>附件8：委托书</w:t>
            </w:r>
          </w:p>
          <w:p w14:paraId="431AADFF">
            <w:pPr>
              <w:spacing w:line="360" w:lineRule="auto"/>
              <w:ind w:firstLine="480" w:firstLineChars="200"/>
              <w:rPr>
                <w:rFonts w:hint="eastAsia" w:ascii="Times New Roman" w:hAnsi="Times New Roman" w:eastAsia="宋体" w:cs="Times New Roman"/>
                <w:smallCaps w:val="0"/>
                <w:color w:val="auto"/>
                <w:spacing w:val="0"/>
                <w:kern w:val="0"/>
                <w:position w:val="0"/>
                <w:sz w:val="24"/>
                <w:lang w:val="en-US" w:eastAsia="zh-CN"/>
              </w:rPr>
            </w:pPr>
            <w:r>
              <w:rPr>
                <w:rFonts w:hint="eastAsia" w:ascii="Times New Roman" w:hAnsi="Times New Roman" w:eastAsia="宋体" w:cs="Times New Roman"/>
                <w:smallCaps w:val="0"/>
                <w:color w:val="auto"/>
                <w:spacing w:val="0"/>
                <w:kern w:val="0"/>
                <w:position w:val="0"/>
                <w:sz w:val="24"/>
                <w:lang w:val="en-US" w:eastAsia="zh-CN"/>
              </w:rPr>
              <w:t>附件9：建设单位承诺书</w:t>
            </w:r>
          </w:p>
          <w:p w14:paraId="7422C6F8">
            <w:pPr>
              <w:spacing w:line="360" w:lineRule="auto"/>
              <w:ind w:firstLine="480" w:firstLineChars="200"/>
              <w:rPr>
                <w:rFonts w:hint="eastAsia" w:ascii="Times New Roman" w:hAnsi="Times New Roman" w:eastAsia="宋体" w:cs="Times New Roman"/>
                <w:smallCaps w:val="0"/>
                <w:color w:val="auto"/>
                <w:spacing w:val="0"/>
                <w:kern w:val="0"/>
                <w:position w:val="0"/>
                <w:sz w:val="24"/>
                <w:lang w:val="en-US" w:eastAsia="zh-CN"/>
              </w:rPr>
            </w:pPr>
            <w:r>
              <w:rPr>
                <w:rFonts w:hint="eastAsia" w:ascii="Times New Roman" w:hAnsi="Times New Roman" w:eastAsia="宋体" w:cs="Times New Roman"/>
                <w:smallCaps w:val="0"/>
                <w:color w:val="auto"/>
                <w:spacing w:val="0"/>
                <w:kern w:val="0"/>
                <w:position w:val="0"/>
                <w:sz w:val="24"/>
                <w:lang w:val="en-US" w:eastAsia="zh-CN"/>
              </w:rPr>
              <w:t>附件10：危险废物处置承诺书</w:t>
            </w:r>
          </w:p>
          <w:p w14:paraId="1BCCA649">
            <w:pPr>
              <w:spacing w:line="360" w:lineRule="auto"/>
              <w:ind w:firstLine="480" w:firstLineChars="200"/>
              <w:rPr>
                <w:rFonts w:hint="eastAsia" w:ascii="Times New Roman" w:hAnsi="Times New Roman" w:eastAsia="宋体" w:cs="Times New Roman"/>
                <w:smallCaps w:val="0"/>
                <w:color w:val="auto"/>
                <w:spacing w:val="0"/>
                <w:kern w:val="0"/>
                <w:position w:val="0"/>
                <w:sz w:val="24"/>
                <w:lang w:val="en-US" w:eastAsia="zh-CN"/>
              </w:rPr>
            </w:pPr>
            <w:r>
              <w:rPr>
                <w:rFonts w:hint="eastAsia" w:ascii="Times New Roman" w:hAnsi="Times New Roman" w:eastAsia="宋体" w:cs="Times New Roman"/>
                <w:smallCaps w:val="0"/>
                <w:color w:val="auto"/>
                <w:spacing w:val="0"/>
                <w:kern w:val="0"/>
                <w:position w:val="0"/>
                <w:sz w:val="24"/>
                <w:lang w:val="en-US" w:eastAsia="zh-CN"/>
              </w:rPr>
              <w:t>附件11：报批承诺书</w:t>
            </w:r>
          </w:p>
          <w:p w14:paraId="3CDBE4E8">
            <w:pPr>
              <w:spacing w:line="360" w:lineRule="auto"/>
              <w:ind w:firstLine="480" w:firstLineChars="200"/>
              <w:rPr>
                <w:rFonts w:hint="default"/>
                <w:color w:val="auto"/>
                <w:lang w:val="en-US" w:eastAsia="zh-CN"/>
              </w:rPr>
            </w:pPr>
            <w:r>
              <w:rPr>
                <w:rFonts w:hint="eastAsia" w:ascii="Times New Roman" w:hAnsi="Times New Roman" w:eastAsia="宋体" w:cs="Times New Roman"/>
                <w:smallCaps w:val="0"/>
                <w:color w:val="auto"/>
                <w:spacing w:val="0"/>
                <w:kern w:val="0"/>
                <w:position w:val="0"/>
                <w:sz w:val="24"/>
                <w:lang w:val="en-US" w:eastAsia="zh-CN"/>
              </w:rPr>
              <w:t>附件12建设单位环评单位公示承诺</w:t>
            </w:r>
          </w:p>
          <w:p w14:paraId="19DF156C">
            <w:pPr>
              <w:spacing w:line="360" w:lineRule="auto"/>
              <w:ind w:firstLine="482" w:firstLineChars="200"/>
              <w:rPr>
                <w:rFonts w:hint="default" w:ascii="Times New Roman" w:hAnsi="Times New Roman" w:eastAsia="宋体" w:cs="Times New Roman"/>
                <w:b/>
                <w:smallCaps w:val="0"/>
                <w:color w:val="auto"/>
                <w:spacing w:val="0"/>
                <w:kern w:val="0"/>
                <w:position w:val="0"/>
                <w:sz w:val="24"/>
              </w:rPr>
            </w:pPr>
            <w:r>
              <w:rPr>
                <w:rFonts w:hint="default" w:ascii="Times New Roman" w:hAnsi="Times New Roman" w:eastAsia="宋体" w:cs="Times New Roman"/>
                <w:b/>
                <w:smallCaps w:val="0"/>
                <w:color w:val="auto"/>
                <w:spacing w:val="0"/>
                <w:kern w:val="0"/>
                <w:position w:val="0"/>
                <w:sz w:val="24"/>
              </w:rPr>
              <w:t>附图：</w:t>
            </w:r>
          </w:p>
          <w:p w14:paraId="6284ABBE">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附图1：项目地理位置示意图</w:t>
            </w:r>
          </w:p>
          <w:p w14:paraId="15858863">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附图2：项目周边500米范围土地利用现状示意图</w:t>
            </w:r>
          </w:p>
          <w:p w14:paraId="2456A184">
            <w:pPr>
              <w:spacing w:line="360" w:lineRule="auto"/>
              <w:ind w:firstLine="480" w:firstLineChars="200"/>
              <w:rPr>
                <w:rFonts w:hint="default" w:ascii="Times New Roman" w:hAnsi="Times New Roman" w:eastAsia="宋体" w:cs="Times New Roman"/>
                <w:smallCaps w:val="0"/>
                <w:color w:val="auto"/>
                <w:spacing w:val="0"/>
                <w:kern w:val="0"/>
                <w:position w:val="0"/>
                <w:sz w:val="24"/>
                <w:lang w:eastAsia="zh-CN"/>
              </w:rPr>
            </w:pPr>
            <w:r>
              <w:rPr>
                <w:rFonts w:hint="default" w:ascii="Times New Roman" w:hAnsi="Times New Roman" w:eastAsia="宋体" w:cs="Times New Roman"/>
                <w:smallCaps w:val="0"/>
                <w:color w:val="auto"/>
                <w:spacing w:val="0"/>
                <w:kern w:val="0"/>
                <w:position w:val="0"/>
                <w:sz w:val="24"/>
              </w:rPr>
              <w:t>附图3：厂区</w:t>
            </w:r>
            <w:r>
              <w:rPr>
                <w:rFonts w:hint="default" w:ascii="Times New Roman" w:hAnsi="Times New Roman" w:eastAsia="宋体" w:cs="Times New Roman"/>
                <w:smallCaps w:val="0"/>
                <w:color w:val="auto"/>
                <w:spacing w:val="0"/>
                <w:kern w:val="0"/>
                <w:position w:val="0"/>
                <w:sz w:val="24"/>
                <w:lang w:val="en-US" w:eastAsia="zh-CN"/>
              </w:rPr>
              <w:t>和车间</w:t>
            </w:r>
            <w:r>
              <w:rPr>
                <w:rFonts w:hint="default" w:ascii="Times New Roman" w:hAnsi="Times New Roman" w:eastAsia="宋体" w:cs="Times New Roman"/>
                <w:smallCaps w:val="0"/>
                <w:color w:val="auto"/>
                <w:spacing w:val="0"/>
                <w:kern w:val="0"/>
                <w:position w:val="0"/>
                <w:sz w:val="24"/>
              </w:rPr>
              <w:t>平面布置示意图</w:t>
            </w:r>
          </w:p>
          <w:p w14:paraId="7EDFFD32">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附图4：常州市生态空间保护区分布图</w:t>
            </w:r>
          </w:p>
          <w:p w14:paraId="34CAD0F1">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附图5：项目所在地规划图</w:t>
            </w:r>
          </w:p>
          <w:p w14:paraId="5EFEB079">
            <w:pPr>
              <w:spacing w:line="360" w:lineRule="auto"/>
              <w:ind w:firstLine="480" w:firstLineChars="200"/>
              <w:rPr>
                <w:rFonts w:hint="default" w:ascii="Times New Roman" w:hAnsi="Times New Roman" w:eastAsia="宋体" w:cs="Times New Roman"/>
                <w:smallCaps w:val="0"/>
                <w:color w:val="auto"/>
                <w:spacing w:val="0"/>
                <w:kern w:val="0"/>
                <w:position w:val="0"/>
                <w:sz w:val="24"/>
              </w:rPr>
            </w:pPr>
            <w:r>
              <w:rPr>
                <w:rFonts w:hint="default" w:ascii="Times New Roman" w:hAnsi="Times New Roman" w:eastAsia="宋体" w:cs="Times New Roman"/>
                <w:smallCaps w:val="0"/>
                <w:color w:val="auto"/>
                <w:spacing w:val="0"/>
                <w:kern w:val="0"/>
                <w:position w:val="0"/>
                <w:sz w:val="24"/>
              </w:rPr>
              <w:t>附图6：项目周边水系概化示意图</w:t>
            </w:r>
          </w:p>
          <w:p w14:paraId="2949EC62">
            <w:pPr>
              <w:spacing w:line="360" w:lineRule="auto"/>
              <w:ind w:firstLine="480" w:firstLineChars="200"/>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附图7：常州市国土空间总体规划图（2021-2035年）</w:t>
            </w:r>
          </w:p>
          <w:p w14:paraId="50134EBE">
            <w:pPr>
              <w:spacing w:line="360" w:lineRule="auto"/>
              <w:ind w:firstLine="480" w:firstLineChars="200"/>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附图8：常州市环境管控单元图</w:t>
            </w:r>
          </w:p>
          <w:p w14:paraId="1114A6D0">
            <w:pPr>
              <w:spacing w:line="360" w:lineRule="auto"/>
              <w:ind w:firstLine="480" w:firstLineChars="200"/>
              <w:rPr>
                <w:rFonts w:hint="default" w:ascii="Times New Roman" w:hAnsi="Times New Roman" w:eastAsia="宋体" w:cs="Times New Roman"/>
                <w:smallCaps w:val="0"/>
                <w:color w:val="auto"/>
                <w:spacing w:val="0"/>
                <w:kern w:val="0"/>
                <w:position w:val="0"/>
                <w:sz w:val="24"/>
                <w:lang w:val="en-US" w:eastAsia="zh-CN"/>
              </w:rPr>
            </w:pPr>
            <w:r>
              <w:rPr>
                <w:rFonts w:hint="default" w:ascii="Times New Roman" w:hAnsi="Times New Roman" w:eastAsia="宋体" w:cs="Times New Roman"/>
                <w:smallCaps w:val="0"/>
                <w:color w:val="auto"/>
                <w:spacing w:val="0"/>
                <w:kern w:val="0"/>
                <w:position w:val="0"/>
                <w:sz w:val="24"/>
                <w:lang w:val="en-US" w:eastAsia="zh-CN"/>
              </w:rPr>
              <w:t>附图9：江苏省2023年生态环境分区管控动态更新成果图</w:t>
            </w:r>
          </w:p>
          <w:p w14:paraId="060E8419">
            <w:pPr>
              <w:spacing w:line="360" w:lineRule="auto"/>
              <w:ind w:firstLine="480" w:firstLineChars="200"/>
              <w:rPr>
                <w:rFonts w:hint="default" w:ascii="Times New Roman" w:hAnsi="Times New Roman" w:eastAsia="宋体" w:cs="Times New Roman"/>
                <w:smallCaps w:val="0"/>
                <w:color w:val="auto"/>
                <w:spacing w:val="0"/>
                <w:kern w:val="0"/>
                <w:position w:val="0"/>
                <w:sz w:val="24"/>
              </w:rPr>
            </w:pPr>
          </w:p>
          <w:p w14:paraId="6792EAF1">
            <w:pPr>
              <w:spacing w:line="360" w:lineRule="auto"/>
              <w:ind w:firstLine="480" w:firstLineChars="200"/>
              <w:rPr>
                <w:rFonts w:hint="default" w:ascii="Times New Roman" w:hAnsi="Times New Roman" w:eastAsia="宋体" w:cs="Times New Roman"/>
                <w:smallCaps w:val="0"/>
                <w:color w:val="auto"/>
                <w:spacing w:val="0"/>
                <w:kern w:val="0"/>
                <w:position w:val="0"/>
                <w:sz w:val="24"/>
              </w:rPr>
            </w:pPr>
          </w:p>
          <w:p w14:paraId="47EFE36E">
            <w:pPr>
              <w:spacing w:line="360" w:lineRule="auto"/>
              <w:rPr>
                <w:rFonts w:hint="default" w:ascii="Times New Roman" w:hAnsi="Times New Roman" w:eastAsia="宋体" w:cs="Times New Roman"/>
                <w:smallCaps w:val="0"/>
                <w:color w:val="auto"/>
                <w:spacing w:val="0"/>
                <w:kern w:val="0"/>
                <w:position w:val="0"/>
                <w:sz w:val="24"/>
              </w:rPr>
            </w:pPr>
          </w:p>
          <w:p w14:paraId="77EB824A">
            <w:pPr>
              <w:spacing w:line="360" w:lineRule="auto"/>
              <w:rPr>
                <w:rFonts w:hint="default" w:ascii="Times New Roman" w:hAnsi="Times New Roman" w:eastAsia="宋体" w:cs="Times New Roman"/>
                <w:smallCaps w:val="0"/>
                <w:color w:val="auto"/>
                <w:spacing w:val="0"/>
                <w:kern w:val="0"/>
                <w:position w:val="0"/>
                <w:sz w:val="24"/>
              </w:rPr>
            </w:pPr>
          </w:p>
        </w:tc>
      </w:tr>
    </w:tbl>
    <w:p w14:paraId="23360D3C">
      <w:pPr>
        <w:rPr>
          <w:rFonts w:hint="default" w:ascii="Times New Roman" w:hAnsi="Times New Roman" w:eastAsia="宋体" w:cs="Times New Roman"/>
          <w:smallCaps w:val="0"/>
          <w:color w:val="auto"/>
          <w:spacing w:val="0"/>
          <w:kern w:val="0"/>
          <w:position w:val="0"/>
        </w:rPr>
      </w:pPr>
    </w:p>
    <w:p w14:paraId="19C43492">
      <w:pPr>
        <w:rPr>
          <w:rFonts w:hint="default" w:ascii="Times New Roman" w:hAnsi="Times New Roman" w:eastAsia="宋体" w:cs="Times New Roman"/>
          <w:color w:val="auto"/>
          <w:spacing w:val="0"/>
          <w:kern w:val="0"/>
          <w:position w:val="0"/>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Microsoft JhengHei Light">
    <w:altName w:val="Microsoft JhengHei"/>
    <w:panose1 w:val="020B0304030504040204"/>
    <w:charset w:val="88"/>
    <w:family w:val="swiss"/>
    <w:pitch w:val="default"/>
    <w:sig w:usb0="00000000" w:usb1="00000000" w:usb2="00000016" w:usb3="00000000" w:csb0="00100009" w:csb1="00000000"/>
  </w:font>
  <w:font w:name="华文仿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80F3C52"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方正仿宋_GBK">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BD947">
    <w:pPr>
      <w:pStyle w:val="11"/>
      <w:jc w:val="center"/>
      <w:rPr>
        <w:rFonts w:hint="eastAsi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9708F">
    <w:pPr>
      <w:pStyle w:val="11"/>
      <w:jc w:val="center"/>
      <w:rPr>
        <w:rFonts w:hint="eastAsia"/>
        <w:sz w:val="24"/>
        <w:szCs w:val="24"/>
      </w:rPr>
    </w:pPr>
    <w:r>
      <w:rPr>
        <w:sz w:val="24"/>
        <w:szCs w:val="24"/>
      </w:rPr>
      <w:t>-</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r>
      <w:rPr>
        <w:sz w:val="24"/>
        <w:szCs w:val="2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771C9">
    <w:pPr>
      <w:pStyle w:val="11"/>
      <w:jc w:val="center"/>
      <w:rPr>
        <w:rFonts w:hint="eastAsia"/>
        <w:sz w:val="24"/>
        <w:szCs w:val="24"/>
      </w:rPr>
    </w:pPr>
    <w:r>
      <w:rPr>
        <w:sz w:val="24"/>
        <w:szCs w:val="24"/>
      </w:rPr>
      <w:t>-</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59</w:t>
    </w:r>
    <w:r>
      <w:rPr>
        <w:sz w:val="24"/>
        <w:szCs w:val="24"/>
      </w:rPr>
      <w:fldChar w:fldCharType="end"/>
    </w:r>
    <w:r>
      <w:rPr>
        <w:sz w:val="24"/>
        <w:szCs w:val="24"/>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4F83">
    <w:pPr>
      <w:pStyle w:val="11"/>
      <w:jc w:val="center"/>
      <w:rPr>
        <w:rFonts w:hint="eastAsia"/>
        <w:sz w:val="24"/>
        <w:szCs w:val="24"/>
      </w:rPr>
    </w:pPr>
    <w:r>
      <w:rPr>
        <w:sz w:val="24"/>
        <w:szCs w:val="24"/>
      </w:rPr>
      <w:t>-</w:t>
    </w: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60</w:t>
    </w:r>
    <w:r>
      <w:rPr>
        <w:sz w:val="24"/>
        <w:szCs w:val="24"/>
      </w:rPr>
      <w:fldChar w:fldCharType="end"/>
    </w:r>
    <w:r>
      <w:rPr>
        <w:sz w:val="24"/>
        <w:szCs w:val="24"/>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A84810"/>
    <w:multiLevelType w:val="singleLevel"/>
    <w:tmpl w:val="DFA84810"/>
    <w:lvl w:ilvl="0" w:tentative="0">
      <w:start w:val="6"/>
      <w:numFmt w:val="decimal"/>
      <w:suff w:val="nothing"/>
      <w:lvlText w:val="%1、"/>
      <w:lvlJc w:val="left"/>
    </w:lvl>
  </w:abstractNum>
  <w:abstractNum w:abstractNumId="1">
    <w:nsid w:val="05E4A0C4"/>
    <w:multiLevelType w:val="singleLevel"/>
    <w:tmpl w:val="05E4A0C4"/>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2">
    <w:nsid w:val="092F88DD"/>
    <w:multiLevelType w:val="singleLevel"/>
    <w:tmpl w:val="092F88DD"/>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iZWJmMjI0MWFmNTgzOTQ3MmYzNmIwMmUzMWIxNTkifQ=="/>
  </w:docVars>
  <w:rsids>
    <w:rsidRoot w:val="0C5E1966"/>
    <w:rsid w:val="00013654"/>
    <w:rsid w:val="00225378"/>
    <w:rsid w:val="002B06D1"/>
    <w:rsid w:val="003F417C"/>
    <w:rsid w:val="00627C25"/>
    <w:rsid w:val="00A831E2"/>
    <w:rsid w:val="010A6538"/>
    <w:rsid w:val="01101675"/>
    <w:rsid w:val="01170C55"/>
    <w:rsid w:val="014D0B1B"/>
    <w:rsid w:val="016F320E"/>
    <w:rsid w:val="019E68C4"/>
    <w:rsid w:val="01C4186A"/>
    <w:rsid w:val="02004145"/>
    <w:rsid w:val="020E2058"/>
    <w:rsid w:val="021B4775"/>
    <w:rsid w:val="02A824AD"/>
    <w:rsid w:val="02BA3F8E"/>
    <w:rsid w:val="02D92666"/>
    <w:rsid w:val="02E132C9"/>
    <w:rsid w:val="030D7D06"/>
    <w:rsid w:val="033863A0"/>
    <w:rsid w:val="033C32D6"/>
    <w:rsid w:val="034B3AB2"/>
    <w:rsid w:val="0360013E"/>
    <w:rsid w:val="0364779F"/>
    <w:rsid w:val="037E4FBC"/>
    <w:rsid w:val="038A746A"/>
    <w:rsid w:val="039447DF"/>
    <w:rsid w:val="03FA1D6D"/>
    <w:rsid w:val="04846602"/>
    <w:rsid w:val="048D2547"/>
    <w:rsid w:val="04C3537C"/>
    <w:rsid w:val="04CE1F73"/>
    <w:rsid w:val="04F25C61"/>
    <w:rsid w:val="054364BD"/>
    <w:rsid w:val="05445D91"/>
    <w:rsid w:val="055E241A"/>
    <w:rsid w:val="0577131E"/>
    <w:rsid w:val="0580501B"/>
    <w:rsid w:val="059D3E1F"/>
    <w:rsid w:val="05EC7396"/>
    <w:rsid w:val="05F81055"/>
    <w:rsid w:val="0600615C"/>
    <w:rsid w:val="060F45F1"/>
    <w:rsid w:val="06141C07"/>
    <w:rsid w:val="061834A6"/>
    <w:rsid w:val="0619721E"/>
    <w:rsid w:val="06A27213"/>
    <w:rsid w:val="06A64F55"/>
    <w:rsid w:val="06B74A9B"/>
    <w:rsid w:val="06C21663"/>
    <w:rsid w:val="06CB0518"/>
    <w:rsid w:val="07302215"/>
    <w:rsid w:val="07875025"/>
    <w:rsid w:val="078B7CA7"/>
    <w:rsid w:val="079E5C2C"/>
    <w:rsid w:val="07AD2313"/>
    <w:rsid w:val="07B611C8"/>
    <w:rsid w:val="081859DF"/>
    <w:rsid w:val="084C21AB"/>
    <w:rsid w:val="086E3851"/>
    <w:rsid w:val="08716E9D"/>
    <w:rsid w:val="087B7D1C"/>
    <w:rsid w:val="087E4839"/>
    <w:rsid w:val="08980FA6"/>
    <w:rsid w:val="08E04D27"/>
    <w:rsid w:val="08E51639"/>
    <w:rsid w:val="091066B6"/>
    <w:rsid w:val="09975029"/>
    <w:rsid w:val="09F66964"/>
    <w:rsid w:val="0A002BCE"/>
    <w:rsid w:val="0A4725AB"/>
    <w:rsid w:val="0A5922DF"/>
    <w:rsid w:val="0A7669ED"/>
    <w:rsid w:val="0AA277E2"/>
    <w:rsid w:val="0B024724"/>
    <w:rsid w:val="0B0E131B"/>
    <w:rsid w:val="0B136931"/>
    <w:rsid w:val="0B297F03"/>
    <w:rsid w:val="0B332B30"/>
    <w:rsid w:val="0B354AFA"/>
    <w:rsid w:val="0B3B07CF"/>
    <w:rsid w:val="0B6D4294"/>
    <w:rsid w:val="0B971310"/>
    <w:rsid w:val="0BB04180"/>
    <w:rsid w:val="0BD0037E"/>
    <w:rsid w:val="0C4072B2"/>
    <w:rsid w:val="0C4C3EA9"/>
    <w:rsid w:val="0C5745FC"/>
    <w:rsid w:val="0C5E1966"/>
    <w:rsid w:val="0CA070FC"/>
    <w:rsid w:val="0CBB102F"/>
    <w:rsid w:val="0CFB767D"/>
    <w:rsid w:val="0D0522AA"/>
    <w:rsid w:val="0D357E9A"/>
    <w:rsid w:val="0D3F2A90"/>
    <w:rsid w:val="0D53773F"/>
    <w:rsid w:val="0DAD4E1B"/>
    <w:rsid w:val="0DE10795"/>
    <w:rsid w:val="0E0B0E8F"/>
    <w:rsid w:val="0E574D87"/>
    <w:rsid w:val="0EA224A6"/>
    <w:rsid w:val="0F000F7B"/>
    <w:rsid w:val="0F3F7CF5"/>
    <w:rsid w:val="103510F8"/>
    <w:rsid w:val="105F7F23"/>
    <w:rsid w:val="10990E2B"/>
    <w:rsid w:val="10ED552F"/>
    <w:rsid w:val="112C42A9"/>
    <w:rsid w:val="117619C8"/>
    <w:rsid w:val="119A7465"/>
    <w:rsid w:val="11B25866"/>
    <w:rsid w:val="12054BF9"/>
    <w:rsid w:val="120B195B"/>
    <w:rsid w:val="121C60CC"/>
    <w:rsid w:val="123258EF"/>
    <w:rsid w:val="12596C22"/>
    <w:rsid w:val="12FB2185"/>
    <w:rsid w:val="13474641"/>
    <w:rsid w:val="134D0507"/>
    <w:rsid w:val="1380632E"/>
    <w:rsid w:val="138419BE"/>
    <w:rsid w:val="138C54D3"/>
    <w:rsid w:val="139323BD"/>
    <w:rsid w:val="13951B03"/>
    <w:rsid w:val="13DF3855"/>
    <w:rsid w:val="13E9022F"/>
    <w:rsid w:val="14072DAB"/>
    <w:rsid w:val="143516C6"/>
    <w:rsid w:val="1457788F"/>
    <w:rsid w:val="147C5547"/>
    <w:rsid w:val="14A66120"/>
    <w:rsid w:val="14B00D4D"/>
    <w:rsid w:val="15051099"/>
    <w:rsid w:val="1525798D"/>
    <w:rsid w:val="154C4F1A"/>
    <w:rsid w:val="15891CCA"/>
    <w:rsid w:val="15C03212"/>
    <w:rsid w:val="15FA0A52"/>
    <w:rsid w:val="160C6457"/>
    <w:rsid w:val="163C4F8E"/>
    <w:rsid w:val="165322D8"/>
    <w:rsid w:val="166167A3"/>
    <w:rsid w:val="16726C02"/>
    <w:rsid w:val="168E50BE"/>
    <w:rsid w:val="16AE750E"/>
    <w:rsid w:val="16DB47A7"/>
    <w:rsid w:val="16E96798"/>
    <w:rsid w:val="170B2BB3"/>
    <w:rsid w:val="170E07FB"/>
    <w:rsid w:val="170E1AAB"/>
    <w:rsid w:val="17321EED"/>
    <w:rsid w:val="173619DD"/>
    <w:rsid w:val="174340FA"/>
    <w:rsid w:val="17471E3D"/>
    <w:rsid w:val="17712A16"/>
    <w:rsid w:val="178766DD"/>
    <w:rsid w:val="17C23271"/>
    <w:rsid w:val="181635BD"/>
    <w:rsid w:val="181A12FF"/>
    <w:rsid w:val="185A794E"/>
    <w:rsid w:val="186C7681"/>
    <w:rsid w:val="18756535"/>
    <w:rsid w:val="18963560"/>
    <w:rsid w:val="189A5F9C"/>
    <w:rsid w:val="18AD3F21"/>
    <w:rsid w:val="18B21538"/>
    <w:rsid w:val="18FF4051"/>
    <w:rsid w:val="19033B41"/>
    <w:rsid w:val="19355CC5"/>
    <w:rsid w:val="19404D95"/>
    <w:rsid w:val="196C5B8A"/>
    <w:rsid w:val="19A075E2"/>
    <w:rsid w:val="19C9248B"/>
    <w:rsid w:val="19E86222"/>
    <w:rsid w:val="19FB6838"/>
    <w:rsid w:val="1A045DC3"/>
    <w:rsid w:val="1A11228E"/>
    <w:rsid w:val="1A824F3A"/>
    <w:rsid w:val="1A9D1D74"/>
    <w:rsid w:val="1AAE3F81"/>
    <w:rsid w:val="1ABD6E96"/>
    <w:rsid w:val="1ACE63D1"/>
    <w:rsid w:val="1AD02149"/>
    <w:rsid w:val="1ADD03C2"/>
    <w:rsid w:val="1AFB7651"/>
    <w:rsid w:val="1AFD2812"/>
    <w:rsid w:val="1B0C6544"/>
    <w:rsid w:val="1B3E70B3"/>
    <w:rsid w:val="1BBB0703"/>
    <w:rsid w:val="1BED2887"/>
    <w:rsid w:val="1BF14125"/>
    <w:rsid w:val="1C033E58"/>
    <w:rsid w:val="1C077DEC"/>
    <w:rsid w:val="1C2838BF"/>
    <w:rsid w:val="1C5D17BA"/>
    <w:rsid w:val="1C640D9B"/>
    <w:rsid w:val="1C756F33"/>
    <w:rsid w:val="1C8C02F2"/>
    <w:rsid w:val="1CC950A2"/>
    <w:rsid w:val="1CEA3F89"/>
    <w:rsid w:val="1D1651A5"/>
    <w:rsid w:val="1D6E17A5"/>
    <w:rsid w:val="1DAD0520"/>
    <w:rsid w:val="1DB45D52"/>
    <w:rsid w:val="1DD81A5B"/>
    <w:rsid w:val="1E217E45"/>
    <w:rsid w:val="1E311151"/>
    <w:rsid w:val="1E392547"/>
    <w:rsid w:val="1E62130A"/>
    <w:rsid w:val="1EB83620"/>
    <w:rsid w:val="1EE2069D"/>
    <w:rsid w:val="1EE91A2B"/>
    <w:rsid w:val="1F3F0C31"/>
    <w:rsid w:val="1FB76FA9"/>
    <w:rsid w:val="201A79C2"/>
    <w:rsid w:val="2020322B"/>
    <w:rsid w:val="20452C91"/>
    <w:rsid w:val="204A474C"/>
    <w:rsid w:val="207B498E"/>
    <w:rsid w:val="20AA6F98"/>
    <w:rsid w:val="20D63E58"/>
    <w:rsid w:val="20D67D8D"/>
    <w:rsid w:val="20E00C0C"/>
    <w:rsid w:val="20E81880"/>
    <w:rsid w:val="20EE157B"/>
    <w:rsid w:val="21027150"/>
    <w:rsid w:val="212154AC"/>
    <w:rsid w:val="215A276C"/>
    <w:rsid w:val="218358F0"/>
    <w:rsid w:val="21A67760"/>
    <w:rsid w:val="21E375A4"/>
    <w:rsid w:val="21EA387F"/>
    <w:rsid w:val="223E208E"/>
    <w:rsid w:val="225673D8"/>
    <w:rsid w:val="226338A3"/>
    <w:rsid w:val="22821F7B"/>
    <w:rsid w:val="22C95DFC"/>
    <w:rsid w:val="22D64075"/>
    <w:rsid w:val="22DB5B2F"/>
    <w:rsid w:val="22EE1A35"/>
    <w:rsid w:val="231B417D"/>
    <w:rsid w:val="232A5C31"/>
    <w:rsid w:val="23362D65"/>
    <w:rsid w:val="23445482"/>
    <w:rsid w:val="23857FD5"/>
    <w:rsid w:val="238E2BA1"/>
    <w:rsid w:val="2398757C"/>
    <w:rsid w:val="239D4B92"/>
    <w:rsid w:val="23A423C5"/>
    <w:rsid w:val="23B10CA7"/>
    <w:rsid w:val="23CB16FF"/>
    <w:rsid w:val="23D30ABE"/>
    <w:rsid w:val="23D70CD9"/>
    <w:rsid w:val="23E34CC0"/>
    <w:rsid w:val="23F8626D"/>
    <w:rsid w:val="24247062"/>
    <w:rsid w:val="243454F7"/>
    <w:rsid w:val="24507E57"/>
    <w:rsid w:val="247934AE"/>
    <w:rsid w:val="249441E7"/>
    <w:rsid w:val="24BB1774"/>
    <w:rsid w:val="24BC54EC"/>
    <w:rsid w:val="24EE1B49"/>
    <w:rsid w:val="24FE653D"/>
    <w:rsid w:val="250A6257"/>
    <w:rsid w:val="25381017"/>
    <w:rsid w:val="25781F5A"/>
    <w:rsid w:val="257858B7"/>
    <w:rsid w:val="26064C71"/>
    <w:rsid w:val="26084CCE"/>
    <w:rsid w:val="26190E48"/>
    <w:rsid w:val="262844CA"/>
    <w:rsid w:val="264E6748"/>
    <w:rsid w:val="266F0A68"/>
    <w:rsid w:val="26A06E73"/>
    <w:rsid w:val="26A47E9A"/>
    <w:rsid w:val="26B50445"/>
    <w:rsid w:val="26E411C6"/>
    <w:rsid w:val="26F26C4B"/>
    <w:rsid w:val="2705317A"/>
    <w:rsid w:val="273D2914"/>
    <w:rsid w:val="276B56D3"/>
    <w:rsid w:val="277B343D"/>
    <w:rsid w:val="27934C2A"/>
    <w:rsid w:val="27942E59"/>
    <w:rsid w:val="27CC1EEA"/>
    <w:rsid w:val="2818512F"/>
    <w:rsid w:val="281D44F4"/>
    <w:rsid w:val="28201707"/>
    <w:rsid w:val="28520641"/>
    <w:rsid w:val="286D547B"/>
    <w:rsid w:val="28AA222B"/>
    <w:rsid w:val="28B5414E"/>
    <w:rsid w:val="28B975DD"/>
    <w:rsid w:val="28C130D1"/>
    <w:rsid w:val="28D058CB"/>
    <w:rsid w:val="28F837E2"/>
    <w:rsid w:val="28F96D0F"/>
    <w:rsid w:val="293B10D5"/>
    <w:rsid w:val="296A19BB"/>
    <w:rsid w:val="29804D3A"/>
    <w:rsid w:val="298C1931"/>
    <w:rsid w:val="2996630C"/>
    <w:rsid w:val="29EB2AFB"/>
    <w:rsid w:val="2A297180"/>
    <w:rsid w:val="2A443FBA"/>
    <w:rsid w:val="2A7E571E"/>
    <w:rsid w:val="2AA9206F"/>
    <w:rsid w:val="2AAD6003"/>
    <w:rsid w:val="2AC46EA9"/>
    <w:rsid w:val="2ACD3FAF"/>
    <w:rsid w:val="2B5272A1"/>
    <w:rsid w:val="2B75645C"/>
    <w:rsid w:val="2B8E7BE2"/>
    <w:rsid w:val="2B9920E3"/>
    <w:rsid w:val="2BCF662B"/>
    <w:rsid w:val="2BD4136D"/>
    <w:rsid w:val="2BE315B0"/>
    <w:rsid w:val="2BFE343B"/>
    <w:rsid w:val="2C08259C"/>
    <w:rsid w:val="2C344011"/>
    <w:rsid w:val="2C363DD6"/>
    <w:rsid w:val="2C372028"/>
    <w:rsid w:val="2C730B86"/>
    <w:rsid w:val="2C954FA0"/>
    <w:rsid w:val="2CDA6E57"/>
    <w:rsid w:val="2D12214D"/>
    <w:rsid w:val="2D2B1461"/>
    <w:rsid w:val="2D3622E0"/>
    <w:rsid w:val="2D3751C6"/>
    <w:rsid w:val="2D4927FA"/>
    <w:rsid w:val="2D6D1C68"/>
    <w:rsid w:val="2D7B4196"/>
    <w:rsid w:val="2DA6431A"/>
    <w:rsid w:val="2DCF6290"/>
    <w:rsid w:val="2DE25FC3"/>
    <w:rsid w:val="2DFF5BF4"/>
    <w:rsid w:val="2E423D71"/>
    <w:rsid w:val="2E56250D"/>
    <w:rsid w:val="2E7B1F74"/>
    <w:rsid w:val="2E7C01C6"/>
    <w:rsid w:val="2E862DF3"/>
    <w:rsid w:val="2E884DBD"/>
    <w:rsid w:val="2EAD65D1"/>
    <w:rsid w:val="2EF22236"/>
    <w:rsid w:val="2F0B453A"/>
    <w:rsid w:val="2F1321AD"/>
    <w:rsid w:val="2F7C41F6"/>
    <w:rsid w:val="2F8D01B1"/>
    <w:rsid w:val="2F8F3F29"/>
    <w:rsid w:val="2FA379D4"/>
    <w:rsid w:val="2FBC45F2"/>
    <w:rsid w:val="2FC260AC"/>
    <w:rsid w:val="2FDC6A42"/>
    <w:rsid w:val="2FFA3A98"/>
    <w:rsid w:val="305F1B4D"/>
    <w:rsid w:val="307153DD"/>
    <w:rsid w:val="30980BBB"/>
    <w:rsid w:val="30AB4D93"/>
    <w:rsid w:val="30CE0A81"/>
    <w:rsid w:val="30EF13AC"/>
    <w:rsid w:val="312863E3"/>
    <w:rsid w:val="319475D5"/>
    <w:rsid w:val="319677F1"/>
    <w:rsid w:val="32340DB8"/>
    <w:rsid w:val="32A45F3D"/>
    <w:rsid w:val="32C75788"/>
    <w:rsid w:val="33136C1F"/>
    <w:rsid w:val="331C1F78"/>
    <w:rsid w:val="33244988"/>
    <w:rsid w:val="335F1E64"/>
    <w:rsid w:val="34083F6D"/>
    <w:rsid w:val="340F73E6"/>
    <w:rsid w:val="342A25E0"/>
    <w:rsid w:val="34367069"/>
    <w:rsid w:val="34661D88"/>
    <w:rsid w:val="34945B3E"/>
    <w:rsid w:val="34F30AB6"/>
    <w:rsid w:val="34FD36E3"/>
    <w:rsid w:val="35C0308E"/>
    <w:rsid w:val="35EB1B74"/>
    <w:rsid w:val="35F03248"/>
    <w:rsid w:val="35F67060"/>
    <w:rsid w:val="361909F0"/>
    <w:rsid w:val="36AF6C5F"/>
    <w:rsid w:val="36B64491"/>
    <w:rsid w:val="370F502E"/>
    <w:rsid w:val="376C68FE"/>
    <w:rsid w:val="3775168B"/>
    <w:rsid w:val="378620B5"/>
    <w:rsid w:val="37DE3C9F"/>
    <w:rsid w:val="37FA215C"/>
    <w:rsid w:val="37FC4126"/>
    <w:rsid w:val="38561A88"/>
    <w:rsid w:val="387B14EE"/>
    <w:rsid w:val="38912AC0"/>
    <w:rsid w:val="38BB3D60"/>
    <w:rsid w:val="390C1789"/>
    <w:rsid w:val="3918247D"/>
    <w:rsid w:val="392E6561"/>
    <w:rsid w:val="395B6CEB"/>
    <w:rsid w:val="3996298A"/>
    <w:rsid w:val="39A36BA3"/>
    <w:rsid w:val="39A95BE7"/>
    <w:rsid w:val="39B36A66"/>
    <w:rsid w:val="39D7007E"/>
    <w:rsid w:val="3A6D30B9"/>
    <w:rsid w:val="3A995C5C"/>
    <w:rsid w:val="3AA46273"/>
    <w:rsid w:val="3AFF6407"/>
    <w:rsid w:val="3B11613A"/>
    <w:rsid w:val="3B2A0FAA"/>
    <w:rsid w:val="3B2F036E"/>
    <w:rsid w:val="3B345984"/>
    <w:rsid w:val="3B5304C3"/>
    <w:rsid w:val="3B53405D"/>
    <w:rsid w:val="3B6220AF"/>
    <w:rsid w:val="3B7D1C20"/>
    <w:rsid w:val="3B90705F"/>
    <w:rsid w:val="3BE41159"/>
    <w:rsid w:val="3C3C0057"/>
    <w:rsid w:val="3C3F2833"/>
    <w:rsid w:val="3C447E49"/>
    <w:rsid w:val="3C463BC1"/>
    <w:rsid w:val="3C4E2A76"/>
    <w:rsid w:val="3C502C8E"/>
    <w:rsid w:val="3C7626F9"/>
    <w:rsid w:val="3C7C3A87"/>
    <w:rsid w:val="3CA134EE"/>
    <w:rsid w:val="3CBE5E4E"/>
    <w:rsid w:val="3CDB69FF"/>
    <w:rsid w:val="3CFE624A"/>
    <w:rsid w:val="3D6A38DF"/>
    <w:rsid w:val="3D864E23"/>
    <w:rsid w:val="3D87287F"/>
    <w:rsid w:val="3D9F527F"/>
    <w:rsid w:val="3DD1395F"/>
    <w:rsid w:val="3DF5589F"/>
    <w:rsid w:val="3DF63CE7"/>
    <w:rsid w:val="3E2D328B"/>
    <w:rsid w:val="3E8135D7"/>
    <w:rsid w:val="3E86299B"/>
    <w:rsid w:val="3EB56CCB"/>
    <w:rsid w:val="3EC3774B"/>
    <w:rsid w:val="3ECC295E"/>
    <w:rsid w:val="3ED951C1"/>
    <w:rsid w:val="3EE576C2"/>
    <w:rsid w:val="3EEB0A50"/>
    <w:rsid w:val="3F3643C1"/>
    <w:rsid w:val="3F746C97"/>
    <w:rsid w:val="3FD339BE"/>
    <w:rsid w:val="3FFB2F15"/>
    <w:rsid w:val="40354679"/>
    <w:rsid w:val="40436D96"/>
    <w:rsid w:val="406867FC"/>
    <w:rsid w:val="40955117"/>
    <w:rsid w:val="4105229D"/>
    <w:rsid w:val="41076015"/>
    <w:rsid w:val="41281AE7"/>
    <w:rsid w:val="417D0085"/>
    <w:rsid w:val="41970E2B"/>
    <w:rsid w:val="41C95125"/>
    <w:rsid w:val="41FF7556"/>
    <w:rsid w:val="42097B6B"/>
    <w:rsid w:val="424D3EFC"/>
    <w:rsid w:val="425D1C65"/>
    <w:rsid w:val="426E79CE"/>
    <w:rsid w:val="42892A5A"/>
    <w:rsid w:val="42B72753"/>
    <w:rsid w:val="42DA01BE"/>
    <w:rsid w:val="4323511C"/>
    <w:rsid w:val="436A288B"/>
    <w:rsid w:val="437E6337"/>
    <w:rsid w:val="438B475E"/>
    <w:rsid w:val="438F22F2"/>
    <w:rsid w:val="43BD320B"/>
    <w:rsid w:val="43EF7CBF"/>
    <w:rsid w:val="43F3462F"/>
    <w:rsid w:val="444E7AB7"/>
    <w:rsid w:val="447B4624"/>
    <w:rsid w:val="44911354"/>
    <w:rsid w:val="44A36F5A"/>
    <w:rsid w:val="44B71B00"/>
    <w:rsid w:val="44B85878"/>
    <w:rsid w:val="44CD4E80"/>
    <w:rsid w:val="44EF5E6C"/>
    <w:rsid w:val="450D7972"/>
    <w:rsid w:val="450F36EA"/>
    <w:rsid w:val="452D1DC2"/>
    <w:rsid w:val="457110FB"/>
    <w:rsid w:val="459C4852"/>
    <w:rsid w:val="463F60E8"/>
    <w:rsid w:val="464A0752"/>
    <w:rsid w:val="465B295F"/>
    <w:rsid w:val="469B74FD"/>
    <w:rsid w:val="46A460B4"/>
    <w:rsid w:val="46D06EA9"/>
    <w:rsid w:val="46D5626E"/>
    <w:rsid w:val="46E91D19"/>
    <w:rsid w:val="46FA3F26"/>
    <w:rsid w:val="46FC1A4C"/>
    <w:rsid w:val="46FE55C2"/>
    <w:rsid w:val="470B7EE1"/>
    <w:rsid w:val="471072A6"/>
    <w:rsid w:val="471E7C15"/>
    <w:rsid w:val="4768102E"/>
    <w:rsid w:val="47721CC5"/>
    <w:rsid w:val="478D6B48"/>
    <w:rsid w:val="479C4FDD"/>
    <w:rsid w:val="47A65E5C"/>
    <w:rsid w:val="47B93157"/>
    <w:rsid w:val="47D91D8D"/>
    <w:rsid w:val="48221986"/>
    <w:rsid w:val="485853A8"/>
    <w:rsid w:val="4871646A"/>
    <w:rsid w:val="488A3088"/>
    <w:rsid w:val="48A24875"/>
    <w:rsid w:val="494D02CC"/>
    <w:rsid w:val="49891591"/>
    <w:rsid w:val="499248EA"/>
    <w:rsid w:val="499F2B63"/>
    <w:rsid w:val="49A62736"/>
    <w:rsid w:val="49AD4897"/>
    <w:rsid w:val="49CC7DFC"/>
    <w:rsid w:val="4A0B01F8"/>
    <w:rsid w:val="4A0C76CE"/>
    <w:rsid w:val="4A1F32EC"/>
    <w:rsid w:val="4A34774F"/>
    <w:rsid w:val="4A540A18"/>
    <w:rsid w:val="4A595408"/>
    <w:rsid w:val="4A5E657A"/>
    <w:rsid w:val="4A6A4F1F"/>
    <w:rsid w:val="4A8634B0"/>
    <w:rsid w:val="4A9D1CCA"/>
    <w:rsid w:val="4A9E2E1A"/>
    <w:rsid w:val="4AA448D5"/>
    <w:rsid w:val="4AB663B6"/>
    <w:rsid w:val="4B9F32EE"/>
    <w:rsid w:val="4BA426B2"/>
    <w:rsid w:val="4BB30D0B"/>
    <w:rsid w:val="4BD50ABE"/>
    <w:rsid w:val="4BE60F1D"/>
    <w:rsid w:val="4C1C049B"/>
    <w:rsid w:val="4C207F8B"/>
    <w:rsid w:val="4C6065D9"/>
    <w:rsid w:val="4C995F8F"/>
    <w:rsid w:val="4CA24E44"/>
    <w:rsid w:val="4CAC181F"/>
    <w:rsid w:val="4CBA03DF"/>
    <w:rsid w:val="4CBD1C7E"/>
    <w:rsid w:val="4D330A1C"/>
    <w:rsid w:val="4D357A66"/>
    <w:rsid w:val="4D3A1520"/>
    <w:rsid w:val="4D9023D0"/>
    <w:rsid w:val="4D9041B3"/>
    <w:rsid w:val="4DB876CF"/>
    <w:rsid w:val="4DE6535D"/>
    <w:rsid w:val="4E1D67DC"/>
    <w:rsid w:val="4E1E04FA"/>
    <w:rsid w:val="4E3221F7"/>
    <w:rsid w:val="4E791BD4"/>
    <w:rsid w:val="4E9904C8"/>
    <w:rsid w:val="4EC31A92"/>
    <w:rsid w:val="4F1445B7"/>
    <w:rsid w:val="4F622668"/>
    <w:rsid w:val="4F6E725F"/>
    <w:rsid w:val="500B71A4"/>
    <w:rsid w:val="503C735D"/>
    <w:rsid w:val="509D7A4E"/>
    <w:rsid w:val="50A218B6"/>
    <w:rsid w:val="50BC6895"/>
    <w:rsid w:val="50C730CB"/>
    <w:rsid w:val="51051E45"/>
    <w:rsid w:val="512E4EF8"/>
    <w:rsid w:val="51705511"/>
    <w:rsid w:val="51850890"/>
    <w:rsid w:val="51A27694"/>
    <w:rsid w:val="51B353FD"/>
    <w:rsid w:val="51E7154B"/>
    <w:rsid w:val="51E732F9"/>
    <w:rsid w:val="52045C59"/>
    <w:rsid w:val="523F23C8"/>
    <w:rsid w:val="5268443A"/>
    <w:rsid w:val="52734C79"/>
    <w:rsid w:val="52860D64"/>
    <w:rsid w:val="52927709"/>
    <w:rsid w:val="529B480F"/>
    <w:rsid w:val="52A511EA"/>
    <w:rsid w:val="52B753C1"/>
    <w:rsid w:val="52CD1409"/>
    <w:rsid w:val="52DC0984"/>
    <w:rsid w:val="52EF06B7"/>
    <w:rsid w:val="5305612D"/>
    <w:rsid w:val="536C7F5A"/>
    <w:rsid w:val="53B813F1"/>
    <w:rsid w:val="54071A30"/>
    <w:rsid w:val="543842E0"/>
    <w:rsid w:val="544B4013"/>
    <w:rsid w:val="54694499"/>
    <w:rsid w:val="54776BB6"/>
    <w:rsid w:val="54CF69F2"/>
    <w:rsid w:val="54E63D3C"/>
    <w:rsid w:val="554E3DBB"/>
    <w:rsid w:val="55524158"/>
    <w:rsid w:val="5559450E"/>
    <w:rsid w:val="559D43FA"/>
    <w:rsid w:val="564B654C"/>
    <w:rsid w:val="56554CD5"/>
    <w:rsid w:val="56567336"/>
    <w:rsid w:val="565F21C4"/>
    <w:rsid w:val="56837A94"/>
    <w:rsid w:val="56A25A40"/>
    <w:rsid w:val="56B0015D"/>
    <w:rsid w:val="56C02A96"/>
    <w:rsid w:val="56C66CC8"/>
    <w:rsid w:val="56CF3D38"/>
    <w:rsid w:val="56D36553"/>
    <w:rsid w:val="56DE0939"/>
    <w:rsid w:val="56F24C1A"/>
    <w:rsid w:val="57FB365A"/>
    <w:rsid w:val="57FB7AFE"/>
    <w:rsid w:val="57FD73D2"/>
    <w:rsid w:val="580746F5"/>
    <w:rsid w:val="580E7831"/>
    <w:rsid w:val="58353010"/>
    <w:rsid w:val="584A6390"/>
    <w:rsid w:val="58825B29"/>
    <w:rsid w:val="588875E4"/>
    <w:rsid w:val="58A77AFF"/>
    <w:rsid w:val="58A77C4C"/>
    <w:rsid w:val="58AF70F9"/>
    <w:rsid w:val="58BC103B"/>
    <w:rsid w:val="58BD4DB3"/>
    <w:rsid w:val="58CB36FC"/>
    <w:rsid w:val="58FC3B2E"/>
    <w:rsid w:val="590B5B1F"/>
    <w:rsid w:val="593E5EF4"/>
    <w:rsid w:val="5943175D"/>
    <w:rsid w:val="596D67DA"/>
    <w:rsid w:val="5976568E"/>
    <w:rsid w:val="598B6C60"/>
    <w:rsid w:val="59D563BD"/>
    <w:rsid w:val="59D95C1D"/>
    <w:rsid w:val="59E24AD2"/>
    <w:rsid w:val="59FA62BF"/>
    <w:rsid w:val="5A0C7744"/>
    <w:rsid w:val="5A1B6236"/>
    <w:rsid w:val="5A3D7F5A"/>
    <w:rsid w:val="5A6574B1"/>
    <w:rsid w:val="5A6667F0"/>
    <w:rsid w:val="5A737E20"/>
    <w:rsid w:val="5A7A2F5C"/>
    <w:rsid w:val="5A932270"/>
    <w:rsid w:val="5AA75D1B"/>
    <w:rsid w:val="5AF42587"/>
    <w:rsid w:val="5AF727FF"/>
    <w:rsid w:val="5B242EC8"/>
    <w:rsid w:val="5B2F01EA"/>
    <w:rsid w:val="5B751975"/>
    <w:rsid w:val="5B871DD5"/>
    <w:rsid w:val="5B8F47E5"/>
    <w:rsid w:val="5BAD6B57"/>
    <w:rsid w:val="5BC30933"/>
    <w:rsid w:val="5BC326E1"/>
    <w:rsid w:val="5BDB09B2"/>
    <w:rsid w:val="5C335AD2"/>
    <w:rsid w:val="5C384E7D"/>
    <w:rsid w:val="5C5B6DBD"/>
    <w:rsid w:val="5C757E7F"/>
    <w:rsid w:val="5CB5471F"/>
    <w:rsid w:val="5CCB7A9F"/>
    <w:rsid w:val="5D740137"/>
    <w:rsid w:val="5DA84284"/>
    <w:rsid w:val="5DB20C5F"/>
    <w:rsid w:val="5DCA7D57"/>
    <w:rsid w:val="5DCD5873"/>
    <w:rsid w:val="5DFD2403"/>
    <w:rsid w:val="5E070FAB"/>
    <w:rsid w:val="5E0F60B1"/>
    <w:rsid w:val="5E371164"/>
    <w:rsid w:val="5E40626B"/>
    <w:rsid w:val="5E512226"/>
    <w:rsid w:val="5E70507C"/>
    <w:rsid w:val="5E914D18"/>
    <w:rsid w:val="5F0828D4"/>
    <w:rsid w:val="5F7139F1"/>
    <w:rsid w:val="5F73441E"/>
    <w:rsid w:val="5F864151"/>
    <w:rsid w:val="5FCB6008"/>
    <w:rsid w:val="5FD21144"/>
    <w:rsid w:val="5FDF6D62"/>
    <w:rsid w:val="5FED1A34"/>
    <w:rsid w:val="600B28A8"/>
    <w:rsid w:val="607B17DC"/>
    <w:rsid w:val="609805E0"/>
    <w:rsid w:val="61164850"/>
    <w:rsid w:val="61620C52"/>
    <w:rsid w:val="61693D2A"/>
    <w:rsid w:val="6171498D"/>
    <w:rsid w:val="61AA2758"/>
    <w:rsid w:val="61F21F72"/>
    <w:rsid w:val="6223212B"/>
    <w:rsid w:val="62344338"/>
    <w:rsid w:val="6239194F"/>
    <w:rsid w:val="625D388F"/>
    <w:rsid w:val="62726C0F"/>
    <w:rsid w:val="628A03FC"/>
    <w:rsid w:val="62A80882"/>
    <w:rsid w:val="62AC3ECF"/>
    <w:rsid w:val="62B40FD5"/>
    <w:rsid w:val="63181564"/>
    <w:rsid w:val="633D721D"/>
    <w:rsid w:val="63506F50"/>
    <w:rsid w:val="637F3391"/>
    <w:rsid w:val="638B7F88"/>
    <w:rsid w:val="63AE011A"/>
    <w:rsid w:val="63B165B7"/>
    <w:rsid w:val="63BA6ABF"/>
    <w:rsid w:val="63C11BFC"/>
    <w:rsid w:val="63D47B81"/>
    <w:rsid w:val="63DA2CBD"/>
    <w:rsid w:val="63EB3CF9"/>
    <w:rsid w:val="63F024E1"/>
    <w:rsid w:val="642A77A1"/>
    <w:rsid w:val="64395C36"/>
    <w:rsid w:val="647508DA"/>
    <w:rsid w:val="64790728"/>
    <w:rsid w:val="64C64FF0"/>
    <w:rsid w:val="64D12312"/>
    <w:rsid w:val="64D43BB1"/>
    <w:rsid w:val="653F727C"/>
    <w:rsid w:val="654E5711"/>
    <w:rsid w:val="65827169"/>
    <w:rsid w:val="65876E75"/>
    <w:rsid w:val="65A94671"/>
    <w:rsid w:val="66106E6A"/>
    <w:rsid w:val="661C75BD"/>
    <w:rsid w:val="66372649"/>
    <w:rsid w:val="663A69B8"/>
    <w:rsid w:val="6679056C"/>
    <w:rsid w:val="66E44404"/>
    <w:rsid w:val="66E8749F"/>
    <w:rsid w:val="6780215A"/>
    <w:rsid w:val="67A535E2"/>
    <w:rsid w:val="67BB1885"/>
    <w:rsid w:val="67C972D1"/>
    <w:rsid w:val="67F00D02"/>
    <w:rsid w:val="6813679E"/>
    <w:rsid w:val="681D761D"/>
    <w:rsid w:val="688A2F04"/>
    <w:rsid w:val="689A2A1B"/>
    <w:rsid w:val="689C6793"/>
    <w:rsid w:val="68BC0BE4"/>
    <w:rsid w:val="690031C6"/>
    <w:rsid w:val="691D5B26"/>
    <w:rsid w:val="695F613F"/>
    <w:rsid w:val="69666FCA"/>
    <w:rsid w:val="697B284D"/>
    <w:rsid w:val="697F058F"/>
    <w:rsid w:val="69992CD3"/>
    <w:rsid w:val="699E500D"/>
    <w:rsid w:val="69BA3375"/>
    <w:rsid w:val="69DD3562"/>
    <w:rsid w:val="69F525FF"/>
    <w:rsid w:val="69FA7C16"/>
    <w:rsid w:val="6A0E36C1"/>
    <w:rsid w:val="6A0F5D71"/>
    <w:rsid w:val="6A470981"/>
    <w:rsid w:val="6A705C7E"/>
    <w:rsid w:val="6A935974"/>
    <w:rsid w:val="6ADF0BB9"/>
    <w:rsid w:val="6ADF1DD6"/>
    <w:rsid w:val="6AF705F9"/>
    <w:rsid w:val="6AFE019A"/>
    <w:rsid w:val="6B376C47"/>
    <w:rsid w:val="6B4C26F3"/>
    <w:rsid w:val="6BB65DBE"/>
    <w:rsid w:val="6BD66460"/>
    <w:rsid w:val="6BFA3EFD"/>
    <w:rsid w:val="6C101972"/>
    <w:rsid w:val="6C4D6722"/>
    <w:rsid w:val="6C6E48EB"/>
    <w:rsid w:val="6C951E77"/>
    <w:rsid w:val="6C983387"/>
    <w:rsid w:val="6CA125CA"/>
    <w:rsid w:val="6CAE6A95"/>
    <w:rsid w:val="6CB30AE5"/>
    <w:rsid w:val="6CF90658"/>
    <w:rsid w:val="6CFF5543"/>
    <w:rsid w:val="6D0E5786"/>
    <w:rsid w:val="6D2F407A"/>
    <w:rsid w:val="6D6D6950"/>
    <w:rsid w:val="6D8D2B4F"/>
    <w:rsid w:val="6D943EDD"/>
    <w:rsid w:val="6DAD4F9F"/>
    <w:rsid w:val="6DB30807"/>
    <w:rsid w:val="6DC20A4A"/>
    <w:rsid w:val="6DDA2238"/>
    <w:rsid w:val="6DE9247B"/>
    <w:rsid w:val="6E611668"/>
    <w:rsid w:val="6E6E0999"/>
    <w:rsid w:val="6E6E2980"/>
    <w:rsid w:val="6E9404C0"/>
    <w:rsid w:val="6EB26D11"/>
    <w:rsid w:val="6EC35CBF"/>
    <w:rsid w:val="6ED1660B"/>
    <w:rsid w:val="6EE55B81"/>
    <w:rsid w:val="6F124E64"/>
    <w:rsid w:val="6F35524C"/>
    <w:rsid w:val="6F370125"/>
    <w:rsid w:val="6FD20CED"/>
    <w:rsid w:val="6FE23626"/>
    <w:rsid w:val="6FE632A0"/>
    <w:rsid w:val="6FFB0243"/>
    <w:rsid w:val="700215D2"/>
    <w:rsid w:val="70294DB1"/>
    <w:rsid w:val="70781C72"/>
    <w:rsid w:val="70C37EB2"/>
    <w:rsid w:val="70F01D72"/>
    <w:rsid w:val="711D41EA"/>
    <w:rsid w:val="714A76D4"/>
    <w:rsid w:val="715E5D2B"/>
    <w:rsid w:val="71603845"/>
    <w:rsid w:val="71665B90"/>
    <w:rsid w:val="718B55F7"/>
    <w:rsid w:val="71A010A2"/>
    <w:rsid w:val="71D545CF"/>
    <w:rsid w:val="71F229B1"/>
    <w:rsid w:val="721B2E1F"/>
    <w:rsid w:val="721F290F"/>
    <w:rsid w:val="727F5133"/>
    <w:rsid w:val="729329B5"/>
    <w:rsid w:val="72A66B8C"/>
    <w:rsid w:val="72ED2A0D"/>
    <w:rsid w:val="72EF04E1"/>
    <w:rsid w:val="730D09BA"/>
    <w:rsid w:val="73165394"/>
    <w:rsid w:val="732E0930"/>
    <w:rsid w:val="73661E78"/>
    <w:rsid w:val="73997EF2"/>
    <w:rsid w:val="73A62BBC"/>
    <w:rsid w:val="73AE23C8"/>
    <w:rsid w:val="741B228B"/>
    <w:rsid w:val="741E09A4"/>
    <w:rsid w:val="744877CF"/>
    <w:rsid w:val="744A3547"/>
    <w:rsid w:val="74EB6AD9"/>
    <w:rsid w:val="750F5887"/>
    <w:rsid w:val="7510653F"/>
    <w:rsid w:val="75436915"/>
    <w:rsid w:val="75557750"/>
    <w:rsid w:val="757D4451"/>
    <w:rsid w:val="758331B5"/>
    <w:rsid w:val="75EF25F8"/>
    <w:rsid w:val="75FB149C"/>
    <w:rsid w:val="766D79C1"/>
    <w:rsid w:val="766F30AC"/>
    <w:rsid w:val="767B20DE"/>
    <w:rsid w:val="76B1321E"/>
    <w:rsid w:val="76B92C06"/>
    <w:rsid w:val="76E77774"/>
    <w:rsid w:val="770C0F88"/>
    <w:rsid w:val="7711659E"/>
    <w:rsid w:val="77707769"/>
    <w:rsid w:val="7782124A"/>
    <w:rsid w:val="77DC4DFE"/>
    <w:rsid w:val="77FC0FFD"/>
    <w:rsid w:val="78322C70"/>
    <w:rsid w:val="783B5C5C"/>
    <w:rsid w:val="78B418D7"/>
    <w:rsid w:val="78B43685"/>
    <w:rsid w:val="78EE4DE9"/>
    <w:rsid w:val="78FD327E"/>
    <w:rsid w:val="79667075"/>
    <w:rsid w:val="79722D4C"/>
    <w:rsid w:val="797C0647"/>
    <w:rsid w:val="799D236B"/>
    <w:rsid w:val="79A61220"/>
    <w:rsid w:val="79F20909"/>
    <w:rsid w:val="7A010B4C"/>
    <w:rsid w:val="7A0B19CB"/>
    <w:rsid w:val="7A1C14E2"/>
    <w:rsid w:val="7AA62526"/>
    <w:rsid w:val="7AE04C06"/>
    <w:rsid w:val="7AE91D0C"/>
    <w:rsid w:val="7AFB559C"/>
    <w:rsid w:val="7B0459B3"/>
    <w:rsid w:val="7B193C74"/>
    <w:rsid w:val="7B29241E"/>
    <w:rsid w:val="7B6E3FBF"/>
    <w:rsid w:val="7B713AB0"/>
    <w:rsid w:val="7B7339E4"/>
    <w:rsid w:val="7BDC717B"/>
    <w:rsid w:val="7BFD5343"/>
    <w:rsid w:val="7C480CB4"/>
    <w:rsid w:val="7C52743D"/>
    <w:rsid w:val="7C7E6484"/>
    <w:rsid w:val="7C817D22"/>
    <w:rsid w:val="7CA51C63"/>
    <w:rsid w:val="7CDD764F"/>
    <w:rsid w:val="7D6C452F"/>
    <w:rsid w:val="7D9E6520"/>
    <w:rsid w:val="7DA95783"/>
    <w:rsid w:val="7DB23F93"/>
    <w:rsid w:val="7DCC22D5"/>
    <w:rsid w:val="7DEC566F"/>
    <w:rsid w:val="7E0C7AC0"/>
    <w:rsid w:val="7E2A628E"/>
    <w:rsid w:val="7E2E5C88"/>
    <w:rsid w:val="7E7A0ECD"/>
    <w:rsid w:val="7EB75C7D"/>
    <w:rsid w:val="7EF70770"/>
    <w:rsid w:val="7F037115"/>
    <w:rsid w:val="7F8C710A"/>
    <w:rsid w:val="7FC46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qFormat/>
    <w:uiPriority w:val="0"/>
    <w:pPr>
      <w:keepNext/>
      <w:keepLines/>
      <w:spacing w:before="260" w:after="260" w:line="416" w:lineRule="auto"/>
      <w:ind w:firstLine="200" w:firstLineChars="200"/>
      <w:outlineLvl w:val="2"/>
    </w:pPr>
    <w:rPr>
      <w:b/>
      <w:bCs/>
      <w:sz w:val="32"/>
      <w:szCs w:val="32"/>
    </w:rPr>
  </w:style>
  <w:style w:type="paragraph" w:styleId="4">
    <w:name w:val="heading 4"/>
    <w:basedOn w:val="1"/>
    <w:next w:val="1"/>
    <w:autoRedefine/>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ind w:firstLine="420"/>
    </w:pPr>
    <w:rPr>
      <w:sz w:val="24"/>
      <w:szCs w:val="20"/>
    </w:rPr>
  </w:style>
  <w:style w:type="paragraph" w:styleId="6">
    <w:name w:val="annotation text"/>
    <w:basedOn w:val="1"/>
    <w:qFormat/>
    <w:uiPriority w:val="0"/>
    <w:pPr>
      <w:jc w:val="left"/>
    </w:pPr>
  </w:style>
  <w:style w:type="paragraph" w:styleId="7">
    <w:name w:val="Body Text"/>
    <w:basedOn w:val="1"/>
    <w:next w:val="8"/>
    <w:autoRedefine/>
    <w:qFormat/>
    <w:uiPriority w:val="0"/>
    <w:pPr>
      <w:widowControl/>
      <w:snapToGrid w:val="0"/>
      <w:spacing w:before="60" w:after="160" w:line="259" w:lineRule="auto"/>
      <w:ind w:right="113"/>
    </w:pPr>
    <w:rPr>
      <w:kern w:val="0"/>
      <w:sz w:val="18"/>
      <w:szCs w:val="20"/>
    </w:rPr>
  </w:style>
  <w:style w:type="paragraph" w:styleId="8">
    <w:name w:val="List Bullet 5"/>
    <w:basedOn w:val="1"/>
    <w:autoRedefine/>
    <w:qFormat/>
    <w:uiPriority w:val="0"/>
    <w:pPr>
      <w:numPr>
        <w:ilvl w:val="0"/>
        <w:numId w:val="1"/>
      </w:numPr>
    </w:pPr>
  </w:style>
  <w:style w:type="paragraph" w:styleId="9">
    <w:name w:val="Body Text Indent"/>
    <w:basedOn w:val="1"/>
    <w:autoRedefine/>
    <w:qFormat/>
    <w:uiPriority w:val="0"/>
    <w:pPr>
      <w:spacing w:after="120"/>
      <w:ind w:left="420" w:leftChars="200"/>
    </w:pPr>
    <w:rPr>
      <w:kern w:val="0"/>
      <w:sz w:val="24"/>
      <w:szCs w:val="20"/>
    </w:rPr>
  </w:style>
  <w:style w:type="paragraph" w:styleId="10">
    <w:name w:val="Plain Text"/>
    <w:basedOn w:val="1"/>
    <w:autoRedefine/>
    <w:qFormat/>
    <w:uiPriority w:val="0"/>
    <w:rPr>
      <w:rFonts w:ascii="宋体" w:hAnsi="Courier New"/>
      <w:sz w:val="20"/>
      <w:szCs w:val="20"/>
    </w:rPr>
  </w:style>
  <w:style w:type="paragraph" w:styleId="11">
    <w:name w:val="footer"/>
    <w:basedOn w:val="1"/>
    <w:autoRedefine/>
    <w:qFormat/>
    <w:uiPriority w:val="99"/>
    <w:pPr>
      <w:tabs>
        <w:tab w:val="center" w:pos="4153"/>
        <w:tab w:val="right" w:pos="8306"/>
      </w:tabs>
      <w:snapToGrid w:val="0"/>
      <w:jc w:val="left"/>
    </w:pPr>
    <w:rPr>
      <w:kern w:val="0"/>
      <w:sz w:val="18"/>
      <w:szCs w:val="20"/>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Subtitle"/>
    <w:basedOn w:val="1"/>
    <w:next w:val="1"/>
    <w:autoRedefine/>
    <w:qFormat/>
    <w:uiPriority w:val="99"/>
    <w:pPr>
      <w:spacing w:before="240" w:after="60" w:line="312" w:lineRule="auto"/>
      <w:jc w:val="center"/>
      <w:outlineLvl w:val="1"/>
    </w:pPr>
    <w:rPr>
      <w:rFonts w:ascii="等线 Light" w:hAnsi="等线 Light" w:cs="Times New Roman"/>
      <w:b/>
      <w:bCs/>
      <w:kern w:val="28"/>
      <w:sz w:val="32"/>
      <w:szCs w:val="32"/>
    </w:rPr>
  </w:style>
  <w:style w:type="paragraph" w:styleId="14">
    <w:name w:val="Body Text Indent 3"/>
    <w:basedOn w:val="1"/>
    <w:qFormat/>
    <w:uiPriority w:val="0"/>
    <w:pPr>
      <w:spacing w:after="120"/>
      <w:ind w:left="420" w:leftChars="200"/>
    </w:pPr>
    <w:rPr>
      <w:sz w:val="16"/>
      <w:szCs w:val="16"/>
    </w:rPr>
  </w:style>
  <w:style w:type="paragraph" w:styleId="15">
    <w:name w:val="Body Text 2"/>
    <w:basedOn w:val="1"/>
    <w:autoRedefine/>
    <w:qFormat/>
    <w:uiPriority w:val="0"/>
    <w:pPr>
      <w:spacing w:after="120" w:line="480" w:lineRule="auto"/>
    </w:pPr>
  </w:style>
  <w:style w:type="paragraph" w:styleId="16">
    <w:name w:val="Normal (Web)"/>
    <w:basedOn w:val="1"/>
    <w:autoRedefine/>
    <w:qFormat/>
    <w:uiPriority w:val="99"/>
    <w:pPr>
      <w:widowControl/>
      <w:spacing w:before="100" w:beforeAutospacing="1" w:after="100" w:afterAutospacing="1"/>
      <w:jc w:val="left"/>
    </w:pPr>
    <w:rPr>
      <w:rFonts w:ascii="宋体" w:hAnsi="宋体"/>
      <w:kern w:val="0"/>
      <w:sz w:val="24"/>
      <w:szCs w:val="20"/>
    </w:rPr>
  </w:style>
  <w:style w:type="table" w:styleId="18">
    <w:name w:val="Table Grid"/>
    <w:basedOn w:val="17"/>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autoRedefine/>
    <w:qFormat/>
    <w:uiPriority w:val="0"/>
    <w:rPr>
      <w:b/>
      <w:bCs/>
    </w:rPr>
  </w:style>
  <w:style w:type="character" w:styleId="21">
    <w:name w:val="page number"/>
    <w:autoRedefine/>
    <w:qFormat/>
    <w:uiPriority w:val="0"/>
  </w:style>
  <w:style w:type="character" w:styleId="22">
    <w:name w:val="Hyperlink"/>
    <w:basedOn w:val="19"/>
    <w:autoRedefine/>
    <w:qFormat/>
    <w:uiPriority w:val="0"/>
    <w:rPr>
      <w:color w:val="0000FF"/>
      <w:u w:val="single"/>
    </w:rPr>
  </w:style>
  <w:style w:type="paragraph" w:customStyle="1" w:styleId="23">
    <w:name w:val="Default"/>
    <w:basedOn w:val="24"/>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4">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5">
    <w:name w:val="1正文"/>
    <w:basedOn w:val="1"/>
    <w:autoRedefine/>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26">
    <w:name w:val="创业表格"/>
    <w:basedOn w:val="27"/>
    <w:autoRedefine/>
    <w:qFormat/>
    <w:uiPriority w:val="0"/>
    <w:pPr>
      <w:spacing w:line="300" w:lineRule="auto"/>
    </w:pPr>
    <w:rPr>
      <w:rFonts w:eastAsia="仿宋"/>
      <w:b w:val="0"/>
      <w:sz w:val="21"/>
    </w:rPr>
  </w:style>
  <w:style w:type="paragraph" w:customStyle="1" w:styleId="27">
    <w:name w:val="创业表头"/>
    <w:basedOn w:val="1"/>
    <w:autoRedefine/>
    <w:qFormat/>
    <w:uiPriority w:val="99"/>
    <w:pPr>
      <w:snapToGrid w:val="0"/>
      <w:spacing w:line="360" w:lineRule="auto"/>
      <w:jc w:val="center"/>
    </w:pPr>
    <w:rPr>
      <w:b/>
      <w:sz w:val="24"/>
      <w:szCs w:val="20"/>
    </w:rPr>
  </w:style>
  <w:style w:type="paragraph" w:customStyle="1" w:styleId="28">
    <w:name w:val="Table Paragraph"/>
    <w:basedOn w:val="1"/>
    <w:autoRedefine/>
    <w:qFormat/>
    <w:uiPriority w:val="1"/>
    <w:pPr>
      <w:widowControl/>
      <w:jc w:val="left"/>
    </w:pPr>
    <w:rPr>
      <w:rFonts w:ascii="Calibri" w:hAnsi="Calibri"/>
      <w:kern w:val="0"/>
      <w:sz w:val="22"/>
      <w:szCs w:val="22"/>
      <w:lang w:eastAsia="en-US"/>
    </w:rPr>
  </w:style>
  <w:style w:type="paragraph" w:styleId="29">
    <w:name w:val="No Spacing"/>
    <w:autoRedefine/>
    <w:qFormat/>
    <w:uiPriority w:val="1"/>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30">
    <w:name w:val="Table Text"/>
    <w:basedOn w:val="1"/>
    <w:autoRedefine/>
    <w:semiHidden/>
    <w:qFormat/>
    <w:uiPriority w:val="0"/>
    <w:rPr>
      <w:rFonts w:ascii="宋体" w:hAnsi="宋体" w:eastAsia="宋体" w:cs="宋体"/>
      <w:sz w:val="24"/>
      <w:szCs w:val="24"/>
      <w:lang w:val="en-US" w:eastAsia="en-US" w:bidi="ar-SA"/>
    </w:rPr>
  </w:style>
  <w:style w:type="table" w:customStyle="1" w:styleId="31">
    <w:name w:val="Table Normal"/>
    <w:autoRedefine/>
    <w:unhideWhenUsed/>
    <w:qFormat/>
    <w:uiPriority w:val="0"/>
    <w:tblPr>
      <w:tblCellMar>
        <w:top w:w="0" w:type="dxa"/>
        <w:left w:w="0" w:type="dxa"/>
        <w:bottom w:w="0" w:type="dxa"/>
        <w:right w:w="0" w:type="dxa"/>
      </w:tblCellMar>
    </w:tblPr>
  </w:style>
  <w:style w:type="paragraph" w:customStyle="1" w:styleId="32">
    <w:name w:val="0、表格内容"/>
    <w:basedOn w:val="1"/>
    <w:autoRedefine/>
    <w:qFormat/>
    <w:uiPriority w:val="0"/>
    <w:pPr>
      <w:spacing w:line="300" w:lineRule="exact"/>
      <w:jc w:val="center"/>
    </w:pPr>
    <w:rPr>
      <w:rFonts w:ascii="Microsoft JhengHei Light" w:hAnsi="Microsoft JhengHei Light" w:eastAsia="华文仿宋" w:cs="Microsoft JhengHei Light"/>
      <w:color w:val="000000"/>
      <w:kern w:val="0"/>
      <w:szCs w:val="21"/>
      <w:lang w:val="zh-TW" w:eastAsia="zh-TW" w:bidi="zh-TW"/>
    </w:rPr>
  </w:style>
  <w:style w:type="paragraph" w:customStyle="1" w:styleId="33">
    <w:name w:val="表格文字"/>
    <w:basedOn w:val="1"/>
    <w:autoRedefine/>
    <w:qFormat/>
    <w:uiPriority w:val="0"/>
    <w:pPr>
      <w:jc w:val="center"/>
    </w:pPr>
    <w:rPr>
      <w:rFonts w:ascii="仿宋_GB2312" w:hAnsi="Arial Black" w:eastAsia="仿宋_GB2312"/>
      <w:kern w:val="44"/>
      <w:sz w:val="24"/>
      <w:szCs w:val="20"/>
    </w:rPr>
  </w:style>
  <w:style w:type="character" w:customStyle="1" w:styleId="34">
    <w:name w:val="1表格表头"/>
    <w:autoRedefine/>
    <w:qFormat/>
    <w:uiPriority w:val="99"/>
    <w:rPr>
      <w:rFonts w:ascii="Times New Roman" w:hAnsi="Times New Roman" w:eastAsia="仿宋"/>
      <w:b/>
      <w:color w:val="000000"/>
      <w:spacing w:val="-2"/>
      <w:sz w:val="24"/>
      <w:szCs w:val="28"/>
      <w:lang w:val="zh-CN"/>
    </w:rPr>
  </w:style>
  <w:style w:type="paragraph" w:customStyle="1" w:styleId="35">
    <w:name w:val="创业表格标准"/>
    <w:basedOn w:val="4"/>
    <w:autoRedefine/>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36">
    <w:name w:val="表内"/>
    <w:basedOn w:val="1"/>
    <w:next w:val="1"/>
    <w:autoRedefine/>
    <w:qFormat/>
    <w:uiPriority w:val="0"/>
    <w:pPr>
      <w:adjustRightInd w:val="0"/>
      <w:snapToGrid w:val="0"/>
      <w:spacing w:before="120" w:after="120" w:line="288" w:lineRule="auto"/>
      <w:jc w:val="center"/>
    </w:pPr>
    <w:rPr>
      <w:snapToGrid w:val="0"/>
      <w:szCs w:val="20"/>
    </w:rPr>
  </w:style>
  <w:style w:type="paragraph" w:customStyle="1" w:styleId="37">
    <w:name w:val="表1"/>
    <w:basedOn w:val="33"/>
    <w:autoRedefine/>
    <w:qFormat/>
    <w:uiPriority w:val="1"/>
    <w:pPr>
      <w:spacing w:line="240" w:lineRule="exact"/>
      <w:ind w:firstLine="200" w:firstLineChars="200"/>
    </w:pPr>
    <w:rPr>
      <w:rFonts w:eastAsia="仿宋"/>
      <w:sz w:val="21"/>
      <w:szCs w:val="24"/>
    </w:rPr>
  </w:style>
  <w:style w:type="paragraph" w:customStyle="1" w:styleId="38">
    <w:name w:val="表头j"/>
    <w:basedOn w:val="13"/>
    <w:autoRedefine/>
    <w:qFormat/>
    <w:uiPriority w:val="0"/>
    <w:pPr>
      <w:adjustRightInd w:val="0"/>
      <w:snapToGrid w:val="0"/>
      <w:spacing w:before="25" w:beforeLines="25" w:after="25" w:afterLines="25" w:line="360" w:lineRule="auto"/>
      <w:textAlignment w:val="baseline"/>
      <w:outlineLvl w:val="9"/>
    </w:pPr>
    <w:rPr>
      <w:rFonts w:ascii="Times New Roman" w:hAnsi="Times New Roman" w:cs="Times New Roman"/>
      <w:bCs w:val="0"/>
      <w:sz w:val="24"/>
      <w:szCs w:val="20"/>
    </w:rPr>
  </w:style>
  <w:style w:type="paragraph" w:customStyle="1" w:styleId="39">
    <w:name w:val="首行缩进"/>
    <w:basedOn w:val="1"/>
    <w:autoRedefine/>
    <w:qFormat/>
    <w:uiPriority w:val="0"/>
    <w:pPr>
      <w:spacing w:line="360" w:lineRule="auto"/>
      <w:ind w:firstLine="480" w:firstLineChars="200"/>
    </w:pPr>
    <w:rPr>
      <w:sz w:val="24"/>
    </w:rPr>
  </w:style>
  <w:style w:type="paragraph" w:customStyle="1" w:styleId="40">
    <w:name w:val="图表文字"/>
    <w:basedOn w:val="1"/>
    <w:autoRedefine/>
    <w:qFormat/>
    <w:uiPriority w:val="0"/>
    <w:pPr>
      <w:spacing w:line="440" w:lineRule="exact"/>
      <w:ind w:firstLine="200" w:firstLineChars="200"/>
      <w:jc w:val="center"/>
    </w:pPr>
    <w:rPr>
      <w:rFonts w:ascii="仿宋_GB2312" w:eastAsia="仿宋_GB2312"/>
    </w:rPr>
  </w:style>
  <w:style w:type="paragraph" w:customStyle="1" w:styleId="41">
    <w:name w:val="陈表格"/>
    <w:basedOn w:val="1"/>
    <w:autoRedefine/>
    <w:qFormat/>
    <w:uiPriority w:val="0"/>
    <w:pPr>
      <w:adjustRightInd w:val="0"/>
      <w:snapToGrid w:val="0"/>
      <w:spacing w:line="240" w:lineRule="auto"/>
      <w:ind w:firstLine="0" w:firstLineChars="0"/>
      <w:jc w:val="center"/>
    </w:pPr>
    <w:rPr>
      <w:kern w:val="0"/>
      <w:sz w:val="21"/>
      <w:szCs w:val="20"/>
    </w:rPr>
  </w:style>
  <w:style w:type="paragraph" w:customStyle="1" w:styleId="42">
    <w:name w:val="文华表格"/>
    <w:basedOn w:val="1"/>
    <w:autoRedefine/>
    <w:qFormat/>
    <w:uiPriority w:val="0"/>
    <w:pPr>
      <w:ind w:left="-35" w:leftChars="-35" w:right="-35" w:rightChars="-35"/>
      <w:jc w:val="center"/>
      <w:textAlignment w:val="center"/>
    </w:pPr>
    <w:rPr>
      <w:color w:val="000000"/>
    </w:rPr>
  </w:style>
  <w:style w:type="paragraph" w:customStyle="1" w:styleId="43">
    <w:name w:val="顺源 表头"/>
    <w:basedOn w:val="1"/>
    <w:autoRedefine/>
    <w:qFormat/>
    <w:uiPriority w:val="0"/>
    <w:pPr>
      <w:jc w:val="center"/>
    </w:pPr>
    <w:rPr>
      <w:rFonts w:cs="微软雅黑"/>
      <w:b/>
      <w:color w:val="000000"/>
      <w:sz w:val="24"/>
      <w:szCs w:val="22"/>
    </w:rPr>
  </w:style>
  <w:style w:type="paragraph" w:customStyle="1" w:styleId="44">
    <w:name w:val="Other|1"/>
    <w:basedOn w:val="1"/>
    <w:autoRedefine/>
    <w:qFormat/>
    <w:uiPriority w:val="0"/>
    <w:pPr>
      <w:spacing w:line="413" w:lineRule="auto"/>
      <w:ind w:firstLine="400" w:firstLineChars="200"/>
    </w:pPr>
    <w:rPr>
      <w:rFonts w:ascii="宋体" w:hAnsi="宋体" w:cs="宋体"/>
      <w:sz w:val="30"/>
      <w:szCs w:val="30"/>
      <w:lang w:val="zh-TW" w:eastAsia="zh-TW" w:bidi="zh-TW"/>
    </w:rPr>
  </w:style>
  <w:style w:type="paragraph" w:customStyle="1" w:styleId="45">
    <w:name w:val="正文j"/>
    <w:autoRedefine/>
    <w:qFormat/>
    <w:uiPriority w:val="0"/>
    <w:pPr>
      <w:adjustRightInd w:val="0"/>
      <w:snapToGrid w:val="0"/>
      <w:spacing w:before="25" w:beforeLines="25" w:after="25" w:afterLines="25" w:line="360" w:lineRule="auto"/>
      <w:ind w:firstLine="200" w:firstLineChars="200"/>
    </w:pPr>
    <w:rPr>
      <w:rFonts w:ascii="Times New Roman" w:hAnsi="Times New Roman" w:eastAsia="宋体" w:cs="Times New Roman"/>
      <w:kern w:val="2"/>
      <w:sz w:val="24"/>
      <w:szCs w:val="28"/>
      <w:lang w:val="en-US" w:eastAsia="zh-CN" w:bidi="ar-SA"/>
    </w:rPr>
  </w:style>
  <w:style w:type="paragraph" w:customStyle="1" w:styleId="46">
    <w:name w:val="报告表内表格"/>
    <w:basedOn w:val="1"/>
    <w:autoRedefine/>
    <w:qFormat/>
    <w:uiPriority w:val="0"/>
    <w:pPr>
      <w:autoSpaceDE w:val="0"/>
      <w:autoSpaceDN w:val="0"/>
      <w:adjustRightInd w:val="0"/>
      <w:snapToGrid w:val="0"/>
      <w:spacing w:line="360" w:lineRule="auto"/>
      <w:jc w:val="center"/>
    </w:pPr>
    <w:rPr>
      <w:bCs/>
      <w:spacing w:val="5"/>
      <w:kern w:val="0"/>
      <w:sz w:val="20"/>
      <w:szCs w:val="21"/>
    </w:rPr>
  </w:style>
  <w:style w:type="paragraph" w:customStyle="1" w:styleId="47">
    <w:name w:val="正文格式 Char Char Char2"/>
    <w:basedOn w:val="1"/>
    <w:autoRedefine/>
    <w:qFormat/>
    <w:uiPriority w:val="0"/>
    <w:pPr>
      <w:spacing w:line="360" w:lineRule="auto"/>
      <w:ind w:firstLine="482"/>
    </w:pPr>
    <w:rPr>
      <w:rFonts w:ascii="宋体" w:cs="宋体"/>
      <w:sz w:val="24"/>
    </w:rPr>
  </w:style>
  <w:style w:type="paragraph" w:customStyle="1" w:styleId="48">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9">
    <w:name w:val="正文 A"/>
    <w:qFormat/>
    <w:uiPriority w:val="0"/>
    <w:pPr>
      <w:widowControl w:val="0"/>
      <w:jc w:val="both"/>
    </w:pPr>
    <w:rPr>
      <w:rFonts w:hint="eastAsia" w:ascii="Arial Unicode MS" w:hAnsi="Arial Unicode MS" w:eastAsia="Arial Unicode MS" w:cs="Arial Unicode MS"/>
      <w:color w:val="000000"/>
      <w:kern w:val="2"/>
      <w:sz w:val="21"/>
      <w:szCs w:val="21"/>
      <w:u w:val="none" w:color="000000"/>
      <w:lang w:val="en-US" w:eastAsia="zh-CN" w:bidi="ar-SA"/>
    </w:rPr>
  </w:style>
  <w:style w:type="table" w:customStyle="1" w:styleId="50">
    <w:name w:val="网格型3"/>
    <w:basedOn w:val="17"/>
    <w:qFormat/>
    <w:uiPriority w:val="39"/>
    <w:pPr>
      <w:ind w:left="210"/>
    </w:pPr>
    <w:rPr>
      <w:rFonts w:ascii="Times New Roman" w:hAnsi="Times New Roman" w:eastAsia="方正仿宋_GBK" w:cs="Times New Roman"/>
      <w:kern w:val="0"/>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2">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53">
    <w:name w:val="陈111"/>
    <w:basedOn w:val="1"/>
    <w:qFormat/>
    <w:uiPriority w:val="0"/>
    <w:pPr>
      <w:adjustRightInd w:val="0"/>
      <w:snapToGrid w:val="0"/>
      <w:spacing w:line="240" w:lineRule="auto"/>
      <w:ind w:firstLine="0" w:firstLineChars="0"/>
      <w:jc w:val="center"/>
    </w:pPr>
    <w:rPr>
      <w:rFonts w:ascii="Times New Roman" w:hAnsi="Times New Roman" w:eastAsia="宋体"/>
      <w:kern w:val="0"/>
      <w:sz w:val="24"/>
      <w:szCs w:val="20"/>
    </w:rPr>
  </w:style>
  <w:style w:type="paragraph" w:customStyle="1" w:styleId="54">
    <w:name w:val="陈表格标题"/>
    <w:basedOn w:val="1"/>
    <w:next w:val="14"/>
    <w:qFormat/>
    <w:uiPriority w:val="0"/>
    <w:pPr>
      <w:adjustRightInd w:val="0"/>
      <w:snapToGrid w:val="0"/>
      <w:spacing w:line="240" w:lineRule="auto"/>
      <w:ind w:firstLine="720"/>
      <w:jc w:val="center"/>
    </w:pPr>
    <w:rPr>
      <w:rFonts w:hint="default" w:ascii="Times New Roman" w:hAnsi="Times New Roman"/>
      <w:b/>
      <w:kern w:val="0"/>
      <w:sz w:val="21"/>
      <w:szCs w:val="20"/>
    </w:rPr>
  </w:style>
  <w:style w:type="paragraph" w:customStyle="1" w:styleId="55">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56">
    <w:name w:val="陈正文"/>
    <w:basedOn w:val="1"/>
    <w:next w:val="1"/>
    <w:qFormat/>
    <w:uiPriority w:val="0"/>
    <w:pPr>
      <w:adjustRightInd w:val="0"/>
      <w:snapToGrid w:val="0"/>
      <w:spacing w:line="360" w:lineRule="auto"/>
      <w:ind w:firstLine="720" w:firstLineChars="200"/>
      <w:jc w:val="left"/>
    </w:pPr>
    <w:rPr>
      <w:rFonts w:ascii="Times New Roman" w:hAnsi="Times New Roman" w:eastAsia="宋体" w:cs="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2.bin"/><Relationship Id="rId17" Type="http://schemas.openxmlformats.org/officeDocument/2006/relationships/image" Target="media/image9.e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79</Pages>
  <Words>35</Words>
  <Characters>59</Characters>
  <Lines>0</Lines>
  <Paragraphs>0</Paragraphs>
  <TotalTime>0</TotalTime>
  <ScaleCrop>false</ScaleCrop>
  <LinksUpToDate>false</LinksUpToDate>
  <CharactersWithSpaces>59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2024-03-21T06:43:00Z</dcterms:created>
  <dc:creator>◆◇ June</dc:creator>
  <cp:lastModifiedBy>球球</cp:lastModifiedBy>
  <cp:lastPrinted>2025-01-09T03:15:00Z</cp:lastPrinted>
  <dcterms:modified xsi:type="dcterms:W3CDTF">2025-04-11T08:02:16Z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9C2FD24B088E475EA30AEEC745E37B98_13</vt:lpwstr>
  </property>
  <property fmtid="{D5CDD505-2E9C-101B-9397-08002B2CF9AE}" pid="4" name="KSOTemplateDocerSaveRecord">
    <vt:lpwstr>eyJoZGlkIjoiYWZhMzA0MTE2MGQ3ODcwOTgyMWY3NzY0ZDhkYzQxODciLCJ1c2VySWQiOiIzODk2NzQyOTcifQ==</vt:lpwstr>
  </property>
</Properties>
</file>