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CF1119">
      <w:pPr>
        <w:rPr>
          <w:rFonts w:hint="default" w:ascii="Times New Roman" w:hAnsi="Times New Roman" w:eastAsia="仿宋_GB2312" w:cs="Times New Roman"/>
          <w:color w:val="FF0000"/>
          <w:sz w:val="36"/>
          <w:szCs w:val="36"/>
        </w:rPr>
      </w:pPr>
      <w:r>
        <w:rPr>
          <w:rFonts w:hint="default" w:ascii="Times New Roman" w:hAnsi="Times New Roman" w:eastAsia="仿宋_GB2312" w:cs="Times New Roman"/>
          <w:color w:val="FF0000"/>
          <w:sz w:val="36"/>
          <w:szCs w:val="36"/>
        </w:rPr>
        <w:t xml:space="preserve">                                      </w:t>
      </w:r>
    </w:p>
    <w:p w14:paraId="2A0C79E4">
      <w:pPr>
        <w:rPr>
          <w:rFonts w:hint="default" w:ascii="Times New Roman" w:hAnsi="Times New Roman" w:eastAsia="仿宋_GB2312" w:cs="Times New Roman"/>
          <w:color w:val="FF0000"/>
          <w:sz w:val="36"/>
          <w:szCs w:val="36"/>
        </w:rPr>
      </w:pPr>
    </w:p>
    <w:p w14:paraId="3E9B061A">
      <w:pPr>
        <w:rPr>
          <w:rFonts w:hint="default" w:ascii="Times New Roman" w:hAnsi="Times New Roman" w:eastAsia="仿宋_GB2312" w:cs="Times New Roman"/>
          <w:color w:val="FF0000"/>
          <w:sz w:val="36"/>
          <w:szCs w:val="36"/>
        </w:rPr>
      </w:pPr>
    </w:p>
    <w:p w14:paraId="4399D805">
      <w:pPr>
        <w:rPr>
          <w:rFonts w:hint="default" w:ascii="Times New Roman" w:hAnsi="Times New Roman" w:eastAsia="仿宋_GB2312" w:cs="Times New Roman"/>
          <w:color w:val="FF0000"/>
          <w:sz w:val="36"/>
          <w:szCs w:val="36"/>
        </w:rPr>
      </w:pPr>
    </w:p>
    <w:p w14:paraId="6D369BF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方正小标宋_GBK" w:cs="Times New Roman"/>
          <w:bCs/>
          <w:color w:val="FF0000"/>
          <w:sz w:val="72"/>
          <w:szCs w:val="72"/>
        </w:rPr>
      </w:pPr>
      <w:r>
        <w:rPr>
          <w:rFonts w:hint="default" w:ascii="黑体" w:hAnsi="黑体" w:eastAsia="黑体" w:cs="黑体"/>
          <w:bCs/>
          <w:color w:val="auto"/>
          <w:sz w:val="52"/>
          <w:szCs w:val="52"/>
          <w:highlight w:val="none"/>
        </w:rPr>
        <w:t>建设项目环境影响报告表</w:t>
      </w:r>
    </w:p>
    <w:p w14:paraId="668F6490">
      <w:pPr>
        <w:keepNext w:val="0"/>
        <w:keepLines w:val="0"/>
        <w:pageBreakBefore w:val="0"/>
        <w:widowControl w:val="0"/>
        <w:kinsoku/>
        <w:wordWrap/>
        <w:overflowPunct/>
        <w:topLinePunct w:val="0"/>
        <w:autoSpaceDE/>
        <w:autoSpaceDN/>
        <w:bidi w:val="0"/>
        <w:adjustRightInd w:val="0"/>
        <w:snapToGrid w:val="0"/>
        <w:spacing w:before="251" w:beforeLines="80" w:line="360" w:lineRule="auto"/>
        <w:jc w:val="center"/>
        <w:textAlignment w:val="auto"/>
        <w:rPr>
          <w:rFonts w:hint="default" w:ascii="Times New Roman" w:hAnsi="Times New Roman" w:eastAsia="楷体_GB2312" w:cs="Times New Roman"/>
          <w:bCs/>
          <w:color w:val="FF0000"/>
          <w:sz w:val="48"/>
          <w:szCs w:val="48"/>
        </w:rPr>
      </w:pPr>
      <w:r>
        <w:rPr>
          <w:rFonts w:hint="default" w:ascii="仿宋" w:hAnsi="仿宋" w:eastAsia="仿宋" w:cs="仿宋"/>
          <w:b/>
          <w:color w:val="auto"/>
          <w:sz w:val="52"/>
          <w:szCs w:val="52"/>
          <w:highlight w:val="none"/>
        </w:rPr>
        <w:t>（污染影响类）</w:t>
      </w:r>
    </w:p>
    <w:p w14:paraId="33640F20">
      <w:pPr>
        <w:keepNext w:val="0"/>
        <w:keepLines w:val="0"/>
        <w:pageBreakBefore w:val="0"/>
        <w:widowControl w:val="0"/>
        <w:kinsoku/>
        <w:wordWrap/>
        <w:overflowPunct/>
        <w:topLinePunct w:val="0"/>
        <w:autoSpaceDE/>
        <w:autoSpaceDN/>
        <w:bidi w:val="0"/>
        <w:spacing w:before="251" w:beforeLines="80" w:line="360" w:lineRule="auto"/>
        <w:textAlignment w:val="auto"/>
        <w:rPr>
          <w:rFonts w:hint="default"/>
          <w:color w:val="FF0000"/>
        </w:rPr>
      </w:pPr>
    </w:p>
    <w:p w14:paraId="71B4C342">
      <w:pPr>
        <w:jc w:val="center"/>
        <w:rPr>
          <w:rFonts w:hint="default" w:ascii="Times New Roman" w:hAnsi="Times New Roman" w:eastAsia="仿宋" w:cs="Times New Roman"/>
          <w:color w:val="FF0000"/>
          <w:sz w:val="52"/>
          <w:szCs w:val="52"/>
        </w:rPr>
      </w:pPr>
    </w:p>
    <w:p w14:paraId="37DB0DAB">
      <w:pPr>
        <w:ind w:firstLine="1040"/>
        <w:rPr>
          <w:rFonts w:hint="default" w:ascii="Times New Roman" w:hAnsi="Times New Roman" w:eastAsia="仿宋" w:cs="Times New Roman"/>
          <w:color w:val="FF0000"/>
          <w:sz w:val="44"/>
          <w:szCs w:val="44"/>
        </w:rPr>
      </w:pPr>
    </w:p>
    <w:p w14:paraId="4CFE6A98">
      <w:pPr>
        <w:ind w:firstLine="1040"/>
        <w:rPr>
          <w:rFonts w:hint="default" w:ascii="Times New Roman" w:hAnsi="Times New Roman" w:eastAsia="仿宋" w:cs="Times New Roman"/>
          <w:color w:val="FF0000"/>
          <w:sz w:val="44"/>
          <w:szCs w:val="44"/>
        </w:rPr>
      </w:pPr>
    </w:p>
    <w:p w14:paraId="217D7B93">
      <w:pPr>
        <w:ind w:firstLine="1040"/>
        <w:rPr>
          <w:rFonts w:hint="default" w:ascii="Times New Roman" w:hAnsi="Times New Roman" w:eastAsia="仿宋" w:cs="Times New Roman"/>
          <w:color w:val="FF0000"/>
          <w:sz w:val="44"/>
          <w:szCs w:val="44"/>
        </w:rPr>
      </w:pPr>
    </w:p>
    <w:p w14:paraId="6E3F272D">
      <w:pPr>
        <w:keepNext w:val="0"/>
        <w:keepLines w:val="0"/>
        <w:pageBreakBefore w:val="0"/>
        <w:widowControl w:val="0"/>
        <w:kinsoku/>
        <w:wordWrap/>
        <w:overflowPunct/>
        <w:topLinePunct w:val="0"/>
        <w:autoSpaceDE/>
        <w:autoSpaceDN/>
        <w:bidi/>
        <w:adjustRightInd w:val="0"/>
        <w:snapToGrid w:val="0"/>
        <w:spacing w:line="360" w:lineRule="auto"/>
        <w:ind w:left="0" w:leftChars="0" w:firstLine="0" w:firstLineChars="0"/>
        <w:jc w:val="right"/>
        <w:textAlignment w:val="auto"/>
        <w:rPr>
          <w:rFonts w:hint="default" w:ascii="Times New Roman" w:hAnsi="Times New Roman" w:eastAsia="仿宋" w:cstheme="minorBidi"/>
          <w:color w:val="auto"/>
          <w:sz w:val="32"/>
          <w:szCs w:val="32"/>
          <w:highlight w:val="none"/>
        </w:rPr>
      </w:pPr>
    </w:p>
    <w:p w14:paraId="36F6F89A">
      <w:pPr>
        <w:keepNext w:val="0"/>
        <w:keepLines w:val="0"/>
        <w:pageBreakBefore w:val="0"/>
        <w:widowControl w:val="0"/>
        <w:kinsoku/>
        <w:wordWrap/>
        <w:overflowPunct/>
        <w:topLinePunct w:val="0"/>
        <w:autoSpaceDE/>
        <w:autoSpaceDN/>
        <w:bidi/>
        <w:adjustRightInd w:val="0"/>
        <w:snapToGrid w:val="0"/>
        <w:spacing w:line="360" w:lineRule="auto"/>
        <w:ind w:left="0" w:leftChars="0" w:firstLine="0" w:firstLineChars="0"/>
        <w:jc w:val="right"/>
        <w:textAlignment w:val="auto"/>
        <w:rPr>
          <w:rFonts w:hint="default" w:ascii="Times New Roman" w:hAnsi="Times New Roman" w:eastAsia="仿宋" w:cstheme="minorBidi"/>
          <w:color w:val="auto"/>
          <w:sz w:val="32"/>
          <w:szCs w:val="32"/>
          <w:highlight w:val="none"/>
        </w:rPr>
      </w:pPr>
      <w:r>
        <w:rPr>
          <w:rFonts w:hint="default" w:ascii="Times New Roman" w:hAnsi="Times New Roman" w:eastAsia="仿宋" w:cstheme="minorBidi"/>
          <w:color w:val="auto"/>
          <w:sz w:val="32"/>
          <w:szCs w:val="32"/>
          <w:highlight w:val="none"/>
        </w:rPr>
        <w:t>项目名称：</w:t>
      </w:r>
      <w:r>
        <w:rPr>
          <w:rFonts w:hint="eastAsia" w:ascii="Times New Roman" w:hAnsi="Times New Roman" w:eastAsia="仿宋" w:cstheme="minorBidi"/>
          <w:color w:val="auto"/>
          <w:sz w:val="32"/>
          <w:szCs w:val="32"/>
          <w:highlight w:val="none"/>
          <w:u w:val="single"/>
          <w:lang w:val="en-US" w:eastAsia="zh-CN"/>
        </w:rPr>
        <w:t xml:space="preserve">  </w:t>
      </w:r>
      <w:r>
        <w:rPr>
          <w:rFonts w:hint="eastAsia" w:eastAsia="仿宋" w:cstheme="minorBidi"/>
          <w:color w:val="auto"/>
          <w:sz w:val="32"/>
          <w:szCs w:val="32"/>
          <w:highlight w:val="none"/>
          <w:u w:val="single"/>
          <w:lang w:val="en-US" w:eastAsia="zh-CN"/>
        </w:rPr>
        <w:t>苏南骨伤科中心（急救创伤病房大楼扩建及分中心病房改造）</w:t>
      </w:r>
      <w:r>
        <w:rPr>
          <w:rFonts w:hint="default" w:ascii="Times New Roman" w:hAnsi="Times New Roman" w:eastAsia="仿宋" w:cstheme="minorBidi"/>
          <w:color w:val="auto"/>
          <w:sz w:val="32"/>
          <w:szCs w:val="32"/>
          <w:highlight w:val="none"/>
          <w:u w:val="single"/>
        </w:rPr>
        <w:t xml:space="preserve">                        </w:t>
      </w:r>
    </w:p>
    <w:p w14:paraId="22533598">
      <w:pPr>
        <w:keepNext w:val="0"/>
        <w:keepLines w:val="0"/>
        <w:pageBreakBefore w:val="0"/>
        <w:widowControl w:val="0"/>
        <w:kinsoku/>
        <w:wordWrap/>
        <w:overflowPunct/>
        <w:topLinePunct w:val="0"/>
        <w:autoSpaceDE/>
        <w:autoSpaceDN/>
        <w:bidi/>
        <w:adjustRightInd w:val="0"/>
        <w:snapToGrid w:val="0"/>
        <w:spacing w:line="360" w:lineRule="auto"/>
        <w:ind w:left="0" w:leftChars="0" w:firstLine="0" w:firstLineChars="0"/>
        <w:jc w:val="right"/>
        <w:textAlignment w:val="auto"/>
        <w:rPr>
          <w:rFonts w:hint="default" w:ascii="Times New Roman" w:hAnsi="Times New Roman" w:eastAsia="仿宋" w:cstheme="minorBidi"/>
          <w:color w:val="auto"/>
          <w:sz w:val="32"/>
          <w:szCs w:val="32"/>
          <w:highlight w:val="none"/>
          <w:lang w:val="en-US"/>
        </w:rPr>
      </w:pPr>
      <w:r>
        <w:rPr>
          <w:rFonts w:hint="default" w:ascii="Times New Roman" w:hAnsi="Times New Roman" w:eastAsia="仿宋" w:cstheme="minorBidi"/>
          <w:color w:val="auto"/>
          <w:sz w:val="32"/>
          <w:szCs w:val="32"/>
          <w:highlight w:val="none"/>
        </w:rPr>
        <w:t>建设单位（盖章）：</w:t>
      </w:r>
      <w:r>
        <w:rPr>
          <w:rFonts w:hint="eastAsia" w:ascii="Times New Roman" w:hAnsi="Times New Roman" w:eastAsia="仿宋" w:cstheme="minorBidi"/>
          <w:color w:val="auto"/>
          <w:sz w:val="32"/>
          <w:szCs w:val="32"/>
          <w:highlight w:val="none"/>
          <w:u w:val="single"/>
          <w:lang w:val="en-US" w:eastAsia="zh-CN"/>
        </w:rPr>
        <w:t xml:space="preserve">  常州市金坛第一人民医院</w:t>
      </w:r>
      <w:r>
        <w:rPr>
          <w:rFonts w:hint="eastAsia" w:eastAsia="仿宋" w:cstheme="minorBidi"/>
          <w:color w:val="auto"/>
          <w:sz w:val="32"/>
          <w:szCs w:val="32"/>
          <w:highlight w:val="none"/>
          <w:u w:val="single"/>
          <w:lang w:val="en-US" w:eastAsia="zh-CN"/>
        </w:rPr>
        <w:t xml:space="preserve">  </w:t>
      </w:r>
    </w:p>
    <w:p w14:paraId="22ED83E7">
      <w:pPr>
        <w:keepNext w:val="0"/>
        <w:keepLines w:val="0"/>
        <w:pageBreakBefore w:val="0"/>
        <w:widowControl w:val="0"/>
        <w:kinsoku/>
        <w:wordWrap/>
        <w:overflowPunct/>
        <w:topLinePunct w:val="0"/>
        <w:autoSpaceDE/>
        <w:autoSpaceDN/>
        <w:bidi/>
        <w:adjustRightInd w:val="0"/>
        <w:snapToGrid w:val="0"/>
        <w:spacing w:line="360" w:lineRule="auto"/>
        <w:ind w:left="0" w:leftChars="0" w:firstLine="0" w:firstLineChars="0"/>
        <w:jc w:val="right"/>
        <w:textAlignment w:val="auto"/>
        <w:rPr>
          <w:rFonts w:hint="default" w:ascii="Times New Roman" w:hAnsi="Times New Roman" w:eastAsia="仿宋" w:cstheme="minorBidi"/>
          <w:color w:val="auto"/>
          <w:sz w:val="32"/>
          <w:szCs w:val="32"/>
          <w:highlight w:val="none"/>
        </w:rPr>
      </w:pPr>
      <w:r>
        <w:rPr>
          <w:rFonts w:hint="default" w:ascii="Times New Roman" w:hAnsi="Times New Roman" w:eastAsia="仿宋" w:cstheme="minorBidi"/>
          <w:color w:val="auto"/>
          <w:sz w:val="32"/>
          <w:szCs w:val="32"/>
          <w:highlight w:val="none"/>
        </w:rPr>
        <w:t>编制日期：</w:t>
      </w:r>
      <w:r>
        <w:rPr>
          <w:rFonts w:hint="default" w:ascii="Times New Roman" w:hAnsi="Times New Roman" w:eastAsia="仿宋" w:cstheme="minorBidi"/>
          <w:color w:val="auto"/>
          <w:sz w:val="32"/>
          <w:szCs w:val="32"/>
          <w:highlight w:val="none"/>
          <w:u w:val="single"/>
          <w:lang w:val="en-US" w:eastAsia="zh-CN"/>
        </w:rPr>
        <w:t xml:space="preserve">            </w:t>
      </w:r>
      <w:r>
        <w:rPr>
          <w:rFonts w:hint="eastAsia" w:ascii="Times New Roman" w:hAnsi="Times New Roman" w:eastAsia="仿宋" w:cstheme="minorBidi"/>
          <w:color w:val="auto"/>
          <w:sz w:val="32"/>
          <w:szCs w:val="32"/>
          <w:highlight w:val="none"/>
          <w:u w:val="single"/>
          <w:lang w:val="en-US" w:eastAsia="zh-CN"/>
        </w:rPr>
        <w:t>202</w:t>
      </w:r>
      <w:r>
        <w:rPr>
          <w:rFonts w:hint="eastAsia" w:eastAsia="仿宋" w:cstheme="minorBidi"/>
          <w:color w:val="auto"/>
          <w:sz w:val="32"/>
          <w:szCs w:val="32"/>
          <w:highlight w:val="none"/>
          <w:u w:val="single"/>
          <w:lang w:val="en-US" w:eastAsia="zh-CN"/>
        </w:rPr>
        <w:t>5</w:t>
      </w:r>
      <w:r>
        <w:rPr>
          <w:rFonts w:hint="eastAsia" w:ascii="Times New Roman" w:hAnsi="Times New Roman" w:eastAsia="仿宋" w:cstheme="minorBidi"/>
          <w:color w:val="auto"/>
          <w:sz w:val="32"/>
          <w:szCs w:val="32"/>
          <w:highlight w:val="none"/>
          <w:u w:val="single"/>
          <w:lang w:val="en-US" w:eastAsia="zh-CN"/>
        </w:rPr>
        <w:t>年</w:t>
      </w:r>
      <w:r>
        <w:rPr>
          <w:rFonts w:hint="eastAsia" w:eastAsia="仿宋" w:cstheme="minorBidi"/>
          <w:color w:val="auto"/>
          <w:sz w:val="32"/>
          <w:szCs w:val="32"/>
          <w:highlight w:val="none"/>
          <w:u w:val="single"/>
          <w:lang w:val="en-US" w:eastAsia="zh-CN"/>
        </w:rPr>
        <w:t>4</w:t>
      </w:r>
      <w:r>
        <w:rPr>
          <w:rFonts w:hint="eastAsia" w:ascii="Times New Roman" w:hAnsi="Times New Roman" w:eastAsia="仿宋" w:cstheme="minorBidi"/>
          <w:color w:val="auto"/>
          <w:sz w:val="32"/>
          <w:szCs w:val="32"/>
          <w:highlight w:val="none"/>
          <w:u w:val="single"/>
          <w:lang w:val="en-US" w:eastAsia="zh-CN"/>
        </w:rPr>
        <w:t>月</w:t>
      </w:r>
      <w:r>
        <w:rPr>
          <w:rFonts w:hint="default" w:ascii="Times New Roman" w:hAnsi="Times New Roman" w:eastAsia="仿宋" w:cstheme="minorBidi"/>
          <w:color w:val="auto"/>
          <w:sz w:val="32"/>
          <w:szCs w:val="32"/>
          <w:highlight w:val="none"/>
          <w:u w:val="single"/>
        </w:rPr>
        <w:t xml:space="preserve">           </w:t>
      </w:r>
    </w:p>
    <w:p w14:paraId="673481CE">
      <w:pPr>
        <w:keepNext w:val="0"/>
        <w:keepLines w:val="0"/>
        <w:pageBreakBefore w:val="0"/>
        <w:widowControl w:val="0"/>
        <w:kinsoku/>
        <w:wordWrap/>
        <w:overflowPunct/>
        <w:topLinePunct w:val="0"/>
        <w:autoSpaceDE/>
        <w:autoSpaceDN/>
        <w:bidi/>
        <w:adjustRightInd w:val="0"/>
        <w:snapToGrid w:val="0"/>
        <w:spacing w:line="360" w:lineRule="auto"/>
        <w:ind w:left="0" w:leftChars="0" w:firstLine="0" w:firstLineChars="0"/>
        <w:jc w:val="right"/>
        <w:textAlignment w:val="auto"/>
        <w:rPr>
          <w:rFonts w:hint="default" w:ascii="Times New Roman" w:hAnsi="Times New Roman" w:eastAsia="仿宋" w:cstheme="minorBidi"/>
          <w:color w:val="auto"/>
          <w:sz w:val="32"/>
          <w:szCs w:val="32"/>
          <w:highlight w:val="none"/>
        </w:rPr>
      </w:pPr>
      <w:bookmarkStart w:id="0" w:name="_Hlk57884087"/>
    </w:p>
    <w:p w14:paraId="2688ED73">
      <w:pPr>
        <w:adjustRightInd w:val="0"/>
        <w:snapToGrid w:val="0"/>
        <w:spacing w:line="288" w:lineRule="auto"/>
        <w:ind w:firstLine="1040"/>
        <w:rPr>
          <w:rFonts w:hint="default" w:ascii="Times New Roman" w:hAnsi="Times New Roman" w:eastAsia="仿宋_GB2312" w:cs="Times New Roman"/>
          <w:color w:val="FF0000"/>
          <w:sz w:val="36"/>
          <w:szCs w:val="36"/>
        </w:rPr>
      </w:pPr>
    </w:p>
    <w:bookmarkEnd w:id="0"/>
    <w:p w14:paraId="3B1AC15A">
      <w:pPr>
        <w:pStyle w:val="41"/>
        <w:rPr>
          <w:rFonts w:hint="default" w:ascii="Times New Roman" w:hAnsi="Times New Roman" w:eastAsia="仿宋_GB2312" w:cs="Times New Roman"/>
          <w:color w:val="FF0000"/>
          <w:sz w:val="36"/>
          <w:szCs w:val="36"/>
        </w:rPr>
      </w:pPr>
    </w:p>
    <w:p w14:paraId="7711BA52">
      <w:pPr>
        <w:pStyle w:val="41"/>
        <w:rPr>
          <w:rFonts w:hint="default" w:ascii="Times New Roman" w:hAnsi="Times New Roman" w:eastAsia="仿宋_GB2312" w:cs="Times New Roman"/>
          <w:color w:val="FF0000"/>
          <w:sz w:val="36"/>
          <w:szCs w:val="36"/>
        </w:rPr>
      </w:pPr>
    </w:p>
    <w:p w14:paraId="489A298D">
      <w:pPr>
        <w:adjustRightInd w:val="0"/>
        <w:snapToGrid w:val="0"/>
        <w:spacing w:line="288" w:lineRule="auto"/>
        <w:rPr>
          <w:rFonts w:hint="default" w:ascii="Times New Roman" w:hAnsi="Times New Roman" w:eastAsia="仿宋_GB2312" w:cs="Times New Roman"/>
          <w:color w:val="FF0000"/>
          <w:sz w:val="36"/>
          <w:szCs w:val="36"/>
        </w:rPr>
      </w:pPr>
    </w:p>
    <w:p w14:paraId="4B970E61">
      <w:pPr>
        <w:adjustRightInd w:val="0"/>
        <w:snapToGrid w:val="0"/>
        <w:spacing w:line="288" w:lineRule="auto"/>
        <w:ind w:left="0" w:leftChars="0" w:firstLine="0" w:firstLineChars="0"/>
        <w:jc w:val="center"/>
        <w:outlineLvl w:val="9"/>
        <w:rPr>
          <w:rFonts w:hint="eastAsia" w:ascii="楷体" w:hAnsi="楷体" w:eastAsia="楷体" w:cs="楷体"/>
          <w:color w:val="auto"/>
          <w:sz w:val="36"/>
          <w:szCs w:val="36"/>
          <w:highlight w:val="none"/>
          <w:lang w:eastAsia="zh-CN"/>
        </w:rPr>
      </w:pPr>
      <w:r>
        <w:rPr>
          <w:rFonts w:hint="default" w:ascii="楷体" w:hAnsi="楷体" w:eastAsia="楷体" w:cs="楷体"/>
          <w:color w:val="auto"/>
          <w:sz w:val="36"/>
          <w:szCs w:val="36"/>
          <w:highlight w:val="none"/>
        </w:rPr>
        <w:t>中华人民共和国生态环境部制</w:t>
      </w:r>
    </w:p>
    <w:p w14:paraId="24ECD984">
      <w:pPr>
        <w:adjustRightInd w:val="0"/>
        <w:snapToGrid w:val="0"/>
        <w:spacing w:line="288" w:lineRule="auto"/>
        <w:rPr>
          <w:rFonts w:hint="eastAsia" w:ascii="Times New Roman" w:hAnsi="Times New Roman" w:eastAsia="仿宋_GB2312" w:cs="Times New Roman"/>
          <w:color w:val="FF0000"/>
          <w:sz w:val="36"/>
          <w:szCs w:val="36"/>
          <w:lang w:eastAsia="zh-CN"/>
        </w:rPr>
      </w:pPr>
    </w:p>
    <w:p w14:paraId="7EB39BCA">
      <w:pPr>
        <w:pStyle w:val="48"/>
        <w:rPr>
          <w:rFonts w:hint="default" w:ascii="Times New Roman" w:hAnsi="Times New Roman" w:eastAsia="仿宋_GB2312" w:cs="Times New Roman"/>
          <w:color w:val="FF0000"/>
          <w:sz w:val="36"/>
          <w:szCs w:val="36"/>
        </w:rPr>
        <w:sectPr>
          <w:footerReference r:id="rId3" w:type="default"/>
          <w:footerReference r:id="rId4" w:type="even"/>
          <w:pgSz w:w="11906" w:h="16838"/>
          <w:pgMar w:top="1440" w:right="1800" w:bottom="1440" w:left="1800" w:header="1135" w:footer="1077" w:gutter="0"/>
          <w:pgBorders>
            <w:top w:val="none" w:sz="0" w:space="0"/>
            <w:left w:val="none" w:sz="0" w:space="0"/>
            <w:bottom w:val="none" w:sz="0" w:space="0"/>
            <w:right w:val="none" w:sz="0" w:space="0"/>
          </w:pgBorders>
          <w:pgNumType w:start="0"/>
          <w:cols w:space="720" w:num="1"/>
          <w:titlePg/>
          <w:docGrid w:linePitch="312" w:charSpace="0"/>
        </w:sectPr>
      </w:pPr>
    </w:p>
    <w:p w14:paraId="06FBED87">
      <w:pPr>
        <w:pStyle w:val="48"/>
        <w:rPr>
          <w:rFonts w:hint="eastAsia" w:ascii="Times New Roman" w:hAnsi="Times New Roman" w:eastAsia="仿宋_GB2312" w:cs="Times New Roman"/>
          <w:color w:val="FF0000"/>
          <w:sz w:val="36"/>
          <w:szCs w:val="36"/>
          <w:lang w:eastAsia="zh-CN"/>
        </w:rPr>
      </w:pPr>
      <w:bookmarkStart w:id="16" w:name="_GoBack"/>
      <w:r>
        <w:rPr>
          <w:rFonts w:hint="eastAsia" w:ascii="Times New Roman" w:hAnsi="Times New Roman" w:eastAsia="仿宋_GB2312" w:cs="Times New Roman"/>
          <w:color w:val="FF0000"/>
          <w:sz w:val="36"/>
          <w:szCs w:val="36"/>
          <w:lang w:eastAsia="zh-CN"/>
        </w:rPr>
        <w:drawing>
          <wp:inline distT="0" distB="0" distL="114300" distR="114300">
            <wp:extent cx="5272405" cy="7520940"/>
            <wp:effectExtent l="0" t="0" r="635" b="7620"/>
            <wp:docPr id="2" name="图片 2" descr="2025_04_09_15_32_2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_04_09_15_32_29_00"/>
                    <pic:cNvPicPr>
                      <a:picLocks noChangeAspect="1"/>
                    </pic:cNvPicPr>
                  </pic:nvPicPr>
                  <pic:blipFill>
                    <a:blip r:embed="rId12"/>
                    <a:stretch>
                      <a:fillRect/>
                    </a:stretch>
                  </pic:blipFill>
                  <pic:spPr>
                    <a:xfrm>
                      <a:off x="0" y="0"/>
                      <a:ext cx="5272405" cy="7520940"/>
                    </a:xfrm>
                    <a:prstGeom prst="rect">
                      <a:avLst/>
                    </a:prstGeom>
                  </pic:spPr>
                </pic:pic>
              </a:graphicData>
            </a:graphic>
          </wp:inline>
        </w:drawing>
      </w:r>
      <w:bookmarkEnd w:id="16"/>
    </w:p>
    <w:p w14:paraId="13A4A8EE">
      <w:pPr>
        <w:pStyle w:val="48"/>
        <w:rPr>
          <w:rFonts w:hint="default" w:ascii="Times New Roman" w:hAnsi="Times New Roman" w:eastAsia="仿宋_GB2312" w:cs="Times New Roman"/>
          <w:color w:val="FF0000"/>
          <w:sz w:val="36"/>
          <w:szCs w:val="36"/>
        </w:rPr>
      </w:pPr>
    </w:p>
    <w:p w14:paraId="0B8B5D4B">
      <w:pPr>
        <w:pStyle w:val="48"/>
        <w:ind w:left="0" w:leftChars="0" w:firstLine="0" w:firstLineChars="0"/>
        <w:rPr>
          <w:rFonts w:hint="default" w:ascii="Times New Roman" w:hAnsi="Times New Roman" w:eastAsia="仿宋_GB2312" w:cs="Times New Roman"/>
          <w:color w:val="FF0000"/>
          <w:sz w:val="36"/>
          <w:szCs w:val="36"/>
        </w:rPr>
      </w:pPr>
    </w:p>
    <w:p w14:paraId="29F6D1C8">
      <w:pPr>
        <w:pStyle w:val="48"/>
        <w:ind w:left="0" w:leftChars="0" w:firstLine="0" w:firstLineChars="0"/>
        <w:rPr>
          <w:rFonts w:hint="eastAsia" w:ascii="Times New Roman" w:hAnsi="Times New Roman" w:eastAsia="仿宋_GB2312" w:cs="Times New Roman"/>
          <w:color w:val="FF0000"/>
          <w:sz w:val="36"/>
          <w:szCs w:val="36"/>
          <w:lang w:eastAsia="zh-CN"/>
        </w:rPr>
        <w:sectPr>
          <w:footerReference r:id="rId6" w:type="first"/>
          <w:footerReference r:id="rId5" w:type="default"/>
          <w:pgSz w:w="11906" w:h="16838"/>
          <w:pgMar w:top="1440" w:right="1800" w:bottom="1440" w:left="1800" w:header="1135" w:footer="1077" w:gutter="0"/>
          <w:pgBorders>
            <w:top w:val="none" w:sz="0" w:space="0"/>
            <w:left w:val="none" w:sz="0" w:space="0"/>
            <w:bottom w:val="none" w:sz="0" w:space="0"/>
            <w:right w:val="none" w:sz="0" w:space="0"/>
          </w:pgBorders>
          <w:pgNumType w:start="0"/>
          <w:cols w:space="720" w:num="1"/>
          <w:titlePg/>
          <w:docGrid w:linePitch="312" w:charSpace="0"/>
        </w:sectPr>
      </w:pPr>
    </w:p>
    <w:sdt>
      <w:sdtPr>
        <w:rPr>
          <w:rFonts w:ascii="宋体" w:hAnsi="宋体" w:eastAsia="宋体" w:cs="Times New Roman"/>
          <w:kern w:val="2"/>
          <w:sz w:val="21"/>
          <w:szCs w:val="24"/>
          <w:lang w:val="en-US" w:eastAsia="zh-CN" w:bidi="ar-SA"/>
        </w:rPr>
        <w:id w:val="147460393"/>
        <w15:color w:val="DBDBDB"/>
        <w:docPartObj>
          <w:docPartGallery w:val="Table of Contents"/>
          <w:docPartUnique/>
        </w:docPartObj>
      </w:sdtPr>
      <w:sdtEndPr>
        <w:rPr>
          <w:rFonts w:hint="eastAsia" w:ascii="Times New Roman" w:hAnsi="Times New Roman" w:eastAsia="仿宋" w:cs="Times New Roman"/>
          <w:color w:val="auto"/>
          <w:kern w:val="2"/>
          <w:sz w:val="24"/>
          <w:szCs w:val="24"/>
          <w:lang w:val="en-US" w:eastAsia="zh-CN" w:bidi="ar-SA"/>
        </w:rPr>
      </w:sdtEndPr>
      <w:sdtContent>
        <w:p w14:paraId="340D71B7">
          <w:pPr>
            <w:pStyle w:val="140"/>
            <w:keepNext w:val="0"/>
            <w:keepLines w:val="0"/>
            <w:pageBreakBefore w:val="0"/>
            <w:widowControl/>
            <w:tabs>
              <w:tab w:val="right" w:leader="dot" w:pos="8844"/>
            </w:tabs>
            <w:kinsoku/>
            <w:wordWrap w:val="0"/>
            <w:overflowPunct/>
            <w:topLinePunct w:val="0"/>
            <w:autoSpaceDE/>
            <w:autoSpaceDN/>
            <w:bidi w:val="0"/>
            <w:adjustRightInd/>
            <w:snapToGrid/>
            <w:spacing w:line="240" w:lineRule="auto"/>
            <w:ind w:left="0" w:leftChars="0"/>
            <w:jc w:val="center"/>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目  录</w:t>
          </w:r>
        </w:p>
        <w:p w14:paraId="0823C110">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left"/>
            <w:textAlignment w:val="auto"/>
            <w:rPr>
              <w:rFonts w:ascii="Times New Roman" w:hAnsi="Times New Roman" w:eastAsia="仿宋" w:cs="Times New Roman"/>
              <w:sz w:val="24"/>
            </w:rPr>
          </w:pPr>
          <w:r>
            <w:rPr>
              <w:rFonts w:hint="eastAsia" w:ascii="Times New Roman" w:hAnsi="Times New Roman" w:eastAsia="仿宋" w:cs="Times New Roman"/>
              <w:color w:val="auto"/>
              <w:sz w:val="24"/>
              <w:szCs w:val="24"/>
              <w:lang w:val="en-US" w:eastAsia="zh-CN" w:bidi="ar-SA"/>
            </w:rPr>
            <w:fldChar w:fldCharType="begin"/>
          </w:r>
          <w:r>
            <w:rPr>
              <w:rFonts w:hint="eastAsia" w:ascii="Times New Roman" w:hAnsi="Times New Roman" w:eastAsia="仿宋" w:cs="Times New Roman"/>
              <w:color w:val="auto"/>
              <w:sz w:val="24"/>
              <w:szCs w:val="24"/>
              <w:lang w:val="en-US" w:eastAsia="zh-CN" w:bidi="ar-SA"/>
            </w:rPr>
            <w:instrText xml:space="preserve">TOC \o "1-1" \h \u </w:instrText>
          </w:r>
          <w:r>
            <w:rPr>
              <w:rFonts w:hint="eastAsia" w:ascii="Times New Roman" w:hAnsi="Times New Roman" w:eastAsia="仿宋" w:cs="Times New Roman"/>
              <w:color w:val="auto"/>
              <w:sz w:val="24"/>
              <w:szCs w:val="24"/>
              <w:lang w:val="en-US" w:eastAsia="zh-CN" w:bidi="ar-SA"/>
            </w:rPr>
            <w:fldChar w:fldCharType="separate"/>
          </w:r>
          <w:r>
            <w:rPr>
              <w:rFonts w:hint="eastAsia" w:ascii="Times New Roman" w:hAnsi="Times New Roman" w:eastAsia="仿宋" w:cs="Times New Roman"/>
              <w:color w:val="auto"/>
              <w:sz w:val="24"/>
              <w:szCs w:val="24"/>
              <w:lang w:val="en-US" w:eastAsia="zh-CN" w:bidi="ar-SA"/>
            </w:rPr>
            <w:fldChar w:fldCharType="begin"/>
          </w:r>
          <w:r>
            <w:rPr>
              <w:rFonts w:hint="eastAsia" w:ascii="Times New Roman" w:hAnsi="Times New Roman" w:eastAsia="仿宋" w:cs="Times New Roman"/>
              <w:sz w:val="24"/>
              <w:szCs w:val="24"/>
              <w:lang w:val="en-US" w:eastAsia="zh-CN" w:bidi="ar-SA"/>
            </w:rPr>
            <w:instrText xml:space="preserve"> HYPERLINK \l _Toc21201 </w:instrText>
          </w:r>
          <w:r>
            <w:rPr>
              <w:rFonts w:hint="eastAsia" w:ascii="Times New Roman" w:hAnsi="Times New Roman" w:eastAsia="仿宋" w:cs="Times New Roman"/>
              <w:sz w:val="24"/>
              <w:szCs w:val="24"/>
              <w:lang w:val="en-US" w:eastAsia="zh-CN" w:bidi="ar-SA"/>
            </w:rPr>
            <w:fldChar w:fldCharType="separate"/>
          </w:r>
          <w:r>
            <w:rPr>
              <w:rFonts w:hint="default" w:ascii="Times New Roman" w:hAnsi="Times New Roman" w:eastAsia="仿宋" w:cs="Times New Roman"/>
              <w:bCs/>
              <w:kern w:val="0"/>
              <w:sz w:val="24"/>
              <w:highlight w:val="none"/>
              <w:lang w:eastAsia="en-US"/>
            </w:rPr>
            <w:t>一、建设项目基本情况</w:t>
          </w:r>
          <w:r>
            <w:rPr>
              <w:rFonts w:ascii="Times New Roman" w:hAnsi="Times New Roman" w:eastAsia="仿宋" w:cs="Times New Roman"/>
              <w:sz w:val="24"/>
            </w:rPr>
            <w:tab/>
          </w:r>
          <w:r>
            <w:rPr>
              <w:rFonts w:ascii="Times New Roman" w:hAnsi="Times New Roman" w:eastAsia="仿宋" w:cs="Times New Roman"/>
              <w:sz w:val="24"/>
            </w:rPr>
            <w:fldChar w:fldCharType="begin"/>
          </w:r>
          <w:r>
            <w:rPr>
              <w:rFonts w:ascii="Times New Roman" w:hAnsi="Times New Roman" w:eastAsia="仿宋" w:cs="Times New Roman"/>
              <w:sz w:val="24"/>
            </w:rPr>
            <w:instrText xml:space="preserve"> PAGEREF _Toc21201 \h </w:instrText>
          </w:r>
          <w:r>
            <w:rPr>
              <w:rFonts w:ascii="Times New Roman" w:hAnsi="Times New Roman" w:eastAsia="仿宋" w:cs="Times New Roman"/>
              <w:sz w:val="24"/>
            </w:rPr>
            <w:fldChar w:fldCharType="separate"/>
          </w:r>
          <w:r>
            <w:rPr>
              <w:rFonts w:ascii="Times New Roman" w:hAnsi="Times New Roman" w:eastAsia="仿宋" w:cs="Times New Roman"/>
              <w:sz w:val="24"/>
            </w:rPr>
            <w:t>1</w:t>
          </w:r>
          <w:r>
            <w:rPr>
              <w:rFonts w:ascii="Times New Roman" w:hAnsi="Times New Roman" w:eastAsia="仿宋" w:cs="Times New Roman"/>
              <w:sz w:val="24"/>
            </w:rPr>
            <w:fldChar w:fldCharType="end"/>
          </w:r>
          <w:r>
            <w:rPr>
              <w:rFonts w:hint="eastAsia" w:ascii="Times New Roman" w:hAnsi="Times New Roman" w:eastAsia="仿宋" w:cs="Times New Roman"/>
              <w:color w:val="auto"/>
              <w:sz w:val="24"/>
              <w:szCs w:val="24"/>
              <w:lang w:val="en-US" w:eastAsia="zh-CN" w:bidi="ar-SA"/>
            </w:rPr>
            <w:fldChar w:fldCharType="end"/>
          </w:r>
        </w:p>
        <w:p w14:paraId="52CD3AE2">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left"/>
            <w:textAlignment w:val="auto"/>
            <w:rPr>
              <w:rFonts w:ascii="Times New Roman" w:hAnsi="Times New Roman" w:eastAsia="仿宋" w:cs="Times New Roman"/>
              <w:sz w:val="24"/>
            </w:rPr>
          </w:pPr>
          <w:r>
            <w:rPr>
              <w:rFonts w:hint="eastAsia" w:ascii="Times New Roman" w:hAnsi="Times New Roman" w:eastAsia="仿宋" w:cs="Times New Roman"/>
              <w:color w:val="auto"/>
              <w:sz w:val="24"/>
              <w:szCs w:val="24"/>
              <w:lang w:val="en-US" w:eastAsia="zh-CN" w:bidi="ar-SA"/>
            </w:rPr>
            <w:fldChar w:fldCharType="begin"/>
          </w:r>
          <w:r>
            <w:rPr>
              <w:rFonts w:hint="eastAsia" w:ascii="Times New Roman" w:hAnsi="Times New Roman" w:eastAsia="仿宋" w:cs="Times New Roman"/>
              <w:sz w:val="24"/>
              <w:szCs w:val="24"/>
              <w:lang w:val="en-US" w:eastAsia="zh-CN" w:bidi="ar-SA"/>
            </w:rPr>
            <w:instrText xml:space="preserve"> HYPERLINK \l _Toc24237 </w:instrText>
          </w:r>
          <w:r>
            <w:rPr>
              <w:rFonts w:hint="eastAsia" w:ascii="Times New Roman" w:hAnsi="Times New Roman" w:eastAsia="仿宋" w:cs="Times New Roman"/>
              <w:sz w:val="24"/>
              <w:szCs w:val="24"/>
              <w:lang w:val="en-US" w:eastAsia="zh-CN" w:bidi="ar-SA"/>
            </w:rPr>
            <w:fldChar w:fldCharType="separate"/>
          </w:r>
          <w:r>
            <w:rPr>
              <w:rFonts w:hint="default" w:ascii="Times New Roman" w:hAnsi="Times New Roman" w:eastAsia="仿宋" w:cs="Times New Roman"/>
              <w:bCs/>
              <w:kern w:val="0"/>
              <w:sz w:val="24"/>
              <w:szCs w:val="30"/>
              <w:highlight w:val="none"/>
              <w:lang w:val="en-US" w:eastAsia="zh-CN" w:bidi="ar-SA"/>
            </w:rPr>
            <w:t>二、建设项目工程分析</w:t>
          </w:r>
          <w:r>
            <w:rPr>
              <w:rFonts w:ascii="Times New Roman" w:hAnsi="Times New Roman" w:eastAsia="仿宋" w:cs="Times New Roman"/>
              <w:sz w:val="24"/>
            </w:rPr>
            <w:tab/>
          </w:r>
          <w:r>
            <w:rPr>
              <w:rFonts w:ascii="Times New Roman" w:hAnsi="Times New Roman" w:eastAsia="仿宋" w:cs="Times New Roman"/>
              <w:sz w:val="24"/>
            </w:rPr>
            <w:fldChar w:fldCharType="begin"/>
          </w:r>
          <w:r>
            <w:rPr>
              <w:rFonts w:ascii="Times New Roman" w:hAnsi="Times New Roman" w:eastAsia="仿宋" w:cs="Times New Roman"/>
              <w:sz w:val="24"/>
            </w:rPr>
            <w:instrText xml:space="preserve"> PAGEREF _Toc24237 \h </w:instrText>
          </w:r>
          <w:r>
            <w:rPr>
              <w:rFonts w:ascii="Times New Roman" w:hAnsi="Times New Roman" w:eastAsia="仿宋" w:cs="Times New Roman"/>
              <w:sz w:val="24"/>
            </w:rPr>
            <w:fldChar w:fldCharType="separate"/>
          </w:r>
          <w:r>
            <w:rPr>
              <w:rFonts w:ascii="Times New Roman" w:hAnsi="Times New Roman" w:eastAsia="仿宋" w:cs="Times New Roman"/>
              <w:sz w:val="24"/>
            </w:rPr>
            <w:t>14</w:t>
          </w:r>
          <w:r>
            <w:rPr>
              <w:rFonts w:ascii="Times New Roman" w:hAnsi="Times New Roman" w:eastAsia="仿宋" w:cs="Times New Roman"/>
              <w:sz w:val="24"/>
            </w:rPr>
            <w:fldChar w:fldCharType="end"/>
          </w:r>
          <w:r>
            <w:rPr>
              <w:rFonts w:hint="eastAsia" w:ascii="Times New Roman" w:hAnsi="Times New Roman" w:eastAsia="仿宋" w:cs="Times New Roman"/>
              <w:color w:val="auto"/>
              <w:sz w:val="24"/>
              <w:szCs w:val="24"/>
              <w:lang w:val="en-US" w:eastAsia="zh-CN" w:bidi="ar-SA"/>
            </w:rPr>
            <w:fldChar w:fldCharType="end"/>
          </w:r>
        </w:p>
        <w:p w14:paraId="1E6BB980">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left"/>
            <w:textAlignment w:val="auto"/>
            <w:rPr>
              <w:rFonts w:ascii="Times New Roman" w:hAnsi="Times New Roman" w:eastAsia="仿宋" w:cs="Times New Roman"/>
              <w:sz w:val="24"/>
            </w:rPr>
          </w:pPr>
          <w:r>
            <w:rPr>
              <w:rFonts w:hint="eastAsia" w:ascii="Times New Roman" w:hAnsi="Times New Roman" w:eastAsia="仿宋" w:cs="Times New Roman"/>
              <w:color w:val="auto"/>
              <w:sz w:val="24"/>
              <w:szCs w:val="24"/>
              <w:lang w:val="en-US" w:eastAsia="zh-CN" w:bidi="ar-SA"/>
            </w:rPr>
            <w:fldChar w:fldCharType="begin"/>
          </w:r>
          <w:r>
            <w:rPr>
              <w:rFonts w:hint="eastAsia" w:ascii="Times New Roman" w:hAnsi="Times New Roman" w:eastAsia="仿宋" w:cs="Times New Roman"/>
              <w:sz w:val="24"/>
              <w:szCs w:val="24"/>
              <w:lang w:val="en-US" w:eastAsia="zh-CN" w:bidi="ar-SA"/>
            </w:rPr>
            <w:instrText xml:space="preserve"> HYPERLINK \l _Toc28061 </w:instrText>
          </w:r>
          <w:r>
            <w:rPr>
              <w:rFonts w:hint="eastAsia" w:ascii="Times New Roman" w:hAnsi="Times New Roman" w:eastAsia="仿宋" w:cs="Times New Roman"/>
              <w:sz w:val="24"/>
              <w:szCs w:val="24"/>
              <w:lang w:val="en-US" w:eastAsia="zh-CN" w:bidi="ar-SA"/>
            </w:rPr>
            <w:fldChar w:fldCharType="separate"/>
          </w:r>
          <w:r>
            <w:rPr>
              <w:rFonts w:hint="default" w:ascii="Times New Roman" w:hAnsi="Times New Roman" w:eastAsia="仿宋" w:cs="Times New Roman"/>
              <w:bCs/>
              <w:snapToGrid w:val="0"/>
              <w:sz w:val="24"/>
              <w:szCs w:val="30"/>
              <w:highlight w:val="none"/>
            </w:rPr>
            <w:t>三、区域环境质量现状、环境保护目标及评价标准</w:t>
          </w:r>
          <w:r>
            <w:rPr>
              <w:rFonts w:ascii="Times New Roman" w:hAnsi="Times New Roman" w:eastAsia="仿宋" w:cs="Times New Roman"/>
              <w:sz w:val="24"/>
            </w:rPr>
            <w:tab/>
          </w:r>
          <w:r>
            <w:rPr>
              <w:rFonts w:ascii="Times New Roman" w:hAnsi="Times New Roman" w:eastAsia="仿宋" w:cs="Times New Roman"/>
              <w:sz w:val="24"/>
            </w:rPr>
            <w:fldChar w:fldCharType="begin"/>
          </w:r>
          <w:r>
            <w:rPr>
              <w:rFonts w:ascii="Times New Roman" w:hAnsi="Times New Roman" w:eastAsia="仿宋" w:cs="Times New Roman"/>
              <w:sz w:val="24"/>
            </w:rPr>
            <w:instrText xml:space="preserve"> PAGEREF _Toc28061 \h </w:instrText>
          </w:r>
          <w:r>
            <w:rPr>
              <w:rFonts w:ascii="Times New Roman" w:hAnsi="Times New Roman" w:eastAsia="仿宋" w:cs="Times New Roman"/>
              <w:sz w:val="24"/>
            </w:rPr>
            <w:fldChar w:fldCharType="separate"/>
          </w:r>
          <w:r>
            <w:rPr>
              <w:rFonts w:ascii="Times New Roman" w:hAnsi="Times New Roman" w:eastAsia="仿宋" w:cs="Times New Roman"/>
              <w:sz w:val="24"/>
            </w:rPr>
            <w:t>36</w:t>
          </w:r>
          <w:r>
            <w:rPr>
              <w:rFonts w:ascii="Times New Roman" w:hAnsi="Times New Roman" w:eastAsia="仿宋" w:cs="Times New Roman"/>
              <w:sz w:val="24"/>
            </w:rPr>
            <w:fldChar w:fldCharType="end"/>
          </w:r>
          <w:r>
            <w:rPr>
              <w:rFonts w:hint="eastAsia" w:ascii="Times New Roman" w:hAnsi="Times New Roman" w:eastAsia="仿宋" w:cs="Times New Roman"/>
              <w:color w:val="auto"/>
              <w:sz w:val="24"/>
              <w:szCs w:val="24"/>
              <w:lang w:val="en-US" w:eastAsia="zh-CN" w:bidi="ar-SA"/>
            </w:rPr>
            <w:fldChar w:fldCharType="end"/>
          </w:r>
        </w:p>
        <w:p w14:paraId="7CBA7895">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left"/>
            <w:textAlignment w:val="auto"/>
            <w:rPr>
              <w:rFonts w:ascii="Times New Roman" w:hAnsi="Times New Roman" w:eastAsia="仿宋" w:cs="Times New Roman"/>
              <w:sz w:val="24"/>
            </w:rPr>
          </w:pPr>
          <w:r>
            <w:rPr>
              <w:rFonts w:hint="eastAsia" w:ascii="Times New Roman" w:hAnsi="Times New Roman" w:eastAsia="仿宋" w:cs="Times New Roman"/>
              <w:color w:val="auto"/>
              <w:sz w:val="24"/>
              <w:szCs w:val="24"/>
              <w:lang w:val="en-US" w:eastAsia="zh-CN" w:bidi="ar-SA"/>
            </w:rPr>
            <w:fldChar w:fldCharType="begin"/>
          </w:r>
          <w:r>
            <w:rPr>
              <w:rFonts w:hint="eastAsia" w:ascii="Times New Roman" w:hAnsi="Times New Roman" w:eastAsia="仿宋" w:cs="Times New Roman"/>
              <w:sz w:val="24"/>
              <w:szCs w:val="24"/>
              <w:lang w:val="en-US" w:eastAsia="zh-CN" w:bidi="ar-SA"/>
            </w:rPr>
            <w:instrText xml:space="preserve"> HYPERLINK \l _Toc21360 </w:instrText>
          </w:r>
          <w:r>
            <w:rPr>
              <w:rFonts w:hint="eastAsia" w:ascii="Times New Roman" w:hAnsi="Times New Roman" w:eastAsia="仿宋" w:cs="Times New Roman"/>
              <w:sz w:val="24"/>
              <w:szCs w:val="24"/>
              <w:lang w:val="en-US" w:eastAsia="zh-CN" w:bidi="ar-SA"/>
            </w:rPr>
            <w:fldChar w:fldCharType="separate"/>
          </w:r>
          <w:r>
            <w:rPr>
              <w:rFonts w:hint="default" w:ascii="Times New Roman" w:hAnsi="Times New Roman" w:eastAsia="仿宋" w:cs="Times New Roman"/>
              <w:snapToGrid w:val="0"/>
              <w:sz w:val="24"/>
              <w:szCs w:val="30"/>
            </w:rPr>
            <w:t>四、主要环境影响和保护措施</w:t>
          </w:r>
          <w:r>
            <w:rPr>
              <w:rFonts w:ascii="Times New Roman" w:hAnsi="Times New Roman" w:eastAsia="仿宋" w:cs="Times New Roman"/>
              <w:sz w:val="24"/>
            </w:rPr>
            <w:tab/>
          </w:r>
          <w:r>
            <w:rPr>
              <w:rFonts w:ascii="Times New Roman" w:hAnsi="Times New Roman" w:eastAsia="仿宋" w:cs="Times New Roman"/>
              <w:sz w:val="24"/>
            </w:rPr>
            <w:fldChar w:fldCharType="begin"/>
          </w:r>
          <w:r>
            <w:rPr>
              <w:rFonts w:ascii="Times New Roman" w:hAnsi="Times New Roman" w:eastAsia="仿宋" w:cs="Times New Roman"/>
              <w:sz w:val="24"/>
            </w:rPr>
            <w:instrText xml:space="preserve"> PAGEREF _Toc21360 \h </w:instrText>
          </w:r>
          <w:r>
            <w:rPr>
              <w:rFonts w:ascii="Times New Roman" w:hAnsi="Times New Roman" w:eastAsia="仿宋" w:cs="Times New Roman"/>
              <w:sz w:val="24"/>
            </w:rPr>
            <w:fldChar w:fldCharType="separate"/>
          </w:r>
          <w:r>
            <w:rPr>
              <w:rFonts w:ascii="Times New Roman" w:hAnsi="Times New Roman" w:eastAsia="仿宋" w:cs="Times New Roman"/>
              <w:sz w:val="24"/>
            </w:rPr>
            <w:t>46</w:t>
          </w:r>
          <w:r>
            <w:rPr>
              <w:rFonts w:ascii="Times New Roman" w:hAnsi="Times New Roman" w:eastAsia="仿宋" w:cs="Times New Roman"/>
              <w:sz w:val="24"/>
            </w:rPr>
            <w:fldChar w:fldCharType="end"/>
          </w:r>
          <w:r>
            <w:rPr>
              <w:rFonts w:hint="eastAsia" w:ascii="Times New Roman" w:hAnsi="Times New Roman" w:eastAsia="仿宋" w:cs="Times New Roman"/>
              <w:color w:val="auto"/>
              <w:sz w:val="24"/>
              <w:szCs w:val="24"/>
              <w:lang w:val="en-US" w:eastAsia="zh-CN" w:bidi="ar-SA"/>
            </w:rPr>
            <w:fldChar w:fldCharType="end"/>
          </w:r>
        </w:p>
        <w:p w14:paraId="4C0FCDA5">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left"/>
            <w:textAlignment w:val="auto"/>
            <w:rPr>
              <w:rFonts w:ascii="Times New Roman" w:hAnsi="Times New Roman" w:eastAsia="仿宋" w:cs="Times New Roman"/>
              <w:sz w:val="24"/>
            </w:rPr>
          </w:pPr>
          <w:r>
            <w:rPr>
              <w:rFonts w:hint="eastAsia" w:ascii="Times New Roman" w:hAnsi="Times New Roman" w:eastAsia="仿宋" w:cs="Times New Roman"/>
              <w:color w:val="auto"/>
              <w:sz w:val="24"/>
              <w:szCs w:val="24"/>
              <w:lang w:val="en-US" w:eastAsia="zh-CN" w:bidi="ar-SA"/>
            </w:rPr>
            <w:fldChar w:fldCharType="begin"/>
          </w:r>
          <w:r>
            <w:rPr>
              <w:rFonts w:hint="eastAsia" w:ascii="Times New Roman" w:hAnsi="Times New Roman" w:eastAsia="仿宋" w:cs="Times New Roman"/>
              <w:sz w:val="24"/>
              <w:szCs w:val="24"/>
              <w:lang w:val="en-US" w:eastAsia="zh-CN" w:bidi="ar-SA"/>
            </w:rPr>
            <w:instrText xml:space="preserve"> HYPERLINK \l _Toc11139 </w:instrText>
          </w:r>
          <w:r>
            <w:rPr>
              <w:rFonts w:hint="eastAsia" w:ascii="Times New Roman" w:hAnsi="Times New Roman" w:eastAsia="仿宋" w:cs="Times New Roman"/>
              <w:sz w:val="24"/>
              <w:szCs w:val="24"/>
              <w:lang w:val="en-US" w:eastAsia="zh-CN" w:bidi="ar-SA"/>
            </w:rPr>
            <w:fldChar w:fldCharType="separate"/>
          </w:r>
          <w:r>
            <w:rPr>
              <w:rFonts w:hint="eastAsia" w:ascii="Times New Roman" w:hAnsi="Times New Roman" w:eastAsia="仿宋" w:cs="Times New Roman"/>
              <w:snapToGrid w:val="0"/>
              <w:sz w:val="24"/>
              <w:szCs w:val="32"/>
            </w:rPr>
            <w:t>五、环境保护措施监督检查清单</w:t>
          </w:r>
          <w:r>
            <w:rPr>
              <w:rFonts w:ascii="Times New Roman" w:hAnsi="Times New Roman" w:eastAsia="仿宋" w:cs="Times New Roman"/>
              <w:sz w:val="24"/>
            </w:rPr>
            <w:tab/>
          </w:r>
          <w:r>
            <w:rPr>
              <w:rFonts w:ascii="Times New Roman" w:hAnsi="Times New Roman" w:eastAsia="仿宋" w:cs="Times New Roman"/>
              <w:sz w:val="24"/>
            </w:rPr>
            <w:fldChar w:fldCharType="begin"/>
          </w:r>
          <w:r>
            <w:rPr>
              <w:rFonts w:ascii="Times New Roman" w:hAnsi="Times New Roman" w:eastAsia="仿宋" w:cs="Times New Roman"/>
              <w:sz w:val="24"/>
            </w:rPr>
            <w:instrText xml:space="preserve"> PAGEREF _Toc11139 \h </w:instrText>
          </w:r>
          <w:r>
            <w:rPr>
              <w:rFonts w:ascii="Times New Roman" w:hAnsi="Times New Roman" w:eastAsia="仿宋" w:cs="Times New Roman"/>
              <w:sz w:val="24"/>
            </w:rPr>
            <w:fldChar w:fldCharType="separate"/>
          </w:r>
          <w:r>
            <w:rPr>
              <w:rFonts w:ascii="Times New Roman" w:hAnsi="Times New Roman" w:eastAsia="仿宋" w:cs="Times New Roman"/>
              <w:sz w:val="24"/>
            </w:rPr>
            <w:t>76</w:t>
          </w:r>
          <w:r>
            <w:rPr>
              <w:rFonts w:ascii="Times New Roman" w:hAnsi="Times New Roman" w:eastAsia="仿宋" w:cs="Times New Roman"/>
              <w:sz w:val="24"/>
            </w:rPr>
            <w:fldChar w:fldCharType="end"/>
          </w:r>
          <w:r>
            <w:rPr>
              <w:rFonts w:hint="eastAsia" w:ascii="Times New Roman" w:hAnsi="Times New Roman" w:eastAsia="仿宋" w:cs="Times New Roman"/>
              <w:color w:val="auto"/>
              <w:sz w:val="24"/>
              <w:szCs w:val="24"/>
              <w:lang w:val="en-US" w:eastAsia="zh-CN" w:bidi="ar-SA"/>
            </w:rPr>
            <w:fldChar w:fldCharType="end"/>
          </w:r>
        </w:p>
        <w:p w14:paraId="7EF711E8">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left"/>
            <w:textAlignment w:val="auto"/>
            <w:rPr>
              <w:rFonts w:ascii="Times New Roman" w:hAnsi="Times New Roman" w:eastAsia="仿宋" w:cs="Times New Roman"/>
              <w:sz w:val="24"/>
            </w:rPr>
          </w:pPr>
          <w:r>
            <w:rPr>
              <w:rFonts w:hint="eastAsia" w:ascii="Times New Roman" w:hAnsi="Times New Roman" w:eastAsia="仿宋" w:cs="Times New Roman"/>
              <w:color w:val="auto"/>
              <w:sz w:val="24"/>
              <w:szCs w:val="24"/>
              <w:lang w:val="en-US" w:eastAsia="zh-CN" w:bidi="ar-SA"/>
            </w:rPr>
            <w:fldChar w:fldCharType="begin"/>
          </w:r>
          <w:r>
            <w:rPr>
              <w:rFonts w:hint="eastAsia" w:ascii="Times New Roman" w:hAnsi="Times New Roman" w:eastAsia="仿宋" w:cs="Times New Roman"/>
              <w:sz w:val="24"/>
              <w:szCs w:val="24"/>
              <w:lang w:val="en-US" w:eastAsia="zh-CN" w:bidi="ar-SA"/>
            </w:rPr>
            <w:instrText xml:space="preserve"> HYPERLINK \l _Toc600 </w:instrText>
          </w:r>
          <w:r>
            <w:rPr>
              <w:rFonts w:hint="eastAsia" w:ascii="Times New Roman" w:hAnsi="Times New Roman" w:eastAsia="仿宋" w:cs="Times New Roman"/>
              <w:sz w:val="24"/>
              <w:szCs w:val="24"/>
              <w:lang w:val="en-US" w:eastAsia="zh-CN" w:bidi="ar-SA"/>
            </w:rPr>
            <w:fldChar w:fldCharType="separate"/>
          </w:r>
          <w:r>
            <w:rPr>
              <w:rFonts w:hint="eastAsia" w:ascii="Times New Roman" w:hAnsi="Times New Roman" w:eastAsia="仿宋" w:cs="Times New Roman"/>
              <w:snapToGrid w:val="0"/>
              <w:sz w:val="24"/>
              <w:szCs w:val="32"/>
            </w:rPr>
            <w:t>六、结论</w:t>
          </w:r>
          <w:r>
            <w:rPr>
              <w:rFonts w:ascii="Times New Roman" w:hAnsi="Times New Roman" w:eastAsia="仿宋" w:cs="Times New Roman"/>
              <w:sz w:val="24"/>
            </w:rPr>
            <w:tab/>
          </w:r>
          <w:r>
            <w:rPr>
              <w:rFonts w:ascii="Times New Roman" w:hAnsi="Times New Roman" w:eastAsia="仿宋" w:cs="Times New Roman"/>
              <w:sz w:val="24"/>
            </w:rPr>
            <w:fldChar w:fldCharType="begin"/>
          </w:r>
          <w:r>
            <w:rPr>
              <w:rFonts w:ascii="Times New Roman" w:hAnsi="Times New Roman" w:eastAsia="仿宋" w:cs="Times New Roman"/>
              <w:sz w:val="24"/>
            </w:rPr>
            <w:instrText xml:space="preserve"> PAGEREF _Toc600 \h </w:instrText>
          </w:r>
          <w:r>
            <w:rPr>
              <w:rFonts w:ascii="Times New Roman" w:hAnsi="Times New Roman" w:eastAsia="仿宋" w:cs="Times New Roman"/>
              <w:sz w:val="24"/>
            </w:rPr>
            <w:fldChar w:fldCharType="separate"/>
          </w:r>
          <w:r>
            <w:rPr>
              <w:rFonts w:ascii="Times New Roman" w:hAnsi="Times New Roman" w:eastAsia="仿宋" w:cs="Times New Roman"/>
              <w:sz w:val="24"/>
            </w:rPr>
            <w:t>78</w:t>
          </w:r>
          <w:r>
            <w:rPr>
              <w:rFonts w:ascii="Times New Roman" w:hAnsi="Times New Roman" w:eastAsia="仿宋" w:cs="Times New Roman"/>
              <w:sz w:val="24"/>
            </w:rPr>
            <w:fldChar w:fldCharType="end"/>
          </w:r>
          <w:r>
            <w:rPr>
              <w:rFonts w:hint="eastAsia" w:ascii="Times New Roman" w:hAnsi="Times New Roman" w:eastAsia="仿宋" w:cs="Times New Roman"/>
              <w:color w:val="auto"/>
              <w:sz w:val="24"/>
              <w:szCs w:val="24"/>
              <w:lang w:val="en-US" w:eastAsia="zh-CN" w:bidi="ar-SA"/>
            </w:rPr>
            <w:fldChar w:fldCharType="end"/>
          </w:r>
        </w:p>
        <w:p w14:paraId="133F3C15">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left"/>
            <w:textAlignment w:val="auto"/>
            <w:rPr>
              <w:rFonts w:ascii="Times New Roman" w:hAnsi="Times New Roman" w:eastAsia="仿宋" w:cs="Times New Roman"/>
              <w:sz w:val="24"/>
            </w:rPr>
          </w:pPr>
          <w:r>
            <w:rPr>
              <w:rFonts w:hint="eastAsia" w:ascii="Times New Roman" w:hAnsi="Times New Roman" w:eastAsia="仿宋" w:cs="Times New Roman"/>
              <w:color w:val="auto"/>
              <w:sz w:val="24"/>
              <w:szCs w:val="24"/>
              <w:lang w:val="en-US" w:eastAsia="zh-CN" w:bidi="ar-SA"/>
            </w:rPr>
            <w:fldChar w:fldCharType="begin"/>
          </w:r>
          <w:r>
            <w:rPr>
              <w:rFonts w:hint="eastAsia" w:ascii="Times New Roman" w:hAnsi="Times New Roman" w:eastAsia="仿宋" w:cs="Times New Roman"/>
              <w:sz w:val="24"/>
              <w:szCs w:val="24"/>
              <w:lang w:val="en-US" w:eastAsia="zh-CN" w:bidi="ar-SA"/>
            </w:rPr>
            <w:instrText xml:space="preserve"> HYPERLINK \l _Toc11677 </w:instrText>
          </w:r>
          <w:r>
            <w:rPr>
              <w:rFonts w:hint="eastAsia" w:ascii="Times New Roman" w:hAnsi="Times New Roman" w:eastAsia="仿宋" w:cs="Times New Roman"/>
              <w:sz w:val="24"/>
              <w:szCs w:val="24"/>
              <w:lang w:val="en-US" w:eastAsia="zh-CN" w:bidi="ar-SA"/>
            </w:rPr>
            <w:fldChar w:fldCharType="separate"/>
          </w:r>
          <w:r>
            <w:rPr>
              <w:rFonts w:hint="default" w:ascii="Times New Roman" w:hAnsi="Times New Roman" w:eastAsia="仿宋" w:cs="Times New Roman"/>
              <w:bCs/>
              <w:snapToGrid w:val="0"/>
              <w:sz w:val="24"/>
              <w:szCs w:val="21"/>
              <w:highlight w:val="none"/>
            </w:rPr>
            <w:t>附表</w:t>
          </w:r>
          <w:r>
            <w:rPr>
              <w:rFonts w:ascii="Times New Roman" w:hAnsi="Times New Roman" w:eastAsia="仿宋" w:cs="Times New Roman"/>
              <w:sz w:val="24"/>
            </w:rPr>
            <w:tab/>
          </w:r>
          <w:r>
            <w:rPr>
              <w:rFonts w:ascii="Times New Roman" w:hAnsi="Times New Roman" w:eastAsia="仿宋" w:cs="Times New Roman"/>
              <w:sz w:val="24"/>
            </w:rPr>
            <w:fldChar w:fldCharType="begin"/>
          </w:r>
          <w:r>
            <w:rPr>
              <w:rFonts w:ascii="Times New Roman" w:hAnsi="Times New Roman" w:eastAsia="仿宋" w:cs="Times New Roman"/>
              <w:sz w:val="24"/>
            </w:rPr>
            <w:instrText xml:space="preserve"> PAGEREF _Toc11677 \h </w:instrText>
          </w:r>
          <w:r>
            <w:rPr>
              <w:rFonts w:ascii="Times New Roman" w:hAnsi="Times New Roman" w:eastAsia="仿宋" w:cs="Times New Roman"/>
              <w:sz w:val="24"/>
            </w:rPr>
            <w:fldChar w:fldCharType="separate"/>
          </w:r>
          <w:r>
            <w:rPr>
              <w:rFonts w:ascii="Times New Roman" w:hAnsi="Times New Roman" w:eastAsia="仿宋" w:cs="Times New Roman"/>
              <w:sz w:val="24"/>
            </w:rPr>
            <w:t>79</w:t>
          </w:r>
          <w:r>
            <w:rPr>
              <w:rFonts w:ascii="Times New Roman" w:hAnsi="Times New Roman" w:eastAsia="仿宋" w:cs="Times New Roman"/>
              <w:sz w:val="24"/>
            </w:rPr>
            <w:fldChar w:fldCharType="end"/>
          </w:r>
          <w:r>
            <w:rPr>
              <w:rFonts w:hint="eastAsia" w:ascii="Times New Roman" w:hAnsi="Times New Roman" w:eastAsia="仿宋" w:cs="Times New Roman"/>
              <w:color w:val="auto"/>
              <w:sz w:val="24"/>
              <w:szCs w:val="24"/>
              <w:lang w:val="en-US" w:eastAsia="zh-CN" w:bidi="ar-SA"/>
            </w:rPr>
            <w:fldChar w:fldCharType="end"/>
          </w:r>
        </w:p>
        <w:p w14:paraId="2390FA21">
          <w:pPr>
            <w:pStyle w:val="23"/>
            <w:keepNext w:val="0"/>
            <w:keepLines w:val="0"/>
            <w:pageBreakBefore w:val="0"/>
            <w:widowControl w:val="0"/>
            <w:tabs>
              <w:tab w:val="right" w:leader="dot" w:pos="8844"/>
            </w:tabs>
            <w:kinsoku/>
            <w:wordWrap/>
            <w:overflowPunct/>
            <w:topLinePunct w:val="0"/>
            <w:autoSpaceDE/>
            <w:autoSpaceDN/>
            <w:bidi w:val="0"/>
            <w:adjustRightInd/>
            <w:snapToGrid/>
            <w:spacing w:line="360" w:lineRule="auto"/>
            <w:jc w:val="left"/>
            <w:textAlignment w:val="auto"/>
          </w:pPr>
          <w:r>
            <w:rPr>
              <w:rFonts w:hint="eastAsia" w:ascii="Times New Roman" w:hAnsi="Times New Roman" w:eastAsia="仿宋" w:cs="Times New Roman"/>
              <w:color w:val="auto"/>
              <w:sz w:val="24"/>
              <w:szCs w:val="24"/>
              <w:lang w:val="en-US" w:eastAsia="zh-CN" w:bidi="ar-SA"/>
            </w:rPr>
            <w:fldChar w:fldCharType="begin"/>
          </w:r>
          <w:r>
            <w:rPr>
              <w:rFonts w:hint="eastAsia" w:ascii="Times New Roman" w:hAnsi="Times New Roman" w:eastAsia="仿宋" w:cs="Times New Roman"/>
              <w:sz w:val="24"/>
              <w:szCs w:val="24"/>
              <w:lang w:val="en-US" w:eastAsia="zh-CN" w:bidi="ar-SA"/>
            </w:rPr>
            <w:instrText xml:space="preserve"> HYPERLINK \l _Toc30128 </w:instrText>
          </w:r>
          <w:r>
            <w:rPr>
              <w:rFonts w:hint="eastAsia" w:ascii="Times New Roman" w:hAnsi="Times New Roman" w:eastAsia="仿宋" w:cs="Times New Roman"/>
              <w:sz w:val="24"/>
              <w:szCs w:val="24"/>
              <w:lang w:val="en-US" w:eastAsia="zh-CN" w:bidi="ar-SA"/>
            </w:rPr>
            <w:fldChar w:fldCharType="separate"/>
          </w:r>
          <w:r>
            <w:rPr>
              <w:rFonts w:hint="default" w:ascii="Times New Roman" w:hAnsi="Times New Roman" w:eastAsia="仿宋" w:cs="Times New Roman"/>
              <w:bCs/>
              <w:snapToGrid w:val="0"/>
              <w:sz w:val="24"/>
              <w:szCs w:val="32"/>
              <w:highlight w:val="none"/>
            </w:rPr>
            <w:t>建设项目污染物排放量汇总表</w:t>
          </w:r>
          <w:r>
            <w:rPr>
              <w:rFonts w:ascii="Times New Roman" w:hAnsi="Times New Roman" w:eastAsia="仿宋" w:cs="Times New Roman"/>
              <w:sz w:val="24"/>
            </w:rPr>
            <w:tab/>
          </w:r>
          <w:r>
            <w:rPr>
              <w:rFonts w:ascii="Times New Roman" w:hAnsi="Times New Roman" w:eastAsia="仿宋" w:cs="Times New Roman"/>
              <w:sz w:val="24"/>
            </w:rPr>
            <w:fldChar w:fldCharType="begin"/>
          </w:r>
          <w:r>
            <w:rPr>
              <w:rFonts w:ascii="Times New Roman" w:hAnsi="Times New Roman" w:eastAsia="仿宋" w:cs="Times New Roman"/>
              <w:sz w:val="24"/>
            </w:rPr>
            <w:instrText xml:space="preserve"> PAGEREF _Toc30128 \h </w:instrText>
          </w:r>
          <w:r>
            <w:rPr>
              <w:rFonts w:ascii="Times New Roman" w:hAnsi="Times New Roman" w:eastAsia="仿宋" w:cs="Times New Roman"/>
              <w:sz w:val="24"/>
            </w:rPr>
            <w:fldChar w:fldCharType="separate"/>
          </w:r>
          <w:r>
            <w:rPr>
              <w:rFonts w:ascii="Times New Roman" w:hAnsi="Times New Roman" w:eastAsia="仿宋" w:cs="Times New Roman"/>
              <w:sz w:val="24"/>
            </w:rPr>
            <w:t>79</w:t>
          </w:r>
          <w:r>
            <w:rPr>
              <w:rFonts w:ascii="Times New Roman" w:hAnsi="Times New Roman" w:eastAsia="仿宋" w:cs="Times New Roman"/>
              <w:sz w:val="24"/>
            </w:rPr>
            <w:fldChar w:fldCharType="end"/>
          </w:r>
          <w:r>
            <w:rPr>
              <w:rFonts w:hint="eastAsia" w:ascii="Times New Roman" w:hAnsi="Times New Roman" w:eastAsia="仿宋" w:cs="Times New Roman"/>
              <w:color w:val="auto"/>
              <w:sz w:val="24"/>
              <w:szCs w:val="24"/>
              <w:lang w:val="en-US" w:eastAsia="zh-CN" w:bidi="ar-SA"/>
            </w:rPr>
            <w:fldChar w:fldCharType="end"/>
          </w:r>
        </w:p>
        <w:p w14:paraId="7E567A80">
          <w:pP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Cs w:val="24"/>
              <w:lang w:val="en-US" w:eastAsia="zh-CN" w:bidi="ar-SA"/>
            </w:rPr>
            <w:fldChar w:fldCharType="end"/>
          </w:r>
        </w:p>
      </w:sdtContent>
    </w:sdt>
    <w:p w14:paraId="5BABEB83">
      <w:pPr>
        <w:rPr>
          <w:rFonts w:hint="default" w:ascii="Times New Roman" w:hAnsi="Times New Roman" w:eastAsia="仿宋" w:cs="Times New Roman"/>
          <w:b/>
          <w:bCs/>
          <w:color w:val="auto"/>
          <w:kern w:val="0"/>
          <w:highlight w:val="none"/>
          <w:lang w:eastAsia="en-US"/>
        </w:rPr>
        <w:sectPr>
          <w:footerReference r:id="rId7" w:type="default"/>
          <w:pgSz w:w="11906" w:h="16838"/>
          <w:pgMar w:top="1575" w:right="1531" w:bottom="1560" w:left="1531" w:header="993" w:footer="1181" w:gutter="0"/>
          <w:pgBorders>
            <w:top w:val="none" w:sz="0" w:space="0"/>
            <w:left w:val="none" w:sz="0" w:space="0"/>
            <w:bottom w:val="none" w:sz="0" w:space="0"/>
            <w:right w:val="none" w:sz="0" w:space="0"/>
          </w:pgBorders>
          <w:pgNumType w:start="1"/>
          <w:cols w:space="720" w:num="1"/>
          <w:docGrid w:linePitch="312" w:charSpace="0"/>
        </w:sectPr>
      </w:pPr>
    </w:p>
    <w:p w14:paraId="77A9FE2F">
      <w:pPr>
        <w:pStyle w:val="4"/>
        <w:keepNext w:val="0"/>
        <w:keepLines w:val="0"/>
        <w:pageBreakBefore w:val="0"/>
        <w:widowControl w:val="0"/>
        <w:kinsoku/>
        <w:wordWrap/>
        <w:overflowPunct/>
        <w:topLinePunct w:val="0"/>
        <w:autoSpaceDE/>
        <w:autoSpaceDN/>
        <w:bidi w:val="0"/>
        <w:adjustRightInd/>
        <w:snapToGrid/>
        <w:spacing w:before="7" w:after="0" w:line="360" w:lineRule="auto"/>
        <w:ind w:left="0" w:firstLine="0"/>
        <w:jc w:val="center"/>
        <w:textAlignment w:val="auto"/>
        <w:rPr>
          <w:rFonts w:hint="default" w:ascii="Times New Roman" w:hAnsi="Times New Roman" w:eastAsia="仿宋" w:cs="Times New Roman"/>
          <w:b/>
          <w:bCs/>
          <w:color w:val="auto"/>
          <w:kern w:val="0"/>
          <w:highlight w:val="none"/>
          <w:lang w:eastAsia="en-US"/>
        </w:rPr>
        <w:sectPr>
          <w:footerReference r:id="rId8" w:type="default"/>
          <w:pgSz w:w="11906" w:h="16838"/>
          <w:pgMar w:top="1575" w:right="1531" w:bottom="1560" w:left="1531" w:header="993" w:footer="1181" w:gutter="0"/>
          <w:pgBorders>
            <w:top w:val="none" w:sz="0" w:space="0"/>
            <w:left w:val="none" w:sz="0" w:space="0"/>
            <w:bottom w:val="none" w:sz="0" w:space="0"/>
            <w:right w:val="none" w:sz="0" w:space="0"/>
          </w:pgBorders>
          <w:pgNumType w:start="1"/>
          <w:cols w:space="720" w:num="1"/>
          <w:docGrid w:linePitch="312" w:charSpace="0"/>
        </w:sectPr>
      </w:pPr>
      <w:bookmarkStart w:id="1" w:name="_Toc21201"/>
    </w:p>
    <w:p w14:paraId="24460EFD">
      <w:pPr>
        <w:pStyle w:val="4"/>
        <w:keepNext w:val="0"/>
        <w:keepLines w:val="0"/>
        <w:pageBreakBefore w:val="0"/>
        <w:widowControl w:val="0"/>
        <w:kinsoku/>
        <w:wordWrap/>
        <w:overflowPunct/>
        <w:topLinePunct w:val="0"/>
        <w:autoSpaceDE/>
        <w:autoSpaceDN/>
        <w:bidi w:val="0"/>
        <w:adjustRightInd/>
        <w:snapToGrid/>
        <w:spacing w:before="7" w:after="0" w:line="360" w:lineRule="auto"/>
        <w:ind w:left="0" w:firstLine="0"/>
        <w:jc w:val="center"/>
        <w:textAlignment w:val="auto"/>
        <w:rPr>
          <w:rFonts w:hint="default" w:ascii="Times New Roman" w:hAnsi="Times New Roman" w:eastAsia="仿宋" w:cs="Times New Roman"/>
          <w:b/>
          <w:bCs/>
          <w:color w:val="auto"/>
          <w:kern w:val="0"/>
          <w:highlight w:val="none"/>
          <w:lang w:eastAsia="en-US"/>
        </w:rPr>
      </w:pPr>
      <w:r>
        <w:rPr>
          <w:rFonts w:hint="default" w:ascii="Times New Roman" w:hAnsi="Times New Roman" w:eastAsia="仿宋" w:cs="Times New Roman"/>
          <w:b/>
          <w:bCs/>
          <w:color w:val="auto"/>
          <w:kern w:val="0"/>
          <w:highlight w:val="none"/>
          <w:lang w:eastAsia="en-US"/>
        </w:rPr>
        <w:t>一、建设项目基本情况</w:t>
      </w:r>
      <w:bookmarkEnd w:id="1"/>
    </w:p>
    <w:tbl>
      <w:tblPr>
        <w:tblStyle w:val="31"/>
        <w:tblW w:w="498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24"/>
        <w:gridCol w:w="2518"/>
        <w:gridCol w:w="1545"/>
        <w:gridCol w:w="3268"/>
      </w:tblGrid>
      <w:tr w14:paraId="4336F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60" w:type="pct"/>
            <w:tcMar>
              <w:top w:w="16" w:type="dxa"/>
              <w:left w:w="16" w:type="dxa"/>
              <w:right w:w="16" w:type="dxa"/>
            </w:tcMar>
            <w:vAlign w:val="center"/>
          </w:tcPr>
          <w:p w14:paraId="15A580DB">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建设项目名称</w:t>
            </w:r>
          </w:p>
        </w:tc>
        <w:tc>
          <w:tcPr>
            <w:tcW w:w="4139" w:type="pct"/>
            <w:gridSpan w:val="3"/>
            <w:vAlign w:val="center"/>
          </w:tcPr>
          <w:p w14:paraId="449DE391">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eastAsia="zh-CN"/>
              </w:rPr>
            </w:pPr>
            <w:r>
              <w:rPr>
                <w:rFonts w:hint="eastAsia" w:eastAsia="仿宋" w:cs="Times New Roman"/>
                <w:color w:val="auto"/>
                <w:sz w:val="21"/>
                <w:szCs w:val="21"/>
                <w:highlight w:val="none"/>
                <w:lang w:eastAsia="zh-CN"/>
              </w:rPr>
              <w:t>苏南骨伤科中心（急救创伤病房大楼扩建及分中心病房改造）</w:t>
            </w:r>
          </w:p>
        </w:tc>
      </w:tr>
      <w:tr w14:paraId="4058D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860" w:type="pct"/>
            <w:tcMar>
              <w:top w:w="16" w:type="dxa"/>
              <w:left w:w="16" w:type="dxa"/>
              <w:right w:w="16" w:type="dxa"/>
            </w:tcMar>
            <w:vAlign w:val="center"/>
          </w:tcPr>
          <w:p w14:paraId="2313087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项目代码</w:t>
            </w:r>
          </w:p>
        </w:tc>
        <w:tc>
          <w:tcPr>
            <w:tcW w:w="4139" w:type="pct"/>
            <w:gridSpan w:val="3"/>
            <w:vAlign w:val="center"/>
          </w:tcPr>
          <w:p w14:paraId="733D54A6">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2404-320413-04-01-491192</w:t>
            </w:r>
          </w:p>
        </w:tc>
      </w:tr>
      <w:tr w14:paraId="75F90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60" w:type="pct"/>
            <w:tcMar>
              <w:top w:w="16" w:type="dxa"/>
              <w:left w:w="16" w:type="dxa"/>
              <w:right w:w="16" w:type="dxa"/>
            </w:tcMar>
            <w:vAlign w:val="center"/>
          </w:tcPr>
          <w:p w14:paraId="289DB6CE">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建设单位联系人</w:t>
            </w:r>
          </w:p>
        </w:tc>
        <w:tc>
          <w:tcPr>
            <w:tcW w:w="1421" w:type="pct"/>
            <w:vAlign w:val="center"/>
          </w:tcPr>
          <w:p w14:paraId="2A045B2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朱伟</w:t>
            </w:r>
          </w:p>
        </w:tc>
        <w:tc>
          <w:tcPr>
            <w:tcW w:w="872" w:type="pct"/>
            <w:vAlign w:val="center"/>
          </w:tcPr>
          <w:p w14:paraId="30AEAD84">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联系方式</w:t>
            </w:r>
          </w:p>
        </w:tc>
        <w:tc>
          <w:tcPr>
            <w:tcW w:w="1845" w:type="pct"/>
            <w:vAlign w:val="center"/>
          </w:tcPr>
          <w:p w14:paraId="0910C914">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15851903985</w:t>
            </w:r>
          </w:p>
        </w:tc>
      </w:tr>
      <w:tr w14:paraId="07324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860" w:type="pct"/>
            <w:tcMar>
              <w:top w:w="16" w:type="dxa"/>
              <w:left w:w="16" w:type="dxa"/>
              <w:right w:w="16" w:type="dxa"/>
            </w:tcMar>
            <w:vAlign w:val="center"/>
          </w:tcPr>
          <w:p w14:paraId="0664464F">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建设地点</w:t>
            </w:r>
          </w:p>
        </w:tc>
        <w:tc>
          <w:tcPr>
            <w:tcW w:w="4139" w:type="pct"/>
            <w:gridSpan w:val="3"/>
            <w:vAlign w:val="center"/>
          </w:tcPr>
          <w:p w14:paraId="3750495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rPr>
            </w:pPr>
            <w:r>
              <w:rPr>
                <w:rFonts w:hint="eastAsia" w:eastAsia="仿宋" w:cs="Times New Roman"/>
                <w:color w:val="auto"/>
                <w:sz w:val="21"/>
                <w:szCs w:val="21"/>
                <w:highlight w:val="none"/>
                <w:lang w:val="en-US" w:eastAsia="zh-CN"/>
              </w:rPr>
              <w:t>江苏省常州市金坛区金坛大道500号，常州市金坛第一人民医院内</w:t>
            </w:r>
          </w:p>
        </w:tc>
      </w:tr>
      <w:tr w14:paraId="77F248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860" w:type="pct"/>
            <w:tcMar>
              <w:top w:w="16" w:type="dxa"/>
              <w:left w:w="16" w:type="dxa"/>
              <w:right w:w="16" w:type="dxa"/>
            </w:tcMar>
            <w:vAlign w:val="center"/>
          </w:tcPr>
          <w:p w14:paraId="41E40326">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地理坐标</w:t>
            </w:r>
          </w:p>
        </w:tc>
        <w:tc>
          <w:tcPr>
            <w:tcW w:w="4139" w:type="pct"/>
            <w:gridSpan w:val="3"/>
            <w:vAlign w:val="center"/>
          </w:tcPr>
          <w:p w14:paraId="493921E4">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r>
              <w:rPr>
                <w:rFonts w:hint="default" w:ascii="Times New Roman" w:hAnsi="Times New Roman" w:eastAsia="仿宋" w:cs="Times New Roman"/>
                <w:color w:val="auto"/>
                <w:sz w:val="21"/>
                <w:szCs w:val="21"/>
                <w:highlight w:val="none"/>
                <w:u w:val="single"/>
              </w:rPr>
              <w:t>119</w:t>
            </w:r>
            <w:r>
              <w:rPr>
                <w:rFonts w:hint="default" w:ascii="Times New Roman" w:hAnsi="Times New Roman" w:eastAsia="仿宋" w:cs="Times New Roman"/>
                <w:color w:val="auto"/>
                <w:sz w:val="21"/>
                <w:szCs w:val="21"/>
                <w:highlight w:val="none"/>
              </w:rPr>
              <w:t>度</w:t>
            </w:r>
            <w:r>
              <w:rPr>
                <w:rFonts w:hint="eastAsia" w:eastAsia="仿宋" w:cs="Times New Roman"/>
                <w:color w:val="auto"/>
                <w:sz w:val="21"/>
                <w:szCs w:val="21"/>
                <w:highlight w:val="none"/>
                <w:u w:val="single"/>
                <w:lang w:val="en-US" w:eastAsia="zh-CN"/>
              </w:rPr>
              <w:t>34</w:t>
            </w:r>
            <w:r>
              <w:rPr>
                <w:rFonts w:hint="default" w:ascii="Times New Roman" w:hAnsi="Times New Roman" w:eastAsia="仿宋" w:cs="Times New Roman"/>
                <w:color w:val="auto"/>
                <w:sz w:val="21"/>
                <w:szCs w:val="21"/>
                <w:highlight w:val="none"/>
              </w:rPr>
              <w:t>分</w:t>
            </w:r>
            <w:r>
              <w:rPr>
                <w:rFonts w:hint="eastAsia" w:eastAsia="仿宋" w:cs="Times New Roman"/>
                <w:color w:val="auto"/>
                <w:sz w:val="21"/>
                <w:szCs w:val="21"/>
                <w:highlight w:val="none"/>
                <w:u w:val="single"/>
                <w:lang w:val="en-US" w:eastAsia="zh-CN"/>
              </w:rPr>
              <w:t>13.17</w:t>
            </w:r>
            <w:r>
              <w:rPr>
                <w:rFonts w:hint="default" w:ascii="Times New Roman" w:hAnsi="Times New Roman" w:eastAsia="仿宋" w:cs="Times New Roman"/>
                <w:color w:val="auto"/>
                <w:sz w:val="21"/>
                <w:szCs w:val="21"/>
                <w:highlight w:val="none"/>
              </w:rPr>
              <w:t>秒，</w:t>
            </w:r>
            <w:r>
              <w:rPr>
                <w:rFonts w:hint="default" w:ascii="Times New Roman" w:hAnsi="Times New Roman" w:eastAsia="仿宋" w:cs="Times New Roman"/>
                <w:color w:val="auto"/>
                <w:sz w:val="21"/>
                <w:szCs w:val="21"/>
                <w:highlight w:val="none"/>
                <w:u w:val="single"/>
              </w:rPr>
              <w:t>31</w:t>
            </w:r>
            <w:r>
              <w:rPr>
                <w:rFonts w:hint="default" w:ascii="Times New Roman" w:hAnsi="Times New Roman" w:eastAsia="仿宋" w:cs="Times New Roman"/>
                <w:color w:val="auto"/>
                <w:sz w:val="21"/>
                <w:szCs w:val="21"/>
                <w:highlight w:val="none"/>
              </w:rPr>
              <w:t>度</w:t>
            </w:r>
            <w:r>
              <w:rPr>
                <w:rFonts w:hint="eastAsia" w:eastAsia="仿宋" w:cs="Times New Roman"/>
                <w:color w:val="auto"/>
                <w:sz w:val="21"/>
                <w:szCs w:val="21"/>
                <w:highlight w:val="none"/>
                <w:u w:val="single"/>
                <w:lang w:val="en-US" w:eastAsia="zh-CN"/>
              </w:rPr>
              <w:t>43</w:t>
            </w:r>
            <w:r>
              <w:rPr>
                <w:rFonts w:hint="default" w:ascii="Times New Roman" w:hAnsi="Times New Roman" w:eastAsia="仿宋" w:cs="Times New Roman"/>
                <w:color w:val="auto"/>
                <w:sz w:val="21"/>
                <w:szCs w:val="21"/>
                <w:highlight w:val="none"/>
              </w:rPr>
              <w:t>分</w:t>
            </w:r>
            <w:r>
              <w:rPr>
                <w:rFonts w:hint="eastAsia" w:eastAsia="仿宋" w:cs="Times New Roman"/>
                <w:color w:val="auto"/>
                <w:sz w:val="21"/>
                <w:szCs w:val="21"/>
                <w:highlight w:val="none"/>
                <w:u w:val="single"/>
                <w:lang w:val="en-US" w:eastAsia="zh-CN"/>
              </w:rPr>
              <w:t>25.80</w:t>
            </w:r>
            <w:r>
              <w:rPr>
                <w:rFonts w:hint="default" w:ascii="Times New Roman" w:hAnsi="Times New Roman" w:eastAsia="仿宋" w:cs="Times New Roman"/>
                <w:color w:val="auto"/>
                <w:sz w:val="21"/>
                <w:szCs w:val="21"/>
                <w:highlight w:val="none"/>
              </w:rPr>
              <w:t>秒）</w:t>
            </w:r>
          </w:p>
        </w:tc>
      </w:tr>
      <w:tr w14:paraId="442CE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60" w:type="pct"/>
            <w:tcMar>
              <w:top w:w="16" w:type="dxa"/>
              <w:left w:w="16" w:type="dxa"/>
              <w:right w:w="16" w:type="dxa"/>
            </w:tcMar>
            <w:vAlign w:val="center"/>
          </w:tcPr>
          <w:p w14:paraId="41901D48">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国民经济</w:t>
            </w:r>
          </w:p>
          <w:p w14:paraId="5502FD6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行业类别</w:t>
            </w:r>
          </w:p>
        </w:tc>
        <w:tc>
          <w:tcPr>
            <w:tcW w:w="1421" w:type="pct"/>
            <w:vAlign w:val="center"/>
          </w:tcPr>
          <w:p w14:paraId="10EEB75A">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eastAsia="zh-CN"/>
              </w:rPr>
              <w:t>Q8411综合医院</w:t>
            </w:r>
          </w:p>
        </w:tc>
        <w:tc>
          <w:tcPr>
            <w:tcW w:w="872" w:type="pct"/>
            <w:vAlign w:val="center"/>
          </w:tcPr>
          <w:p w14:paraId="5D27F071">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bookmarkStart w:id="2" w:name="_Hlk49843745"/>
            <w:r>
              <w:rPr>
                <w:rFonts w:hint="default" w:ascii="Times New Roman" w:hAnsi="Times New Roman" w:eastAsia="仿宋" w:cs="Times New Roman"/>
                <w:color w:val="auto"/>
                <w:sz w:val="21"/>
                <w:szCs w:val="21"/>
                <w:highlight w:val="none"/>
              </w:rPr>
              <w:t>建设项目</w:t>
            </w:r>
          </w:p>
          <w:p w14:paraId="08DC2FB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行业类别</w:t>
            </w:r>
            <w:bookmarkEnd w:id="2"/>
          </w:p>
        </w:tc>
        <w:tc>
          <w:tcPr>
            <w:tcW w:w="1845" w:type="pct"/>
            <w:vAlign w:val="center"/>
          </w:tcPr>
          <w:p w14:paraId="13C1065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四十九</w:t>
            </w:r>
            <w:r>
              <w:rPr>
                <w:rFonts w:hint="default" w:ascii="Times New Roman" w:hAnsi="Times New Roman" w:eastAsia="仿宋" w:cs="Times New Roman"/>
                <w:color w:val="auto"/>
                <w:sz w:val="21"/>
                <w:szCs w:val="21"/>
                <w:highlight w:val="none"/>
                <w:lang w:val="en-US" w:eastAsia="zh-CN"/>
              </w:rPr>
              <w:t>、</w:t>
            </w:r>
            <w:r>
              <w:rPr>
                <w:rFonts w:hint="eastAsia" w:ascii="Times New Roman" w:hAnsi="Times New Roman" w:eastAsia="仿宋" w:cs="Times New Roman"/>
                <w:color w:val="auto"/>
                <w:sz w:val="21"/>
                <w:szCs w:val="21"/>
                <w:highlight w:val="none"/>
                <w:lang w:val="en-US" w:eastAsia="zh-CN"/>
              </w:rPr>
              <w:t>卫生84—108、医院841中其它（住院床位20张以下的除外）</w:t>
            </w:r>
          </w:p>
        </w:tc>
      </w:tr>
      <w:tr w14:paraId="1992B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60" w:type="pct"/>
            <w:tcMar>
              <w:top w:w="16" w:type="dxa"/>
              <w:left w:w="16" w:type="dxa"/>
              <w:right w:w="16" w:type="dxa"/>
            </w:tcMar>
            <w:vAlign w:val="center"/>
          </w:tcPr>
          <w:p w14:paraId="136B556C">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建设性质</w:t>
            </w:r>
          </w:p>
        </w:tc>
        <w:tc>
          <w:tcPr>
            <w:tcW w:w="1421" w:type="pct"/>
            <w:vAlign w:val="center"/>
          </w:tcPr>
          <w:p w14:paraId="674E199C">
            <w:pPr>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eastAsia="zh-CN"/>
              </w:rPr>
              <w:sym w:font="Wingdings 2" w:char="00A3"/>
            </w:r>
            <w:r>
              <w:rPr>
                <w:rFonts w:hint="default" w:ascii="Times New Roman" w:hAnsi="Times New Roman" w:eastAsia="仿宋" w:cs="Times New Roman"/>
                <w:color w:val="auto"/>
                <w:sz w:val="21"/>
                <w:szCs w:val="21"/>
                <w:highlight w:val="none"/>
              </w:rPr>
              <w:t>新建</w:t>
            </w:r>
          </w:p>
          <w:p w14:paraId="08696648">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eastAsia="zh-CN"/>
              </w:rPr>
              <w:sym w:font="Wingdings 2" w:char="00A3"/>
            </w:r>
            <w:r>
              <w:rPr>
                <w:rFonts w:hint="default" w:ascii="Times New Roman" w:hAnsi="Times New Roman" w:eastAsia="仿宋" w:cs="Times New Roman"/>
                <w:color w:val="auto"/>
                <w:sz w:val="21"/>
                <w:szCs w:val="21"/>
                <w:highlight w:val="none"/>
              </w:rPr>
              <w:t>改建</w:t>
            </w:r>
          </w:p>
          <w:p w14:paraId="07CE9FA6">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eastAsia="zh-CN"/>
              </w:rPr>
              <w:sym w:font="Wingdings 2" w:char="0052"/>
            </w:r>
            <w:r>
              <w:rPr>
                <w:rFonts w:hint="default" w:ascii="Times New Roman" w:hAnsi="Times New Roman" w:eastAsia="仿宋" w:cs="Times New Roman"/>
                <w:color w:val="auto"/>
                <w:sz w:val="21"/>
                <w:szCs w:val="21"/>
                <w:highlight w:val="none"/>
              </w:rPr>
              <w:t>扩建</w:t>
            </w:r>
          </w:p>
          <w:p w14:paraId="181D78DE">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技术改造</w:t>
            </w:r>
          </w:p>
        </w:tc>
        <w:tc>
          <w:tcPr>
            <w:tcW w:w="872" w:type="pct"/>
            <w:vAlign w:val="center"/>
          </w:tcPr>
          <w:p w14:paraId="26E298C4">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建设项目</w:t>
            </w:r>
          </w:p>
          <w:p w14:paraId="5BFCDF78">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申报情形</w:t>
            </w:r>
          </w:p>
        </w:tc>
        <w:tc>
          <w:tcPr>
            <w:tcW w:w="1845" w:type="pct"/>
            <w:vAlign w:val="center"/>
          </w:tcPr>
          <w:p w14:paraId="2785DEAD">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eastAsia="zh-CN"/>
              </w:rPr>
              <w:sym w:font="Wingdings 2" w:char="0052"/>
            </w:r>
            <w:r>
              <w:rPr>
                <w:rFonts w:hint="default" w:ascii="Times New Roman" w:hAnsi="Times New Roman" w:eastAsia="仿宋" w:cs="Times New Roman"/>
                <w:color w:val="auto"/>
                <w:sz w:val="21"/>
                <w:szCs w:val="21"/>
                <w:highlight w:val="none"/>
              </w:rPr>
              <w:t xml:space="preserve">首次申报项目             </w:t>
            </w:r>
          </w:p>
          <w:p w14:paraId="78E4996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sym w:font="Wingdings 2" w:char="00A3"/>
            </w:r>
            <w:r>
              <w:rPr>
                <w:rFonts w:hint="default" w:ascii="Times New Roman" w:hAnsi="Times New Roman" w:eastAsia="仿宋" w:cs="Times New Roman"/>
                <w:color w:val="auto"/>
                <w:sz w:val="21"/>
                <w:szCs w:val="21"/>
                <w:highlight w:val="none"/>
              </w:rPr>
              <w:t>不予批准后再次申报项目</w:t>
            </w:r>
          </w:p>
          <w:p w14:paraId="5D0FE8ED">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sym w:font="Wingdings 2" w:char="00A3"/>
            </w:r>
            <w:r>
              <w:rPr>
                <w:rFonts w:hint="default" w:ascii="Times New Roman" w:hAnsi="Times New Roman" w:eastAsia="仿宋" w:cs="Times New Roman"/>
                <w:color w:val="auto"/>
                <w:sz w:val="21"/>
                <w:szCs w:val="21"/>
                <w:highlight w:val="none"/>
              </w:rPr>
              <w:t xml:space="preserve">超五年重新审核项目     </w:t>
            </w:r>
          </w:p>
          <w:p w14:paraId="36BE0A9E">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sym w:font="Wingdings 2" w:char="00A3"/>
            </w:r>
            <w:r>
              <w:rPr>
                <w:rFonts w:hint="default" w:ascii="Times New Roman" w:hAnsi="Times New Roman" w:eastAsia="仿宋" w:cs="Times New Roman"/>
                <w:color w:val="auto"/>
                <w:sz w:val="21"/>
                <w:szCs w:val="21"/>
                <w:highlight w:val="none"/>
              </w:rPr>
              <w:t>重大变动重新报批项目</w:t>
            </w:r>
          </w:p>
        </w:tc>
      </w:tr>
      <w:tr w14:paraId="3AD4C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24" w:type="dxa"/>
            <w:tcMar>
              <w:top w:w="16" w:type="dxa"/>
              <w:left w:w="16" w:type="dxa"/>
              <w:right w:w="16" w:type="dxa"/>
            </w:tcMar>
            <w:vAlign w:val="center"/>
          </w:tcPr>
          <w:p w14:paraId="48E6340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项目审批（核准/备案）部门（选填）</w:t>
            </w:r>
          </w:p>
        </w:tc>
        <w:tc>
          <w:tcPr>
            <w:tcW w:w="2518" w:type="dxa"/>
            <w:vAlign w:val="center"/>
          </w:tcPr>
          <w:p w14:paraId="68EAFB06">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常州市金坛区发展和改革局</w:t>
            </w:r>
          </w:p>
        </w:tc>
        <w:tc>
          <w:tcPr>
            <w:tcW w:w="1545" w:type="dxa"/>
            <w:vAlign w:val="center"/>
          </w:tcPr>
          <w:p w14:paraId="34E02BC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项目审批（核准/</w:t>
            </w:r>
          </w:p>
          <w:p w14:paraId="38879C17">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备案）文号（选填）</w:t>
            </w:r>
          </w:p>
        </w:tc>
        <w:tc>
          <w:tcPr>
            <w:tcW w:w="3268" w:type="dxa"/>
            <w:vAlign w:val="center"/>
          </w:tcPr>
          <w:p w14:paraId="7F98CC4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坛发改投字【2024】76号</w:t>
            </w:r>
          </w:p>
        </w:tc>
      </w:tr>
      <w:tr w14:paraId="38902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60" w:type="pct"/>
            <w:tcMar>
              <w:top w:w="16" w:type="dxa"/>
              <w:left w:w="16" w:type="dxa"/>
              <w:right w:w="16" w:type="dxa"/>
            </w:tcMar>
            <w:vAlign w:val="center"/>
          </w:tcPr>
          <w:p w14:paraId="44C49A1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总投资</w:t>
            </w:r>
          </w:p>
          <w:p w14:paraId="1A5EA95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（万元）</w:t>
            </w:r>
          </w:p>
        </w:tc>
        <w:tc>
          <w:tcPr>
            <w:tcW w:w="1421" w:type="pct"/>
            <w:vAlign w:val="center"/>
          </w:tcPr>
          <w:p w14:paraId="23568042">
            <w:pPr>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35000</w:t>
            </w:r>
          </w:p>
        </w:tc>
        <w:tc>
          <w:tcPr>
            <w:tcW w:w="872" w:type="pct"/>
            <w:tcMar>
              <w:top w:w="16" w:type="dxa"/>
              <w:left w:w="16" w:type="dxa"/>
              <w:right w:w="16" w:type="dxa"/>
            </w:tcMar>
            <w:vAlign w:val="center"/>
          </w:tcPr>
          <w:p w14:paraId="5D35B9E6">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环保投资</w:t>
            </w:r>
          </w:p>
          <w:p w14:paraId="47901227">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（万元）</w:t>
            </w:r>
          </w:p>
        </w:tc>
        <w:tc>
          <w:tcPr>
            <w:tcW w:w="1845" w:type="pct"/>
            <w:vAlign w:val="center"/>
          </w:tcPr>
          <w:p w14:paraId="54511BF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80</w:t>
            </w:r>
          </w:p>
        </w:tc>
      </w:tr>
      <w:tr w14:paraId="1E01F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860" w:type="pct"/>
            <w:tcMar>
              <w:top w:w="16" w:type="dxa"/>
              <w:left w:w="16" w:type="dxa"/>
              <w:right w:w="16" w:type="dxa"/>
            </w:tcMar>
            <w:vAlign w:val="center"/>
          </w:tcPr>
          <w:p w14:paraId="78ABA4E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环保投资占比（%）</w:t>
            </w:r>
          </w:p>
        </w:tc>
        <w:tc>
          <w:tcPr>
            <w:tcW w:w="1421" w:type="pct"/>
            <w:vAlign w:val="center"/>
          </w:tcPr>
          <w:p w14:paraId="5B4EA57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0.23</w:t>
            </w:r>
          </w:p>
        </w:tc>
        <w:tc>
          <w:tcPr>
            <w:tcW w:w="872" w:type="pct"/>
            <w:tcMar>
              <w:top w:w="16" w:type="dxa"/>
              <w:left w:w="16" w:type="dxa"/>
              <w:right w:w="16" w:type="dxa"/>
            </w:tcMar>
            <w:vAlign w:val="center"/>
          </w:tcPr>
          <w:p w14:paraId="0630A53F">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施工工期</w:t>
            </w:r>
          </w:p>
        </w:tc>
        <w:tc>
          <w:tcPr>
            <w:tcW w:w="1845" w:type="pct"/>
            <w:vAlign w:val="center"/>
          </w:tcPr>
          <w:p w14:paraId="1039762B">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202</w:t>
            </w:r>
            <w:r>
              <w:rPr>
                <w:rFonts w:hint="eastAsia" w:eastAsia="仿宋"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rPr>
              <w:t>年</w:t>
            </w:r>
            <w:r>
              <w:rPr>
                <w:rFonts w:hint="eastAsia" w:eastAsia="仿宋" w:cs="Times New Roman"/>
                <w:color w:val="auto"/>
                <w:sz w:val="21"/>
                <w:szCs w:val="21"/>
                <w:highlight w:val="none"/>
                <w:lang w:val="en-US" w:eastAsia="zh-CN"/>
              </w:rPr>
              <w:t>6</w:t>
            </w:r>
            <w:r>
              <w:rPr>
                <w:rFonts w:hint="default" w:ascii="Times New Roman" w:hAnsi="Times New Roman" w:eastAsia="仿宋" w:cs="Times New Roman"/>
                <w:color w:val="auto"/>
                <w:sz w:val="21"/>
                <w:szCs w:val="21"/>
                <w:highlight w:val="none"/>
              </w:rPr>
              <w:t>月-20</w:t>
            </w:r>
            <w:r>
              <w:rPr>
                <w:rFonts w:hint="eastAsia" w:eastAsia="仿宋" w:cs="Times New Roman"/>
                <w:color w:val="auto"/>
                <w:sz w:val="21"/>
                <w:szCs w:val="21"/>
                <w:highlight w:val="none"/>
                <w:lang w:val="en-US" w:eastAsia="zh-CN"/>
              </w:rPr>
              <w:t>27</w:t>
            </w:r>
            <w:r>
              <w:rPr>
                <w:rFonts w:hint="default" w:ascii="Times New Roman" w:hAnsi="Times New Roman" w:eastAsia="仿宋" w:cs="Times New Roman"/>
                <w:color w:val="auto"/>
                <w:sz w:val="21"/>
                <w:szCs w:val="21"/>
                <w:highlight w:val="none"/>
              </w:rPr>
              <w:t>年</w:t>
            </w:r>
            <w:r>
              <w:rPr>
                <w:rFonts w:hint="eastAsia" w:ascii="Times New Roman" w:hAnsi="Times New Roman" w:eastAsia="仿宋" w:cs="Times New Roman"/>
                <w:color w:val="auto"/>
                <w:sz w:val="21"/>
                <w:szCs w:val="21"/>
                <w:highlight w:val="none"/>
                <w:lang w:val="en-US" w:eastAsia="zh-CN"/>
              </w:rPr>
              <w:t>11</w:t>
            </w:r>
            <w:r>
              <w:rPr>
                <w:rFonts w:hint="default" w:ascii="Times New Roman" w:hAnsi="Times New Roman" w:eastAsia="仿宋" w:cs="Times New Roman"/>
                <w:color w:val="auto"/>
                <w:sz w:val="21"/>
                <w:szCs w:val="21"/>
                <w:highlight w:val="none"/>
              </w:rPr>
              <w:t>月</w:t>
            </w:r>
          </w:p>
        </w:tc>
      </w:tr>
      <w:tr w14:paraId="2D019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60" w:type="pct"/>
            <w:tcMar>
              <w:top w:w="16" w:type="dxa"/>
              <w:left w:w="16" w:type="dxa"/>
              <w:right w:w="16" w:type="dxa"/>
            </w:tcMar>
            <w:vAlign w:val="center"/>
          </w:tcPr>
          <w:p w14:paraId="0D79076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是否开工建设</w:t>
            </w:r>
          </w:p>
        </w:tc>
        <w:tc>
          <w:tcPr>
            <w:tcW w:w="1421" w:type="pct"/>
            <w:vAlign w:val="center"/>
          </w:tcPr>
          <w:p w14:paraId="2CD01774">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eastAsia="zh-CN"/>
              </w:rPr>
              <w:sym w:font="Wingdings 2" w:char="0052"/>
            </w:r>
            <w:r>
              <w:rPr>
                <w:rFonts w:hint="default" w:ascii="Times New Roman" w:hAnsi="Times New Roman" w:eastAsia="仿宋" w:cs="Times New Roman"/>
                <w:color w:val="auto"/>
                <w:sz w:val="21"/>
                <w:szCs w:val="21"/>
                <w:highlight w:val="none"/>
              </w:rPr>
              <w:t>否</w:t>
            </w:r>
          </w:p>
          <w:p w14:paraId="06FC65B7">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 xml:space="preserve">  </w:t>
            </w:r>
            <w:r>
              <w:rPr>
                <w:rFonts w:hint="eastAsia" w:ascii="Times New Roman" w:hAnsi="Times New Roman" w:eastAsia="仿宋" w:cs="Times New Roman"/>
                <w:color w:val="auto"/>
                <w:sz w:val="21"/>
                <w:szCs w:val="21"/>
                <w:highlight w:val="none"/>
                <w:lang w:eastAsia="zh-CN"/>
              </w:rPr>
              <w:sym w:font="Wingdings 2" w:char="00A3"/>
            </w:r>
            <w:r>
              <w:rPr>
                <w:rFonts w:hint="default" w:ascii="Times New Roman" w:hAnsi="Times New Roman" w:eastAsia="仿宋" w:cs="Times New Roman"/>
                <w:color w:val="auto"/>
                <w:sz w:val="21"/>
                <w:szCs w:val="21"/>
                <w:highlight w:val="none"/>
              </w:rPr>
              <w:t xml:space="preserve">是：  </w:t>
            </w:r>
            <w:r>
              <w:rPr>
                <w:rFonts w:hint="eastAsia" w:ascii="Times New Roman" w:hAnsi="Times New Roman" w:eastAsia="仿宋" w:cs="Times New Roman"/>
                <w:color w:val="auto"/>
                <w:sz w:val="21"/>
                <w:szCs w:val="21"/>
                <w:highlight w:val="none"/>
                <w:lang w:val="en-US" w:eastAsia="zh-CN"/>
              </w:rPr>
              <w:t xml:space="preserve">     </w:t>
            </w:r>
            <w:r>
              <w:rPr>
                <w:rFonts w:hint="default" w:ascii="Times New Roman" w:hAnsi="Times New Roman" w:eastAsia="仿宋" w:cs="Times New Roman"/>
                <w:color w:val="auto"/>
                <w:sz w:val="21"/>
                <w:szCs w:val="21"/>
                <w:highlight w:val="none"/>
              </w:rPr>
              <w:t xml:space="preserve">       </w:t>
            </w:r>
          </w:p>
        </w:tc>
        <w:tc>
          <w:tcPr>
            <w:tcW w:w="872" w:type="pct"/>
            <w:tcMar>
              <w:top w:w="16" w:type="dxa"/>
              <w:left w:w="16" w:type="dxa"/>
              <w:right w:w="16" w:type="dxa"/>
            </w:tcMar>
            <w:vAlign w:val="center"/>
          </w:tcPr>
          <w:p w14:paraId="4BA2202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用地面积（m</w:t>
            </w:r>
            <w:r>
              <w:rPr>
                <w:rFonts w:hint="default" w:ascii="Times New Roman" w:hAnsi="Times New Roman" w:eastAsia="仿宋" w:cs="Times New Roman"/>
                <w:color w:val="auto"/>
                <w:sz w:val="21"/>
                <w:szCs w:val="21"/>
                <w:highlight w:val="none"/>
                <w:vertAlign w:val="superscript"/>
              </w:rPr>
              <w:t>2</w:t>
            </w:r>
            <w:r>
              <w:rPr>
                <w:rFonts w:hint="default" w:ascii="Times New Roman" w:hAnsi="Times New Roman" w:eastAsia="仿宋" w:cs="Times New Roman"/>
                <w:color w:val="auto"/>
                <w:sz w:val="21"/>
                <w:szCs w:val="21"/>
                <w:highlight w:val="none"/>
              </w:rPr>
              <w:t>）</w:t>
            </w:r>
          </w:p>
        </w:tc>
        <w:tc>
          <w:tcPr>
            <w:tcW w:w="1845" w:type="pct"/>
            <w:vAlign w:val="center"/>
          </w:tcPr>
          <w:p w14:paraId="5E53DA8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15420</w:t>
            </w:r>
          </w:p>
        </w:tc>
      </w:tr>
      <w:tr w14:paraId="51EA8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60" w:type="pct"/>
            <w:vAlign w:val="center"/>
          </w:tcPr>
          <w:p w14:paraId="651E0405">
            <w:pPr>
              <w:autoSpaceDE w:val="0"/>
              <w:autoSpaceDN w:val="0"/>
              <w:adjustRightInd w:val="0"/>
              <w:snapToGrid w:val="0"/>
              <w:jc w:val="center"/>
              <w:rPr>
                <w:rFonts w:hint="default" w:ascii="Times New Roman" w:hAnsi="Times New Roman" w:cs="Times New Roman"/>
                <w:b/>
                <w:bCs/>
                <w:color w:val="FF0000"/>
                <w:kern w:val="0"/>
                <w:sz w:val="24"/>
              </w:rPr>
            </w:pPr>
            <w:r>
              <w:rPr>
                <w:rFonts w:hint="default" w:ascii="Times New Roman" w:hAnsi="Times New Roman" w:eastAsia="仿宋" w:cs="Times New Roman"/>
                <w:color w:val="auto"/>
                <w:kern w:val="0"/>
                <w:sz w:val="21"/>
                <w:szCs w:val="21"/>
                <w:highlight w:val="none"/>
              </w:rPr>
              <w:t>专项评价设置情况</w:t>
            </w:r>
          </w:p>
        </w:tc>
        <w:tc>
          <w:tcPr>
            <w:tcW w:w="4139" w:type="pct"/>
            <w:gridSpan w:val="3"/>
            <w:vAlign w:val="center"/>
          </w:tcPr>
          <w:tbl>
            <w:tblPr>
              <w:tblStyle w:val="32"/>
              <w:tblW w:w="6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2420"/>
              <w:gridCol w:w="1997"/>
              <w:gridCol w:w="1183"/>
            </w:tblGrid>
            <w:tr w14:paraId="7670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14:paraId="270A253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b/>
                      <w:bCs/>
                      <w:snapToGrid w:val="0"/>
                      <w:color w:val="auto"/>
                      <w:kern w:val="0"/>
                      <w:sz w:val="21"/>
                      <w:szCs w:val="21"/>
                      <w:highlight w:val="none"/>
                      <w:vertAlign w:val="baseline"/>
                      <w:lang w:val="en-US" w:eastAsia="zh-CN"/>
                    </w:rPr>
                  </w:pPr>
                  <w:r>
                    <w:rPr>
                      <w:rFonts w:hint="default" w:ascii="Times New Roman" w:hAnsi="Times New Roman" w:eastAsia="仿宋" w:cs="Times New Roman"/>
                      <w:b/>
                      <w:bCs/>
                      <w:snapToGrid w:val="0"/>
                      <w:color w:val="auto"/>
                      <w:kern w:val="0"/>
                      <w:sz w:val="21"/>
                      <w:szCs w:val="21"/>
                      <w:highlight w:val="none"/>
                      <w:vertAlign w:val="baseline"/>
                      <w:lang w:val="en-US" w:eastAsia="zh-CN"/>
                    </w:rPr>
                    <w:t>专项评价的类别</w:t>
                  </w:r>
                </w:p>
              </w:tc>
              <w:tc>
                <w:tcPr>
                  <w:tcW w:w="2420" w:type="dxa"/>
                  <w:vAlign w:val="center"/>
                </w:tcPr>
                <w:p w14:paraId="77FD59B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b/>
                      <w:bCs/>
                      <w:snapToGrid w:val="0"/>
                      <w:color w:val="auto"/>
                      <w:kern w:val="0"/>
                      <w:sz w:val="21"/>
                      <w:szCs w:val="21"/>
                      <w:highlight w:val="none"/>
                      <w:vertAlign w:val="baseline"/>
                      <w:lang w:val="en-US" w:eastAsia="zh-CN"/>
                    </w:rPr>
                  </w:pPr>
                  <w:r>
                    <w:rPr>
                      <w:rFonts w:hint="default" w:ascii="Times New Roman" w:hAnsi="Times New Roman" w:eastAsia="仿宋" w:cs="Times New Roman"/>
                      <w:b/>
                      <w:bCs/>
                      <w:snapToGrid w:val="0"/>
                      <w:color w:val="auto"/>
                      <w:kern w:val="0"/>
                      <w:sz w:val="21"/>
                      <w:szCs w:val="21"/>
                      <w:highlight w:val="none"/>
                      <w:vertAlign w:val="baseline"/>
                      <w:lang w:val="en-US" w:eastAsia="zh-CN"/>
                    </w:rPr>
                    <w:t>涉及项目类别</w:t>
                  </w:r>
                </w:p>
              </w:tc>
              <w:tc>
                <w:tcPr>
                  <w:tcW w:w="1997" w:type="dxa"/>
                  <w:vAlign w:val="center"/>
                </w:tcPr>
                <w:p w14:paraId="52AFD6E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b/>
                      <w:bCs/>
                      <w:snapToGrid w:val="0"/>
                      <w:color w:val="auto"/>
                      <w:kern w:val="0"/>
                      <w:sz w:val="21"/>
                      <w:szCs w:val="21"/>
                      <w:highlight w:val="none"/>
                      <w:vertAlign w:val="baseline"/>
                      <w:lang w:val="en-US" w:eastAsia="zh-CN"/>
                    </w:rPr>
                  </w:pPr>
                  <w:r>
                    <w:rPr>
                      <w:rFonts w:hint="default" w:ascii="Times New Roman" w:hAnsi="Times New Roman" w:eastAsia="仿宋" w:cs="Times New Roman"/>
                      <w:b/>
                      <w:bCs/>
                      <w:snapToGrid w:val="0"/>
                      <w:color w:val="auto"/>
                      <w:kern w:val="0"/>
                      <w:sz w:val="21"/>
                      <w:szCs w:val="21"/>
                      <w:highlight w:val="none"/>
                      <w:vertAlign w:val="baseline"/>
                      <w:lang w:val="en-US" w:eastAsia="zh-CN"/>
                    </w:rPr>
                    <w:t>本项目对照情况</w:t>
                  </w:r>
                </w:p>
              </w:tc>
              <w:tc>
                <w:tcPr>
                  <w:tcW w:w="1183" w:type="dxa"/>
                  <w:vAlign w:val="center"/>
                </w:tcPr>
                <w:p w14:paraId="5BD3B7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b/>
                      <w:bCs/>
                      <w:snapToGrid w:val="0"/>
                      <w:color w:val="auto"/>
                      <w:kern w:val="0"/>
                      <w:sz w:val="21"/>
                      <w:szCs w:val="21"/>
                      <w:highlight w:val="none"/>
                      <w:vertAlign w:val="baseline"/>
                      <w:lang w:val="en-US" w:eastAsia="zh-CN"/>
                    </w:rPr>
                  </w:pPr>
                  <w:r>
                    <w:rPr>
                      <w:rFonts w:hint="default" w:ascii="Times New Roman" w:hAnsi="Times New Roman" w:eastAsia="仿宋" w:cs="Times New Roman"/>
                      <w:b/>
                      <w:bCs/>
                      <w:snapToGrid w:val="0"/>
                      <w:color w:val="auto"/>
                      <w:kern w:val="0"/>
                      <w:sz w:val="21"/>
                      <w:szCs w:val="21"/>
                      <w:highlight w:val="none"/>
                      <w:vertAlign w:val="baseline"/>
                      <w:lang w:val="en-US" w:eastAsia="zh-CN"/>
                    </w:rPr>
                    <w:t>本项目专项设置情况</w:t>
                  </w:r>
                </w:p>
              </w:tc>
            </w:tr>
            <w:tr w14:paraId="75C0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14:paraId="1D10149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大气</w:t>
                  </w:r>
                </w:p>
              </w:tc>
              <w:tc>
                <w:tcPr>
                  <w:tcW w:w="2420" w:type="dxa"/>
                  <w:vAlign w:val="center"/>
                </w:tcPr>
                <w:p w14:paraId="5CE67F9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排放废气含有毒有害污染物</w:t>
                  </w:r>
                  <w:r>
                    <w:rPr>
                      <w:rFonts w:hint="default" w:ascii="Times New Roman" w:hAnsi="Times New Roman" w:eastAsia="仿宋" w:cs="Times New Roman"/>
                      <w:snapToGrid w:val="0"/>
                      <w:color w:val="auto"/>
                      <w:kern w:val="0"/>
                      <w:sz w:val="21"/>
                      <w:szCs w:val="21"/>
                      <w:highlight w:val="none"/>
                      <w:vertAlign w:val="superscript"/>
                      <w:lang w:val="en-US" w:eastAsia="zh-CN"/>
                    </w:rPr>
                    <w:t>1</w:t>
                  </w:r>
                  <w:r>
                    <w:rPr>
                      <w:rFonts w:hint="default" w:ascii="Times New Roman" w:hAnsi="Times New Roman" w:eastAsia="仿宋" w:cs="Times New Roman"/>
                      <w:snapToGrid w:val="0"/>
                      <w:color w:val="auto"/>
                      <w:kern w:val="0"/>
                      <w:sz w:val="21"/>
                      <w:szCs w:val="21"/>
                      <w:highlight w:val="none"/>
                      <w:vertAlign w:val="baseline"/>
                      <w:lang w:val="en-US" w:eastAsia="zh-CN"/>
                    </w:rPr>
                    <w:t>、二噁英、苯并[a]芘、氰化物、氯气且厂界外500米范围内有环境空气保护目标</w:t>
                  </w:r>
                  <w:r>
                    <w:rPr>
                      <w:rFonts w:hint="default" w:ascii="Times New Roman" w:hAnsi="Times New Roman" w:eastAsia="仿宋" w:cs="Times New Roman"/>
                      <w:snapToGrid w:val="0"/>
                      <w:color w:val="auto"/>
                      <w:kern w:val="0"/>
                      <w:sz w:val="21"/>
                      <w:szCs w:val="21"/>
                      <w:highlight w:val="none"/>
                      <w:vertAlign w:val="superscript"/>
                      <w:lang w:val="en-US" w:eastAsia="zh-CN"/>
                    </w:rPr>
                    <w:t>2</w:t>
                  </w:r>
                  <w:r>
                    <w:rPr>
                      <w:rFonts w:hint="default" w:ascii="Times New Roman" w:hAnsi="Times New Roman" w:eastAsia="仿宋" w:cs="Times New Roman"/>
                      <w:snapToGrid w:val="0"/>
                      <w:color w:val="auto"/>
                      <w:kern w:val="0"/>
                      <w:sz w:val="21"/>
                      <w:szCs w:val="21"/>
                      <w:highlight w:val="none"/>
                      <w:vertAlign w:val="baseline"/>
                      <w:lang w:val="en-US" w:eastAsia="zh-CN"/>
                    </w:rPr>
                    <w:t>的建设项目</w:t>
                  </w:r>
                </w:p>
              </w:tc>
              <w:tc>
                <w:tcPr>
                  <w:tcW w:w="1997" w:type="dxa"/>
                  <w:vAlign w:val="center"/>
                </w:tcPr>
                <w:p w14:paraId="72D812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本项目不排放《有毒有害大气污染物名录（2018年）》中废气，不排放二噁英、苯并[a]芘、氰化物、氯气</w:t>
                  </w:r>
                </w:p>
              </w:tc>
              <w:tc>
                <w:tcPr>
                  <w:tcW w:w="1183" w:type="dxa"/>
                  <w:vAlign w:val="center"/>
                </w:tcPr>
                <w:p w14:paraId="396C549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不设置</w:t>
                  </w:r>
                </w:p>
              </w:tc>
            </w:tr>
            <w:tr w14:paraId="4198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14:paraId="5AFB7D3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地表水</w:t>
                  </w:r>
                </w:p>
              </w:tc>
              <w:tc>
                <w:tcPr>
                  <w:tcW w:w="2420" w:type="dxa"/>
                  <w:vAlign w:val="center"/>
                </w:tcPr>
                <w:p w14:paraId="532FE22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新增工业废水直排建设项目（槽罐车外送污水处理厂的除外）；</w:t>
                  </w:r>
                  <w:r>
                    <w:rPr>
                      <w:rFonts w:hint="default" w:ascii="Times New Roman" w:hAnsi="Times New Roman" w:eastAsia="仿宋" w:cs="Times New Roman"/>
                      <w:color w:val="auto"/>
                      <w:sz w:val="21"/>
                      <w:szCs w:val="21"/>
                      <w:highlight w:val="none"/>
                      <w:lang w:val="en-US" w:eastAsia="zh-CN"/>
                    </w:rPr>
                    <w:t>新增废水直排的污水集中处理厂</w:t>
                  </w:r>
                </w:p>
              </w:tc>
              <w:tc>
                <w:tcPr>
                  <w:tcW w:w="1997" w:type="dxa"/>
                  <w:vAlign w:val="center"/>
                </w:tcPr>
                <w:p w14:paraId="6D2655F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eastAsia" w:eastAsia="仿宋" w:cs="Times New Roman"/>
                      <w:snapToGrid w:val="0"/>
                      <w:color w:val="auto"/>
                      <w:kern w:val="0"/>
                      <w:sz w:val="21"/>
                      <w:szCs w:val="21"/>
                      <w:highlight w:val="none"/>
                      <w:vertAlign w:val="baseline"/>
                      <w:lang w:val="en-US" w:eastAsia="zh-CN"/>
                    </w:rPr>
                    <w:t>本项目病房及急诊废水排入院内污水处理站处理，生活废水经化粪池、食堂废水经隔油池预处理后排入院内污水处理站处理，均接管至金坛第一污水处理厂处理后排入丹金溧漕河。</w:t>
                  </w:r>
                </w:p>
              </w:tc>
              <w:tc>
                <w:tcPr>
                  <w:tcW w:w="1183" w:type="dxa"/>
                  <w:vAlign w:val="center"/>
                </w:tcPr>
                <w:p w14:paraId="03FE05C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不设置</w:t>
                  </w:r>
                </w:p>
              </w:tc>
            </w:tr>
            <w:tr w14:paraId="2A94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14:paraId="78EA37B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环境风险</w:t>
                  </w:r>
                </w:p>
              </w:tc>
              <w:tc>
                <w:tcPr>
                  <w:tcW w:w="2420" w:type="dxa"/>
                  <w:vAlign w:val="center"/>
                </w:tcPr>
                <w:p w14:paraId="0A3492B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color w:val="auto"/>
                      <w:sz w:val="21"/>
                      <w:szCs w:val="21"/>
                      <w:highlight w:val="none"/>
                      <w:lang w:val="en-US" w:eastAsia="zh-CN"/>
                    </w:rPr>
                    <w:t>有毒有害和易燃易爆危险物质存储量超过临界量</w:t>
                  </w:r>
                  <w:r>
                    <w:rPr>
                      <w:rFonts w:hint="default" w:ascii="Times New Roman" w:hAnsi="Times New Roman" w:eastAsia="仿宋" w:cs="Times New Roman"/>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lang w:val="en-US" w:eastAsia="zh-CN"/>
                    </w:rPr>
                    <w:t>的建设项目</w:t>
                  </w:r>
                </w:p>
              </w:tc>
              <w:tc>
                <w:tcPr>
                  <w:tcW w:w="1997" w:type="dxa"/>
                  <w:vAlign w:val="center"/>
                </w:tcPr>
                <w:p w14:paraId="7BCA189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本项目有毒有害和易燃易爆危险物质存储量未超过临界量。</w:t>
                  </w:r>
                </w:p>
              </w:tc>
              <w:tc>
                <w:tcPr>
                  <w:tcW w:w="1183" w:type="dxa"/>
                  <w:vAlign w:val="center"/>
                </w:tcPr>
                <w:p w14:paraId="5E37840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不设置</w:t>
                  </w:r>
                </w:p>
              </w:tc>
            </w:tr>
            <w:tr w14:paraId="6557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14:paraId="2E080E3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生态</w:t>
                  </w:r>
                </w:p>
              </w:tc>
              <w:tc>
                <w:tcPr>
                  <w:tcW w:w="2420" w:type="dxa"/>
                  <w:vAlign w:val="center"/>
                </w:tcPr>
                <w:p w14:paraId="6A6FDE1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color w:val="auto"/>
                      <w:sz w:val="21"/>
                      <w:szCs w:val="21"/>
                      <w:highlight w:val="none"/>
                      <w:lang w:val="en-US" w:eastAsia="zh-CN"/>
                    </w:rPr>
                    <w:t>取水口下游500米范围内有重要水生生物的自然产卵场、索饵场、越冬场和洄游通道的新增河道取水的污染类建设项目</w:t>
                  </w:r>
                </w:p>
              </w:tc>
              <w:tc>
                <w:tcPr>
                  <w:tcW w:w="1997" w:type="dxa"/>
                  <w:vAlign w:val="center"/>
                </w:tcPr>
                <w:p w14:paraId="71F86EE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本项目不涉及。</w:t>
                  </w:r>
                </w:p>
              </w:tc>
              <w:tc>
                <w:tcPr>
                  <w:tcW w:w="1183" w:type="dxa"/>
                  <w:vAlign w:val="center"/>
                </w:tcPr>
                <w:p w14:paraId="667B14B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不设置</w:t>
                  </w:r>
                </w:p>
              </w:tc>
            </w:tr>
            <w:tr w14:paraId="686E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14:paraId="5F9998D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海洋</w:t>
                  </w:r>
                </w:p>
              </w:tc>
              <w:tc>
                <w:tcPr>
                  <w:tcW w:w="2420" w:type="dxa"/>
                  <w:vAlign w:val="center"/>
                </w:tcPr>
                <w:p w14:paraId="581310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color w:val="auto"/>
                      <w:sz w:val="21"/>
                      <w:szCs w:val="21"/>
                      <w:highlight w:val="none"/>
                      <w:lang w:val="en-US" w:eastAsia="zh-CN"/>
                    </w:rPr>
                    <w:t>直接向海排放污染物的海洋工程建设项目</w:t>
                  </w:r>
                </w:p>
              </w:tc>
              <w:tc>
                <w:tcPr>
                  <w:tcW w:w="1997" w:type="dxa"/>
                  <w:vAlign w:val="center"/>
                </w:tcPr>
                <w:p w14:paraId="4AF2C0E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本项目不涉及。</w:t>
                  </w:r>
                </w:p>
              </w:tc>
              <w:tc>
                <w:tcPr>
                  <w:tcW w:w="1183" w:type="dxa"/>
                  <w:vAlign w:val="center"/>
                </w:tcPr>
                <w:p w14:paraId="59CA2CD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snapToGrid w:val="0"/>
                      <w:color w:val="auto"/>
                      <w:kern w:val="0"/>
                      <w:sz w:val="21"/>
                      <w:szCs w:val="21"/>
                      <w:highlight w:val="none"/>
                      <w:vertAlign w:val="baseline"/>
                      <w:lang w:val="en-US" w:eastAsia="zh-CN"/>
                    </w:rPr>
                  </w:pPr>
                  <w:r>
                    <w:rPr>
                      <w:rFonts w:hint="default" w:ascii="Times New Roman" w:hAnsi="Times New Roman" w:eastAsia="仿宋" w:cs="Times New Roman"/>
                      <w:snapToGrid w:val="0"/>
                      <w:color w:val="auto"/>
                      <w:kern w:val="0"/>
                      <w:sz w:val="21"/>
                      <w:szCs w:val="21"/>
                      <w:highlight w:val="none"/>
                      <w:vertAlign w:val="baseline"/>
                      <w:lang w:val="en-US" w:eastAsia="zh-CN"/>
                    </w:rPr>
                    <w:t>不设置</w:t>
                  </w:r>
                </w:p>
              </w:tc>
            </w:tr>
          </w:tbl>
          <w:p w14:paraId="65A34FDB">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注：1.废气中有毒有害污染物指纳入《有毒有害大气污染物名录》的污染物（不包括无排放标准的污染物）。</w:t>
            </w:r>
          </w:p>
          <w:p w14:paraId="570491E1">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2.环境空</w:t>
            </w:r>
            <w:r>
              <w:rPr>
                <w:rFonts w:hint="eastAsia" w:ascii="Times New Roman" w:hAnsi="Times New Roman" w:eastAsia="仿宋" w:cs="Times New Roman"/>
                <w:color w:val="auto"/>
                <w:kern w:val="0"/>
                <w:sz w:val="21"/>
                <w:szCs w:val="21"/>
                <w:highlight w:val="none"/>
                <w:lang w:val="en-US" w:eastAsia="zh-CN"/>
              </w:rPr>
              <w:t>气保护目标指自然保护区、风景名胜区、居住区、文化区和农村地区中人群较集中的区域。</w:t>
            </w:r>
          </w:p>
          <w:p w14:paraId="1D37BB07">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cs="Times New Roman"/>
                <w:color w:val="FF0000"/>
                <w:kern w:val="0"/>
                <w:sz w:val="24"/>
              </w:rPr>
            </w:pPr>
            <w:r>
              <w:rPr>
                <w:rFonts w:hint="eastAsia" w:ascii="Times New Roman" w:hAnsi="Times New Roman" w:eastAsia="仿宋" w:cs="Times New Roman"/>
                <w:color w:val="auto"/>
                <w:kern w:val="0"/>
                <w:sz w:val="21"/>
                <w:szCs w:val="21"/>
                <w:highlight w:val="none"/>
                <w:lang w:val="en-US" w:eastAsia="zh-CN"/>
              </w:rPr>
              <w:t>3.临界量及其计算方法可参考《建设项目环境风险评价技术导则》（HJ 169）附录B、附录C。</w:t>
            </w:r>
          </w:p>
        </w:tc>
      </w:tr>
      <w:tr w14:paraId="1B3A8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860" w:type="pct"/>
            <w:vAlign w:val="center"/>
          </w:tcPr>
          <w:p w14:paraId="3E7FB50D">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规划情况</w:t>
            </w:r>
          </w:p>
        </w:tc>
        <w:tc>
          <w:tcPr>
            <w:tcW w:w="4139" w:type="pct"/>
            <w:gridSpan w:val="3"/>
            <w:vAlign w:val="center"/>
          </w:tcPr>
          <w:p w14:paraId="483F260D">
            <w:pPr>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名称：《金坛滨湖新城控制性详细规划（修改）》（202</w:t>
            </w:r>
            <w:r>
              <w:rPr>
                <w:rFonts w:hint="eastAsia" w:eastAsia="仿宋" w:cs="Times New Roman"/>
                <w:color w:val="auto"/>
                <w:sz w:val="21"/>
                <w:szCs w:val="21"/>
                <w:highlight w:val="none"/>
                <w:lang w:val="en-US" w:eastAsia="zh-CN"/>
              </w:rPr>
              <w:t>0</w:t>
            </w:r>
            <w:r>
              <w:rPr>
                <w:rFonts w:hint="eastAsia" w:ascii="Times New Roman" w:hAnsi="Times New Roman" w:eastAsia="仿宋" w:cs="Times New Roman"/>
                <w:color w:val="auto"/>
                <w:sz w:val="21"/>
                <w:szCs w:val="21"/>
                <w:highlight w:val="none"/>
                <w:lang w:val="en-US" w:eastAsia="zh-CN"/>
              </w:rPr>
              <w:t>年</w:t>
            </w:r>
            <w:r>
              <w:rPr>
                <w:rFonts w:hint="eastAsia" w:eastAsia="仿宋" w:cs="Times New Roman"/>
                <w:color w:val="auto"/>
                <w:sz w:val="21"/>
                <w:szCs w:val="21"/>
                <w:highlight w:val="none"/>
                <w:lang w:val="en-US" w:eastAsia="zh-CN"/>
              </w:rPr>
              <w:t>4</w:t>
            </w:r>
            <w:r>
              <w:rPr>
                <w:rFonts w:hint="eastAsia" w:ascii="Times New Roman" w:hAnsi="Times New Roman" w:eastAsia="仿宋" w:cs="Times New Roman"/>
                <w:color w:val="auto"/>
                <w:sz w:val="21"/>
                <w:szCs w:val="21"/>
                <w:highlight w:val="none"/>
                <w:lang w:val="en-US" w:eastAsia="zh-CN"/>
              </w:rPr>
              <w:t>月</w:t>
            </w:r>
            <w:r>
              <w:rPr>
                <w:rFonts w:hint="eastAsia" w:eastAsia="仿宋" w:cs="Times New Roman"/>
                <w:color w:val="auto"/>
                <w:sz w:val="21"/>
                <w:szCs w:val="21"/>
                <w:highlight w:val="none"/>
                <w:lang w:val="en-US" w:eastAsia="zh-CN"/>
              </w:rPr>
              <w:t>17</w:t>
            </w:r>
            <w:r>
              <w:rPr>
                <w:rFonts w:hint="eastAsia" w:ascii="Times New Roman" w:hAnsi="Times New Roman" w:eastAsia="仿宋" w:cs="Times New Roman"/>
                <w:color w:val="auto"/>
                <w:sz w:val="21"/>
                <w:szCs w:val="21"/>
                <w:highlight w:val="none"/>
                <w:lang w:val="en-US" w:eastAsia="zh-CN"/>
              </w:rPr>
              <w:t>日）</w:t>
            </w:r>
          </w:p>
          <w:p w14:paraId="6D4BE31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审批部门：常州市金坛区人民政府</w:t>
            </w:r>
          </w:p>
        </w:tc>
      </w:tr>
      <w:tr w14:paraId="4B982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860" w:type="pct"/>
            <w:vAlign w:val="center"/>
          </w:tcPr>
          <w:p w14:paraId="04564444">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规划环境影响评价情况</w:t>
            </w:r>
          </w:p>
        </w:tc>
        <w:tc>
          <w:tcPr>
            <w:tcW w:w="4139" w:type="pct"/>
            <w:gridSpan w:val="3"/>
            <w:vAlign w:val="center"/>
          </w:tcPr>
          <w:p w14:paraId="235986E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r w14:paraId="3A056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0" w:type="pct"/>
            <w:vAlign w:val="center"/>
          </w:tcPr>
          <w:p w14:paraId="739C1576">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规划及规划环境影响评价符合性分析</w:t>
            </w:r>
          </w:p>
        </w:tc>
        <w:tc>
          <w:tcPr>
            <w:tcW w:w="4139" w:type="pct"/>
            <w:gridSpan w:val="3"/>
            <w:vAlign w:val="center"/>
          </w:tcPr>
          <w:p w14:paraId="735A6810">
            <w:pPr>
              <w:keepNext w:val="0"/>
              <w:keepLines w:val="0"/>
              <w:pageBreakBefore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本项目</w:t>
            </w:r>
            <w:r>
              <w:rPr>
                <w:rFonts w:hint="eastAsia" w:ascii="Times New Roman" w:hAnsi="Times New Roman" w:eastAsia="仿宋" w:cs="Times New Roman"/>
                <w:color w:val="auto"/>
                <w:kern w:val="0"/>
                <w:sz w:val="21"/>
                <w:szCs w:val="21"/>
                <w:highlight w:val="none"/>
                <w:lang w:val="en-US" w:eastAsia="zh-CN"/>
              </w:rPr>
              <w:t>位于常州市金坛第一人民医院内</w:t>
            </w:r>
            <w:r>
              <w:rPr>
                <w:rFonts w:hint="default" w:ascii="Times New Roman" w:hAnsi="Times New Roman" w:eastAsia="仿宋" w:cs="Times New Roman"/>
                <w:color w:val="auto"/>
                <w:kern w:val="0"/>
                <w:sz w:val="21"/>
                <w:szCs w:val="21"/>
                <w:highlight w:val="none"/>
                <w:lang w:val="en-US" w:eastAsia="zh-CN"/>
              </w:rPr>
              <w:t>，根据《</w:t>
            </w:r>
            <w:r>
              <w:rPr>
                <w:rFonts w:hint="eastAsia" w:ascii="Times New Roman" w:hAnsi="Times New Roman" w:eastAsia="仿宋" w:cs="Times New Roman"/>
                <w:color w:val="auto"/>
                <w:sz w:val="21"/>
                <w:szCs w:val="21"/>
                <w:highlight w:val="none"/>
                <w:lang w:val="en-US" w:eastAsia="zh-CN"/>
              </w:rPr>
              <w:t>金坛滨湖新城控制性详细规划（修改）</w:t>
            </w:r>
            <w:r>
              <w:rPr>
                <w:rFonts w:hint="default" w:ascii="Times New Roman" w:hAnsi="Times New Roman" w:eastAsia="仿宋" w:cs="Times New Roman"/>
                <w:color w:val="auto"/>
                <w:kern w:val="0"/>
                <w:sz w:val="21"/>
                <w:szCs w:val="21"/>
                <w:highlight w:val="none"/>
                <w:lang w:val="en-US" w:eastAsia="zh-CN"/>
              </w:rPr>
              <w:t>》，本项目所在地为</w:t>
            </w:r>
            <w:r>
              <w:rPr>
                <w:rFonts w:hint="eastAsia" w:ascii="Times New Roman" w:hAnsi="Times New Roman" w:eastAsia="仿宋" w:cs="Times New Roman"/>
                <w:color w:val="auto"/>
                <w:kern w:val="0"/>
                <w:sz w:val="21"/>
                <w:szCs w:val="21"/>
                <w:highlight w:val="none"/>
                <w:lang w:val="en-US" w:eastAsia="zh-CN"/>
              </w:rPr>
              <w:t>医院卫生用地</w:t>
            </w:r>
            <w:r>
              <w:rPr>
                <w:rFonts w:hint="default" w:ascii="Times New Roman" w:hAnsi="Times New Roman" w:eastAsia="仿宋" w:cs="Times New Roman"/>
                <w:color w:val="auto"/>
                <w:kern w:val="0"/>
                <w:sz w:val="21"/>
                <w:szCs w:val="21"/>
                <w:highlight w:val="none"/>
                <w:lang w:val="en-US" w:eastAsia="zh-CN"/>
              </w:rPr>
              <w:t>，因此，该项目用地性质符合要求。</w:t>
            </w:r>
          </w:p>
          <w:p w14:paraId="6DB35A92">
            <w:pPr>
              <w:keepNext w:val="0"/>
              <w:keepLines w:val="0"/>
              <w:pageBreakBefore w:val="0"/>
              <w:kinsoku/>
              <w:wordWrap/>
              <w:overflowPunct/>
              <w:topLinePunct w:val="0"/>
              <w:autoSpaceDE w:val="0"/>
              <w:autoSpaceDN w:val="0"/>
              <w:bidi w:val="0"/>
              <w:adjustRightInd w:val="0"/>
              <w:snapToGrid w:val="0"/>
              <w:spacing w:line="240" w:lineRule="auto"/>
              <w:ind w:firstLine="420" w:firstLineChars="200"/>
              <w:jc w:val="left"/>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本项目位于</w:t>
            </w:r>
            <w:r>
              <w:rPr>
                <w:rFonts w:hint="eastAsia" w:eastAsia="仿宋" w:cs="Times New Roman"/>
                <w:color w:val="auto"/>
                <w:sz w:val="21"/>
                <w:szCs w:val="21"/>
                <w:highlight w:val="none"/>
                <w:lang w:val="en-US" w:eastAsia="zh-CN"/>
              </w:rPr>
              <w:t>江苏省常州市金坛区金坛大道500号，常州市金坛第一人民医院内</w:t>
            </w:r>
            <w:r>
              <w:rPr>
                <w:rFonts w:hint="default" w:ascii="Times New Roman" w:hAnsi="Times New Roman" w:eastAsia="仿宋" w:cs="Times New Roman"/>
                <w:color w:val="auto"/>
                <w:kern w:val="0"/>
                <w:sz w:val="21"/>
                <w:szCs w:val="21"/>
                <w:highlight w:val="none"/>
                <w:lang w:val="en-US" w:eastAsia="zh-CN"/>
              </w:rPr>
              <w:t>，不属于《限制用地项目目录（2012年本）》和《禁止用地项目目录（2012年本）》以及《江苏省限制用地项目目录（2013年本）》和《江苏省禁止用地项目目录（2013年本）》中所规定的类别。</w:t>
            </w:r>
          </w:p>
          <w:p w14:paraId="75AEF23F">
            <w:pPr>
              <w:keepNext w:val="0"/>
              <w:keepLines w:val="0"/>
              <w:pageBreakBefore w:val="0"/>
              <w:kinsoku/>
              <w:wordWrap/>
              <w:overflowPunct/>
              <w:topLinePunct w:val="0"/>
              <w:autoSpaceDE w:val="0"/>
              <w:autoSpaceDN w:val="0"/>
              <w:bidi w:val="0"/>
              <w:adjustRightInd w:val="0"/>
              <w:snapToGrid w:val="0"/>
              <w:spacing w:line="240" w:lineRule="auto"/>
              <w:ind w:firstLine="420" w:firstLineChars="200"/>
              <w:jc w:val="left"/>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对照《江苏省生态空间管控区域规划》（苏政发[2020]1号），本项目不在常州市生态空间保护区域国家级生态保护红线范围及生态空间管控区域范围内。对照《江苏省国家级生态保护红线规划》（苏政发[2018]74号），本项目不在江苏省陆域生态保护红线一级保护区、二级保护区内。</w:t>
            </w:r>
          </w:p>
          <w:p w14:paraId="4A613921">
            <w:pPr>
              <w:keepNext w:val="0"/>
              <w:keepLines w:val="0"/>
              <w:pageBreakBefore w:val="0"/>
              <w:kinsoku/>
              <w:wordWrap/>
              <w:overflowPunct/>
              <w:topLinePunct w:val="0"/>
              <w:autoSpaceDE w:val="0"/>
              <w:autoSpaceDN w:val="0"/>
              <w:bidi w:val="0"/>
              <w:adjustRightInd w:val="0"/>
              <w:snapToGrid w:val="0"/>
              <w:spacing w:line="240" w:lineRule="auto"/>
              <w:ind w:firstLine="420" w:firstLineChars="200"/>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因此，该用地性质符合要求。</w:t>
            </w:r>
          </w:p>
        </w:tc>
      </w:tr>
      <w:tr w14:paraId="18F97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60" w:type="pct"/>
            <w:vAlign w:val="center"/>
          </w:tcPr>
          <w:p w14:paraId="4048FA48">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eastAsia="zh-CN"/>
              </w:rPr>
              <w:t>其它</w:t>
            </w:r>
            <w:r>
              <w:rPr>
                <w:rFonts w:hint="default" w:ascii="Times New Roman" w:hAnsi="Times New Roman" w:eastAsia="仿宋" w:cs="Times New Roman"/>
                <w:color w:val="auto"/>
                <w:sz w:val="21"/>
                <w:szCs w:val="21"/>
                <w:highlight w:val="none"/>
              </w:rPr>
              <w:t>符合性分析</w:t>
            </w:r>
          </w:p>
        </w:tc>
        <w:tc>
          <w:tcPr>
            <w:tcW w:w="4139" w:type="pct"/>
            <w:gridSpan w:val="3"/>
            <w:vAlign w:val="center"/>
          </w:tcPr>
          <w:p w14:paraId="66F91546">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（1）“三线一单”相符性分析</w:t>
            </w:r>
          </w:p>
          <w:p w14:paraId="1A528C0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b/>
                <w:bCs/>
                <w:color w:val="auto"/>
                <w:kern w:val="0"/>
                <w:sz w:val="21"/>
                <w:szCs w:val="21"/>
                <w:highlight w:val="none"/>
              </w:rPr>
              <w:t>表1-1 “三线一单”相符性分析</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5069"/>
              <w:gridCol w:w="1256"/>
            </w:tblGrid>
            <w:tr w14:paraId="0A88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0" w:type="pct"/>
                  <w:tcBorders>
                    <w:tl2br w:val="nil"/>
                    <w:tr2bl w:val="nil"/>
                  </w:tcBorders>
                  <w:vAlign w:val="center"/>
                </w:tcPr>
                <w:p w14:paraId="64A509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内容</w:t>
                  </w:r>
                </w:p>
              </w:tc>
              <w:tc>
                <w:tcPr>
                  <w:tcW w:w="3566" w:type="pct"/>
                  <w:tcBorders>
                    <w:tl2br w:val="nil"/>
                    <w:tr2bl w:val="nil"/>
                  </w:tcBorders>
                  <w:vAlign w:val="center"/>
                </w:tcPr>
                <w:p w14:paraId="24DF0C1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相符性分析</w:t>
                  </w:r>
                </w:p>
              </w:tc>
              <w:tc>
                <w:tcPr>
                  <w:tcW w:w="883" w:type="pct"/>
                  <w:tcBorders>
                    <w:tl2br w:val="nil"/>
                    <w:tr2bl w:val="nil"/>
                  </w:tcBorders>
                  <w:vAlign w:val="center"/>
                </w:tcPr>
                <w:p w14:paraId="7FD228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项目是否满足要求</w:t>
                  </w:r>
                </w:p>
              </w:tc>
            </w:tr>
            <w:tr w14:paraId="0F42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 w:type="pct"/>
                  <w:tcBorders>
                    <w:tl2br w:val="nil"/>
                    <w:tr2bl w:val="nil"/>
                  </w:tcBorders>
                  <w:vAlign w:val="center"/>
                </w:tcPr>
                <w:p w14:paraId="2AB3E4D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生态红线</w:t>
                  </w:r>
                </w:p>
              </w:tc>
              <w:tc>
                <w:tcPr>
                  <w:tcW w:w="3566" w:type="pct"/>
                  <w:tcBorders>
                    <w:tl2br w:val="nil"/>
                    <w:tr2bl w:val="nil"/>
                  </w:tcBorders>
                  <w:vAlign w:val="center"/>
                </w:tcPr>
                <w:p w14:paraId="5F9E95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建设项目选址于江苏省</w:t>
                  </w:r>
                  <w:r>
                    <w:rPr>
                      <w:rFonts w:hint="eastAsia" w:eastAsia="仿宋" w:cs="Times New Roman"/>
                      <w:color w:val="auto"/>
                      <w:kern w:val="0"/>
                      <w:sz w:val="21"/>
                      <w:szCs w:val="21"/>
                      <w:highlight w:val="none"/>
                      <w:lang w:eastAsia="zh-CN"/>
                    </w:rPr>
                    <w:t>江苏省常州市金坛区金坛大道500号，常州市金坛第一人民医院内</w:t>
                  </w:r>
                  <w:r>
                    <w:rPr>
                      <w:rFonts w:hint="default" w:ascii="Times New Roman" w:hAnsi="Times New Roman" w:eastAsia="仿宋" w:cs="Times New Roman"/>
                      <w:color w:val="auto"/>
                      <w:kern w:val="0"/>
                      <w:sz w:val="21"/>
                      <w:szCs w:val="21"/>
                      <w:highlight w:val="none"/>
                    </w:rPr>
                    <w:t>，在项目评价范围内不涉及常州市范围内的生态红线区域，不会导致常州市辖区内生态红线区域服务功能下降。因此，建设项目的建设不违背《江苏省生态空间管控区域规划》、《江苏省国家级生态保护红线规划》要求。</w:t>
                  </w:r>
                </w:p>
              </w:tc>
              <w:tc>
                <w:tcPr>
                  <w:tcW w:w="883" w:type="pct"/>
                  <w:tcBorders>
                    <w:tl2br w:val="nil"/>
                    <w:tr2bl w:val="nil"/>
                  </w:tcBorders>
                  <w:vAlign w:val="center"/>
                </w:tcPr>
                <w:p w14:paraId="263725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是</w:t>
                  </w:r>
                </w:p>
              </w:tc>
            </w:tr>
            <w:tr w14:paraId="6EC6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 w:type="pct"/>
                  <w:tcBorders>
                    <w:tl2br w:val="nil"/>
                    <w:tr2bl w:val="nil"/>
                  </w:tcBorders>
                  <w:vAlign w:val="center"/>
                </w:tcPr>
                <w:p w14:paraId="1E6B5A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环境质量底线</w:t>
                  </w:r>
                </w:p>
              </w:tc>
              <w:tc>
                <w:tcPr>
                  <w:tcW w:w="3566" w:type="pct"/>
                  <w:tcBorders>
                    <w:tl2br w:val="nil"/>
                    <w:tr2bl w:val="nil"/>
                  </w:tcBorders>
                  <w:vAlign w:val="center"/>
                </w:tcPr>
                <w:p w14:paraId="32F2BDB1">
                  <w:pPr>
                    <w:keepNext w:val="0"/>
                    <w:keepLines w:val="0"/>
                    <w:pageBreakBefore w:val="0"/>
                    <w:widowControl w:val="0"/>
                    <w:kinsoku/>
                    <w:wordWrap/>
                    <w:overflowPunct/>
                    <w:topLinePunct w:val="0"/>
                    <w:autoSpaceDE w:val="0"/>
                    <w:autoSpaceDN w:val="0"/>
                    <w:bidi w:val="0"/>
                    <w:adjustRightInd w:val="0"/>
                    <w:snapToGrid w:val="0"/>
                    <w:spacing w:line="300" w:lineRule="exact"/>
                    <w:textAlignment w:val="auto"/>
                    <w:rPr>
                      <w:rFonts w:hint="default" w:ascii="Times New Roman" w:hAnsi="Times New Roman" w:eastAsia="仿宋" w:cs="Times New Roman"/>
                      <w:color w:val="auto"/>
                      <w:kern w:val="0"/>
                      <w:szCs w:val="21"/>
                      <w:highlight w:val="none"/>
                    </w:rPr>
                  </w:pPr>
                  <w:r>
                    <w:rPr>
                      <w:rFonts w:hint="eastAsia" w:eastAsia="仿宋"/>
                      <w:color w:val="auto"/>
                      <w:kern w:val="0"/>
                      <w:szCs w:val="21"/>
                      <w:highlight w:val="none"/>
                    </w:rPr>
                    <w:t>根据《常州市生态环境质量报告(202</w:t>
                  </w:r>
                  <w:r>
                    <w:rPr>
                      <w:rFonts w:hint="eastAsia" w:eastAsia="仿宋"/>
                      <w:color w:val="auto"/>
                      <w:kern w:val="0"/>
                      <w:szCs w:val="21"/>
                      <w:highlight w:val="none"/>
                      <w:lang w:val="en-US" w:eastAsia="zh-CN"/>
                    </w:rPr>
                    <w:t>3</w:t>
                  </w:r>
                  <w:r>
                    <w:rPr>
                      <w:rFonts w:hint="eastAsia" w:eastAsia="仿宋"/>
                      <w:color w:val="auto"/>
                      <w:kern w:val="0"/>
                      <w:szCs w:val="21"/>
                      <w:highlight w:val="none"/>
                    </w:rPr>
                    <w:t>)》可知本项目所在区域大气环境质量不达标，应加快大气环境质量限期达标规划的实施与建设。根据环境质量现状地表水、声环境监测结果可知，项目所在区域地表水、声等环境质量能够满足相应功能区划要求。</w:t>
                  </w:r>
                  <w:r>
                    <w:rPr>
                      <w:rFonts w:hint="eastAsia" w:eastAsia="仿宋"/>
                      <w:color w:val="auto"/>
                      <w:kern w:val="0"/>
                      <w:szCs w:val="21"/>
                      <w:highlight w:val="none"/>
                      <w:lang w:eastAsia="zh-CN"/>
                    </w:rPr>
                    <w:t>本项目病房及急诊废水排入院内污水处理站处理，生活废水经化粪池、食堂废水经隔油池预处理后排入院内污水处理站处理，均接管至金坛第一污水处理厂处理后排入丹金溧漕河。</w:t>
                  </w:r>
                  <w:r>
                    <w:rPr>
                      <w:rFonts w:hint="eastAsia" w:eastAsia="仿宋"/>
                      <w:color w:val="auto"/>
                      <w:kern w:val="0"/>
                      <w:szCs w:val="21"/>
                      <w:highlight w:val="none"/>
                    </w:rPr>
                    <w:t>项目的设备产生的噪声经过墙体的阻隔对外环境的影响较小。本项目固废均合理处置，实现固废零排放。符合环境质量底线要求。</w:t>
                  </w:r>
                </w:p>
              </w:tc>
              <w:tc>
                <w:tcPr>
                  <w:tcW w:w="883" w:type="pct"/>
                  <w:tcBorders>
                    <w:tl2br w:val="nil"/>
                    <w:tr2bl w:val="nil"/>
                  </w:tcBorders>
                  <w:vAlign w:val="center"/>
                </w:tcPr>
                <w:p w14:paraId="1DABB226">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仿宋" w:cs="Times New Roman"/>
                      <w:color w:val="auto"/>
                      <w:kern w:val="0"/>
                      <w:szCs w:val="21"/>
                      <w:highlight w:val="none"/>
                    </w:rPr>
                  </w:pPr>
                  <w:r>
                    <w:rPr>
                      <w:rFonts w:hint="eastAsia" w:eastAsia="仿宋"/>
                      <w:color w:val="auto"/>
                      <w:kern w:val="0"/>
                      <w:szCs w:val="21"/>
                      <w:highlight w:val="none"/>
                    </w:rPr>
                    <w:t>是</w:t>
                  </w:r>
                </w:p>
              </w:tc>
            </w:tr>
            <w:tr w14:paraId="11D1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 w:type="pct"/>
                  <w:tcBorders>
                    <w:tl2br w:val="nil"/>
                    <w:tr2bl w:val="nil"/>
                  </w:tcBorders>
                  <w:vAlign w:val="center"/>
                </w:tcPr>
                <w:p w14:paraId="0E057B3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资源利用上线</w:t>
                  </w:r>
                </w:p>
              </w:tc>
              <w:tc>
                <w:tcPr>
                  <w:tcW w:w="3566" w:type="pct"/>
                  <w:tcBorders>
                    <w:tl2br w:val="nil"/>
                    <w:tr2bl w:val="nil"/>
                  </w:tcBorders>
                  <w:vAlign w:val="center"/>
                </w:tcPr>
                <w:p w14:paraId="12D51A8E">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本项目生产过程中所用的资源主要为水、电、天然气。本项目所在地水资源丰富。此外，企业将采取有效的节电节水</w:t>
                  </w:r>
                  <w:r>
                    <w:rPr>
                      <w:rFonts w:hint="eastAsia" w:eastAsia="仿宋" w:cs="Times New Roman"/>
                      <w:color w:val="auto"/>
                      <w:kern w:val="0"/>
                      <w:szCs w:val="21"/>
                      <w:highlight w:val="none"/>
                      <w:lang w:val="en-US" w:eastAsia="zh-CN"/>
                    </w:rPr>
                    <w:t>节气</w:t>
                  </w:r>
                  <w:r>
                    <w:rPr>
                      <w:rFonts w:hint="default" w:ascii="Times New Roman" w:hAnsi="Times New Roman" w:eastAsia="仿宋" w:cs="Times New Roman"/>
                      <w:color w:val="auto"/>
                      <w:kern w:val="0"/>
                      <w:szCs w:val="21"/>
                      <w:highlight w:val="none"/>
                    </w:rPr>
                    <w:t>措施，符合资源利用上线相关要求。</w:t>
                  </w:r>
                </w:p>
              </w:tc>
              <w:tc>
                <w:tcPr>
                  <w:tcW w:w="883" w:type="pct"/>
                  <w:tcBorders>
                    <w:tl2br w:val="nil"/>
                    <w:tr2bl w:val="nil"/>
                  </w:tcBorders>
                  <w:vAlign w:val="center"/>
                </w:tcPr>
                <w:p w14:paraId="3DB234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Cs w:val="21"/>
                      <w:highlight w:val="none"/>
                    </w:rPr>
                  </w:pPr>
                  <w:r>
                    <w:rPr>
                      <w:rFonts w:hint="eastAsia" w:eastAsia="仿宋"/>
                      <w:color w:val="auto"/>
                      <w:kern w:val="0"/>
                      <w:szCs w:val="21"/>
                      <w:highlight w:val="none"/>
                    </w:rPr>
                    <w:t>是</w:t>
                  </w:r>
                </w:p>
              </w:tc>
            </w:tr>
            <w:tr w14:paraId="3DEE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 w:type="pct"/>
                  <w:tcBorders>
                    <w:tl2br w:val="nil"/>
                    <w:tr2bl w:val="nil"/>
                  </w:tcBorders>
                  <w:vAlign w:val="center"/>
                </w:tcPr>
                <w:p w14:paraId="113349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环境准入负面清单</w:t>
                  </w:r>
                </w:p>
              </w:tc>
              <w:tc>
                <w:tcPr>
                  <w:tcW w:w="3566" w:type="pct"/>
                  <w:tcBorders>
                    <w:tl2br w:val="nil"/>
                    <w:tr2bl w:val="nil"/>
                  </w:tcBorders>
                  <w:vAlign w:val="center"/>
                </w:tcPr>
                <w:p w14:paraId="61588B46">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经查《市场准入负面清单</w:t>
                  </w:r>
                  <w:r>
                    <w:rPr>
                      <w:rFonts w:hint="eastAsia" w:ascii="Times New Roman" w:hAnsi="Times New Roman" w:eastAsia="仿宋" w:cs="Times New Roman"/>
                      <w:color w:val="auto"/>
                      <w:kern w:val="0"/>
                      <w:szCs w:val="21"/>
                      <w:highlight w:val="none"/>
                      <w:lang w:eastAsia="zh-CN"/>
                    </w:rPr>
                    <w:t>（</w:t>
                  </w:r>
                  <w:r>
                    <w:rPr>
                      <w:rFonts w:hint="default" w:ascii="Times New Roman" w:hAnsi="Times New Roman" w:eastAsia="仿宋" w:cs="Times New Roman"/>
                      <w:color w:val="auto"/>
                      <w:kern w:val="0"/>
                      <w:szCs w:val="21"/>
                      <w:highlight w:val="none"/>
                    </w:rPr>
                    <w:t>2022年版</w:t>
                  </w:r>
                  <w:r>
                    <w:rPr>
                      <w:rFonts w:hint="eastAsia" w:ascii="Times New Roman" w:hAnsi="Times New Roman" w:eastAsia="仿宋" w:cs="Times New Roman"/>
                      <w:color w:val="auto"/>
                      <w:kern w:val="0"/>
                      <w:szCs w:val="21"/>
                      <w:highlight w:val="none"/>
                      <w:lang w:eastAsia="zh-CN"/>
                    </w:rPr>
                    <w:t>）</w:t>
                  </w:r>
                  <w:r>
                    <w:rPr>
                      <w:rFonts w:hint="default" w:ascii="Times New Roman" w:hAnsi="Times New Roman" w:eastAsia="仿宋" w:cs="Times New Roman"/>
                      <w:color w:val="auto"/>
                      <w:kern w:val="0"/>
                      <w:szCs w:val="21"/>
                      <w:highlight w:val="none"/>
                    </w:rPr>
                    <w:t>》以及《长江经济带发展负面清单指南》(试行，2022年版)，本项目不在其禁止准入类和限制准入类中。本项目不属于《环境保护综合名录(2021年版)》中“高污染、高环境风险”产品名录。因此本项目符合环境准入负面清单相关要求。</w:t>
                  </w:r>
                </w:p>
              </w:tc>
              <w:tc>
                <w:tcPr>
                  <w:tcW w:w="883" w:type="pct"/>
                  <w:tcBorders>
                    <w:tl2br w:val="nil"/>
                    <w:tr2bl w:val="nil"/>
                  </w:tcBorders>
                  <w:vAlign w:val="center"/>
                </w:tcPr>
                <w:p w14:paraId="4745F3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Cs w:val="21"/>
                      <w:highlight w:val="none"/>
                    </w:rPr>
                  </w:pPr>
                  <w:r>
                    <w:rPr>
                      <w:rFonts w:hint="eastAsia" w:eastAsia="仿宋"/>
                      <w:color w:val="auto"/>
                      <w:kern w:val="0"/>
                      <w:szCs w:val="21"/>
                      <w:highlight w:val="none"/>
                    </w:rPr>
                    <w:t>是</w:t>
                  </w:r>
                </w:p>
              </w:tc>
            </w:tr>
          </w:tbl>
          <w:p w14:paraId="37ABFD9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（2）本文与《关于印发常州市“三线一单生态环境分区管控实施方案的通知”》（常环[2020]95号文），</w:t>
            </w:r>
            <w:r>
              <w:rPr>
                <w:rFonts w:hint="eastAsia" w:eastAsia="仿宋" w:cs="Times New Roman"/>
                <w:color w:val="auto"/>
                <w:kern w:val="0"/>
                <w:sz w:val="21"/>
                <w:szCs w:val="21"/>
                <w:highlight w:val="none"/>
                <w:lang w:val="en-US" w:eastAsia="zh-CN"/>
              </w:rPr>
              <w:t>本项目位于</w:t>
            </w:r>
            <w:r>
              <w:rPr>
                <w:rFonts w:hint="eastAsia" w:eastAsia="仿宋" w:cs="Times New Roman"/>
                <w:color w:val="auto"/>
                <w:kern w:val="0"/>
                <w:sz w:val="21"/>
                <w:szCs w:val="21"/>
                <w:highlight w:val="none"/>
                <w:lang w:eastAsia="zh-CN"/>
              </w:rPr>
              <w:t>江苏省常州市金坛区金坛大道500号，常州市金坛第一人民医院内</w:t>
            </w:r>
            <w:r>
              <w:rPr>
                <w:rFonts w:hint="default" w:ascii="Times New Roman" w:hAnsi="Times New Roman" w:eastAsia="仿宋" w:cs="Times New Roman"/>
                <w:color w:val="auto"/>
                <w:kern w:val="0"/>
                <w:sz w:val="21"/>
                <w:szCs w:val="21"/>
                <w:highlight w:val="none"/>
              </w:rPr>
              <w:t>，</w:t>
            </w:r>
            <w:r>
              <w:rPr>
                <w:rFonts w:hint="eastAsia" w:eastAsia="仿宋" w:cs="Times New Roman"/>
                <w:color w:val="auto"/>
                <w:kern w:val="0"/>
                <w:sz w:val="21"/>
                <w:szCs w:val="21"/>
                <w:highlight w:val="none"/>
                <w:lang w:val="en-US" w:eastAsia="zh-CN"/>
              </w:rPr>
              <w:t>属于</w:t>
            </w:r>
            <w:r>
              <w:rPr>
                <w:rFonts w:hint="default" w:ascii="Times New Roman" w:hAnsi="Times New Roman" w:eastAsia="仿宋" w:cs="Times New Roman"/>
                <w:color w:val="auto"/>
                <w:kern w:val="0"/>
                <w:sz w:val="21"/>
                <w:szCs w:val="21"/>
                <w:highlight w:val="none"/>
              </w:rPr>
              <w:t>常州市</w:t>
            </w:r>
            <w:r>
              <w:rPr>
                <w:rFonts w:hint="eastAsia" w:eastAsia="仿宋" w:cs="Times New Roman"/>
                <w:color w:val="auto"/>
                <w:kern w:val="0"/>
                <w:sz w:val="21"/>
                <w:szCs w:val="21"/>
                <w:highlight w:val="none"/>
                <w:lang w:val="en-US" w:eastAsia="zh-CN"/>
              </w:rPr>
              <w:t>重</w:t>
            </w:r>
            <w:r>
              <w:rPr>
                <w:rFonts w:hint="eastAsia" w:ascii="Times New Roman" w:hAnsi="Times New Roman" w:eastAsia="仿宋" w:cs="Times New Roman"/>
                <w:color w:val="auto"/>
                <w:kern w:val="0"/>
                <w:sz w:val="21"/>
                <w:szCs w:val="21"/>
                <w:highlight w:val="none"/>
                <w:lang w:val="en-US" w:eastAsia="zh-CN"/>
              </w:rPr>
              <w:t>点</w:t>
            </w:r>
            <w:r>
              <w:rPr>
                <w:rFonts w:hint="default" w:ascii="Times New Roman" w:hAnsi="Times New Roman" w:eastAsia="仿宋" w:cs="Times New Roman"/>
                <w:color w:val="auto"/>
                <w:kern w:val="0"/>
                <w:sz w:val="21"/>
                <w:szCs w:val="21"/>
                <w:highlight w:val="none"/>
                <w:lang w:eastAsia="zh-CN"/>
              </w:rPr>
              <w:t>管控单元</w:t>
            </w:r>
            <w:r>
              <w:rPr>
                <w:rFonts w:hint="eastAsia"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val="en-US" w:eastAsia="zh-CN"/>
              </w:rPr>
              <w:t>常州市中心城区（金坛区）</w:t>
            </w: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以下是相符性分析：</w:t>
            </w:r>
          </w:p>
          <w:p w14:paraId="360C721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bCs/>
                <w:color w:val="auto"/>
                <w:sz w:val="21"/>
                <w:szCs w:val="21"/>
                <w:highlight w:val="none"/>
              </w:rPr>
              <w:t>表1-2 与常环[2020]95号文相符性对照分析</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3117"/>
              <w:gridCol w:w="2162"/>
              <w:gridCol w:w="745"/>
            </w:tblGrid>
            <w:tr w14:paraId="649B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pct"/>
                  <w:gridSpan w:val="2"/>
                  <w:vAlign w:val="center"/>
                </w:tcPr>
                <w:p w14:paraId="1EC5845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生态环境准入清单</w:t>
                  </w:r>
                </w:p>
              </w:tc>
              <w:tc>
                <w:tcPr>
                  <w:tcW w:w="1522" w:type="pct"/>
                  <w:vAlign w:val="center"/>
                </w:tcPr>
                <w:p w14:paraId="4657320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对照分析</w:t>
                  </w:r>
                </w:p>
              </w:tc>
              <w:tc>
                <w:tcPr>
                  <w:tcW w:w="524" w:type="pct"/>
                  <w:vAlign w:val="center"/>
                </w:tcPr>
                <w:p w14:paraId="608C3EA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是否相符</w:t>
                  </w:r>
                </w:p>
              </w:tc>
            </w:tr>
            <w:tr w14:paraId="1238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29F2027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空间布局约束</w:t>
                  </w:r>
                </w:p>
              </w:tc>
              <w:tc>
                <w:tcPr>
                  <w:tcW w:w="2195" w:type="pct"/>
                  <w:vAlign w:val="center"/>
                </w:tcPr>
                <w:p w14:paraId="6DC8ECB6">
                  <w:pPr>
                    <w:keepNext w:val="0"/>
                    <w:keepLines w:val="0"/>
                    <w:pageBreakBefore w:val="0"/>
                    <w:widowControl w:val="0"/>
                    <w:kinsoku/>
                    <w:wordWrap/>
                    <w:overflowPunct/>
                    <w:topLinePunct w:val="0"/>
                    <w:autoSpaceDE w:val="0"/>
                    <w:autoSpaceDN w:val="0"/>
                    <w:bidi w:val="0"/>
                    <w:adjustRightInd/>
                    <w:snapToGrid w:val="0"/>
                    <w:spacing w:line="240" w:lineRule="auto"/>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（1）各类开发建设活动应符合常州市总体规划、控制性详细规划、土地利用规划等相关要求。（2）禁止引入列入《产业结构调整指导目录（</w:t>
                  </w:r>
                  <w:r>
                    <w:rPr>
                      <w:rFonts w:hint="eastAsia" w:eastAsia="仿宋" w:cs="Times New Roman"/>
                      <w:color w:val="auto"/>
                      <w:sz w:val="21"/>
                      <w:szCs w:val="21"/>
                      <w:highlight w:val="none"/>
                      <w:lang w:val="en-US" w:eastAsia="zh-CN"/>
                    </w:rPr>
                    <w:t>2019</w:t>
                  </w:r>
                  <w:r>
                    <w:rPr>
                      <w:rFonts w:hint="default" w:ascii="Times New Roman" w:hAnsi="Times New Roman" w:eastAsia="仿宋" w:cs="Times New Roman"/>
                      <w:color w:val="auto"/>
                      <w:sz w:val="21"/>
                      <w:szCs w:val="21"/>
                      <w:highlight w:val="none"/>
                    </w:rPr>
                    <w:t>年本）》、《江苏省产业结构调整限制、淘汰和禁止目录》《江苏省工业和信息产业结构调整、限制、淘汰目录及能耗限额》淘汰类的产业。</w:t>
                  </w:r>
                </w:p>
              </w:tc>
              <w:tc>
                <w:tcPr>
                  <w:tcW w:w="1522" w:type="pct"/>
                  <w:vAlign w:val="center"/>
                </w:tcPr>
                <w:p w14:paraId="1C967D5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（1）本项目符合常州市总体规划、控制性详细规划、土地利用规划等相关要求。（2）本项目不属于《产业结构调整指导目录（20</w:t>
                  </w:r>
                  <w:r>
                    <w:rPr>
                      <w:rFonts w:hint="eastAsia" w:eastAsia="仿宋" w:cs="Times New Roman"/>
                      <w:color w:val="auto"/>
                      <w:sz w:val="21"/>
                      <w:szCs w:val="21"/>
                      <w:highlight w:val="none"/>
                      <w:lang w:val="en-US" w:eastAsia="zh-CN"/>
                    </w:rPr>
                    <w:t>19</w:t>
                  </w:r>
                  <w:r>
                    <w:rPr>
                      <w:rFonts w:hint="default" w:ascii="Times New Roman" w:hAnsi="Times New Roman" w:eastAsia="仿宋" w:cs="Times New Roman"/>
                      <w:color w:val="auto"/>
                      <w:sz w:val="21"/>
                      <w:szCs w:val="21"/>
                      <w:highlight w:val="none"/>
                    </w:rPr>
                    <w:t>年本）》、《江苏省工业和信息产业结构调整、限制、淘汰目录及能耗限额》淘汰类的产业。</w:t>
                  </w:r>
                </w:p>
              </w:tc>
              <w:tc>
                <w:tcPr>
                  <w:tcW w:w="524" w:type="pct"/>
                  <w:vAlign w:val="center"/>
                </w:tcPr>
                <w:p w14:paraId="297D62C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1648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45993E2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污染物排放管控</w:t>
                  </w:r>
                </w:p>
              </w:tc>
              <w:tc>
                <w:tcPr>
                  <w:tcW w:w="2195" w:type="pct"/>
                  <w:vAlign w:val="center"/>
                </w:tcPr>
                <w:p w14:paraId="6642AAE5">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2"/>
                      <w:sz w:val="21"/>
                      <w:szCs w:val="21"/>
                      <w:lang w:val="en-US" w:eastAsia="zh-CN" w:bidi="ar-SA"/>
                    </w:rPr>
                    <w:t>（1）</w:t>
                  </w:r>
                  <w:r>
                    <w:rPr>
                      <w:rFonts w:hint="default" w:ascii="Times New Roman" w:hAnsi="Times New Roman" w:eastAsia="仿宋" w:cs="Times New Roman"/>
                      <w:color w:val="auto"/>
                      <w:sz w:val="21"/>
                      <w:szCs w:val="21"/>
                      <w:highlight w:val="none"/>
                    </w:rPr>
                    <w:t>严格实施污染物总量控制制度，根据区域环境质量改善目标，削减污染物排放总量。</w:t>
                  </w:r>
                </w:p>
                <w:p w14:paraId="6D63C5D1">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center"/>
                    <w:textAlignment w:val="auto"/>
                    <w:rPr>
                      <w:rFonts w:hint="eastAsia" w:ascii="Times New Roman" w:hAnsi="Times New Roman" w:eastAsia="仿宋" w:cs="Times New Roman"/>
                      <w:color w:val="auto"/>
                      <w:sz w:val="21"/>
                      <w:szCs w:val="21"/>
                      <w:highlight w:val="none"/>
                      <w:lang w:eastAsia="zh-CN"/>
                    </w:rPr>
                  </w:pPr>
                  <w:r>
                    <w:rPr>
                      <w:rFonts w:hint="eastAsia" w:eastAsia="仿宋" w:cs="Times New Roman"/>
                      <w:color w:val="auto"/>
                      <w:sz w:val="21"/>
                      <w:szCs w:val="21"/>
                      <w:highlight w:val="none"/>
                      <w:lang w:eastAsia="zh-CN"/>
                    </w:rPr>
                    <w:t>（</w:t>
                  </w:r>
                  <w:r>
                    <w:rPr>
                      <w:rFonts w:hint="eastAsia" w:eastAsia="仿宋" w:cs="Times New Roman"/>
                      <w:color w:val="auto"/>
                      <w:sz w:val="21"/>
                      <w:szCs w:val="21"/>
                      <w:highlight w:val="none"/>
                      <w:lang w:val="en-US" w:eastAsia="zh-CN"/>
                    </w:rPr>
                    <w:t>2</w:t>
                  </w:r>
                  <w:r>
                    <w:rPr>
                      <w:rFonts w:hint="eastAsia" w:eastAsia="仿宋" w:cs="Times New Roman"/>
                      <w:color w:val="auto"/>
                      <w:sz w:val="21"/>
                      <w:szCs w:val="21"/>
                      <w:highlight w:val="none"/>
                      <w:lang w:eastAsia="zh-CN"/>
                    </w:rPr>
                    <w:t>）强化餐饮油烟治理，加强噪声污染防治，严格施工扬尘监管，加强土壤和地下水水污染防治与修复。</w:t>
                  </w:r>
                </w:p>
              </w:tc>
              <w:tc>
                <w:tcPr>
                  <w:tcW w:w="1522" w:type="pct"/>
                  <w:vAlign w:val="center"/>
                </w:tcPr>
                <w:p w14:paraId="7F421EC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本项目按要求进行总量平衡，运营期排放量不超过申请量</w:t>
                  </w:r>
                  <w:r>
                    <w:rPr>
                      <w:rFonts w:hint="eastAsia" w:eastAsia="仿宋" w:cs="Times New Roman"/>
                      <w:color w:val="auto"/>
                      <w:sz w:val="21"/>
                      <w:szCs w:val="21"/>
                      <w:highlight w:val="none"/>
                      <w:lang w:eastAsia="zh-CN"/>
                    </w:rPr>
                    <w:t>，</w:t>
                  </w:r>
                  <w:r>
                    <w:rPr>
                      <w:rFonts w:hint="eastAsia" w:eastAsia="仿宋" w:cs="Times New Roman"/>
                      <w:color w:val="auto"/>
                      <w:sz w:val="21"/>
                      <w:szCs w:val="21"/>
                      <w:highlight w:val="none"/>
                      <w:lang w:val="en-US" w:eastAsia="zh-CN"/>
                    </w:rPr>
                    <w:t>本项目强化餐饮油烟，施工期严格执行施工规范，加强对扬尘及噪声的防治措施及现场管理</w:t>
                  </w:r>
                  <w:r>
                    <w:rPr>
                      <w:rFonts w:hint="default" w:ascii="Times New Roman" w:hAnsi="Times New Roman" w:eastAsia="仿宋" w:cs="Times New Roman"/>
                      <w:color w:val="auto"/>
                      <w:sz w:val="21"/>
                      <w:szCs w:val="21"/>
                      <w:highlight w:val="none"/>
                    </w:rPr>
                    <w:t>。</w:t>
                  </w:r>
                </w:p>
              </w:tc>
              <w:tc>
                <w:tcPr>
                  <w:tcW w:w="524" w:type="pct"/>
                  <w:vAlign w:val="center"/>
                </w:tcPr>
                <w:p w14:paraId="1BE4786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2506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41186DC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环境风险防控</w:t>
                  </w:r>
                </w:p>
              </w:tc>
              <w:tc>
                <w:tcPr>
                  <w:tcW w:w="2195" w:type="pct"/>
                  <w:vAlign w:val="center"/>
                </w:tcPr>
                <w:p w14:paraId="72338D0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合理布局工业、商业、居住、科教等功能区块，严格控制噪声、恶臭、油烟等污染排放较大的建设项目布局。</w:t>
                  </w:r>
                </w:p>
              </w:tc>
              <w:tc>
                <w:tcPr>
                  <w:tcW w:w="1522" w:type="pct"/>
                  <w:vAlign w:val="center"/>
                </w:tcPr>
                <w:p w14:paraId="3AA68BC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本项目施工过程制定风险防范措施，加强现场管理</w:t>
                  </w:r>
                  <w:r>
                    <w:rPr>
                      <w:rFonts w:hint="eastAsia" w:eastAsia="仿宋" w:cs="Times New Roman"/>
                      <w:color w:val="auto"/>
                      <w:sz w:val="21"/>
                      <w:szCs w:val="21"/>
                      <w:highlight w:val="none"/>
                      <w:lang w:eastAsia="zh-CN"/>
                    </w:rPr>
                    <w:t>；</w:t>
                  </w:r>
                  <w:r>
                    <w:rPr>
                      <w:rFonts w:hint="eastAsia" w:eastAsia="仿宋" w:cs="Times New Roman"/>
                      <w:color w:val="auto"/>
                      <w:sz w:val="21"/>
                      <w:szCs w:val="21"/>
                      <w:highlight w:val="none"/>
                      <w:lang w:val="en-US" w:eastAsia="zh-CN"/>
                    </w:rPr>
                    <w:t>合理布局</w:t>
                  </w:r>
                  <w:r>
                    <w:rPr>
                      <w:rFonts w:hint="default" w:ascii="Times New Roman" w:hAnsi="Times New Roman" w:eastAsia="仿宋" w:cs="Times New Roman"/>
                      <w:color w:val="auto"/>
                      <w:sz w:val="21"/>
                      <w:szCs w:val="21"/>
                      <w:highlight w:val="none"/>
                    </w:rPr>
                    <w:t>。</w:t>
                  </w:r>
                </w:p>
              </w:tc>
              <w:tc>
                <w:tcPr>
                  <w:tcW w:w="524" w:type="pct"/>
                  <w:vAlign w:val="center"/>
                </w:tcPr>
                <w:p w14:paraId="2B75E38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6018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6E989D2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资源开发效率要求</w:t>
                  </w:r>
                </w:p>
              </w:tc>
              <w:tc>
                <w:tcPr>
                  <w:tcW w:w="2195" w:type="pct"/>
                  <w:vAlign w:val="center"/>
                </w:tcPr>
                <w:p w14:paraId="33FF9FC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全面开展节水型社会建设，推进节水产品推广普及，限制高耗水服务业用水。</w:t>
                  </w:r>
                </w:p>
              </w:tc>
              <w:tc>
                <w:tcPr>
                  <w:tcW w:w="1522" w:type="pct"/>
                  <w:vAlign w:val="center"/>
                </w:tcPr>
                <w:p w14:paraId="3798EE5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本项目使用电</w:t>
                  </w:r>
                  <w:r>
                    <w:rPr>
                      <w:rFonts w:hint="eastAsia"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水</w:t>
                  </w:r>
                  <w:r>
                    <w:rPr>
                      <w:rFonts w:hint="eastAsia" w:ascii="Times New Roman" w:hAnsi="Times New Roman" w:eastAsia="仿宋" w:cs="Times New Roman"/>
                      <w:color w:val="auto"/>
                      <w:sz w:val="21"/>
                      <w:szCs w:val="21"/>
                      <w:highlight w:val="none"/>
                      <w:lang w:val="en-US" w:eastAsia="zh-CN"/>
                    </w:rPr>
                    <w:t>及天然气</w:t>
                  </w:r>
                  <w:r>
                    <w:rPr>
                      <w:rFonts w:hint="default" w:ascii="Times New Roman" w:hAnsi="Times New Roman" w:eastAsia="仿宋" w:cs="Times New Roman"/>
                      <w:color w:val="auto"/>
                      <w:sz w:val="21"/>
                      <w:szCs w:val="21"/>
                      <w:highlight w:val="none"/>
                    </w:rPr>
                    <w:t>为能源。</w:t>
                  </w:r>
                  <w:r>
                    <w:rPr>
                      <w:rFonts w:hint="eastAsia" w:eastAsia="仿宋" w:cs="Times New Roman"/>
                      <w:color w:val="auto"/>
                      <w:sz w:val="21"/>
                      <w:szCs w:val="21"/>
                      <w:highlight w:val="none"/>
                      <w:lang w:val="en-US" w:eastAsia="zh-CN"/>
                    </w:rPr>
                    <w:t>不涉及高耗水服务业</w:t>
                  </w:r>
                  <w:r>
                    <w:rPr>
                      <w:rFonts w:hint="default" w:ascii="Times New Roman" w:hAnsi="Times New Roman" w:eastAsia="仿宋" w:cs="Times New Roman"/>
                      <w:color w:val="auto"/>
                      <w:sz w:val="21"/>
                      <w:szCs w:val="21"/>
                      <w:highlight w:val="none"/>
                    </w:rPr>
                    <w:t>。</w:t>
                  </w:r>
                </w:p>
              </w:tc>
              <w:tc>
                <w:tcPr>
                  <w:tcW w:w="524" w:type="pct"/>
                  <w:vAlign w:val="center"/>
                </w:tcPr>
                <w:p w14:paraId="4361302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bl>
          <w:p w14:paraId="6451A91D">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（3）与《江苏省2023年度生态环境分区管控动态更新成果》对照分析</w:t>
            </w:r>
          </w:p>
          <w:p w14:paraId="1BB08717">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Times New Roman" w:hAnsi="Times New Roman" w:eastAsia="仿宋" w:cs="Times New Roman"/>
                <w:color w:val="auto"/>
                <w:highlight w:val="none"/>
                <w:lang w:eastAsia="zh-CN"/>
              </w:rPr>
            </w:pPr>
            <w:r>
              <w:rPr>
                <w:rFonts w:hint="eastAsia" w:ascii="Times New Roman" w:hAnsi="Times New Roman" w:eastAsia="仿宋" w:cs="Times New Roman"/>
                <w:color w:val="auto"/>
                <w:kern w:val="0"/>
                <w:sz w:val="21"/>
                <w:szCs w:val="21"/>
                <w:highlight w:val="none"/>
              </w:rPr>
              <w:t>按照</w:t>
            </w:r>
            <w:r>
              <w:rPr>
                <w:rFonts w:hint="eastAsia" w:ascii="Times New Roman" w:hAnsi="Times New Roman" w:eastAsia="仿宋" w:cs="Times New Roman"/>
                <w:color w:val="auto"/>
                <w:highlight w:val="none"/>
              </w:rPr>
              <w:t>生态环境部《2023年生态环境分区管控成果动态更新工作方案》（环办环评函</w:t>
            </w:r>
            <w:r>
              <w:rPr>
                <w:rFonts w:hint="eastAsia" w:ascii="Times New Roman" w:hAnsi="Times New Roman" w:eastAsia="仿宋" w:cs="Times New Roman"/>
                <w:color w:val="auto"/>
                <w:highlight w:val="none"/>
                <w:lang w:val="en-US" w:eastAsia="zh-CN"/>
              </w:rPr>
              <w:t>[</w:t>
            </w:r>
            <w:r>
              <w:rPr>
                <w:rFonts w:hint="eastAsia" w:ascii="Times New Roman" w:hAnsi="Times New Roman" w:eastAsia="仿宋" w:cs="Times New Roman"/>
                <w:color w:val="auto"/>
                <w:highlight w:val="none"/>
              </w:rPr>
              <w:t>2023</w:t>
            </w:r>
            <w:r>
              <w:rPr>
                <w:rFonts w:hint="eastAsia" w:ascii="Times New Roman" w:hAnsi="Times New Roman" w:eastAsia="仿宋" w:cs="Times New Roman"/>
                <w:color w:val="auto"/>
                <w:highlight w:val="none"/>
                <w:lang w:val="en-US" w:eastAsia="zh-CN"/>
              </w:rPr>
              <w:t>]</w:t>
            </w:r>
            <w:r>
              <w:rPr>
                <w:rFonts w:hint="eastAsia" w:ascii="Times New Roman" w:hAnsi="Times New Roman" w:eastAsia="仿宋" w:cs="Times New Roman"/>
                <w:color w:val="auto"/>
                <w:highlight w:val="none"/>
              </w:rPr>
              <w:t>81号）要求，</w:t>
            </w:r>
            <w:r>
              <w:rPr>
                <w:rFonts w:hint="eastAsia" w:ascii="Times New Roman" w:hAnsi="Times New Roman" w:eastAsia="仿宋" w:cs="Times New Roman"/>
                <w:color w:val="auto"/>
                <w:highlight w:val="none"/>
                <w:lang w:val="en-US" w:eastAsia="zh-CN"/>
              </w:rPr>
              <w:t>江苏省</w:t>
            </w:r>
            <w:r>
              <w:rPr>
                <w:rFonts w:hint="eastAsia" w:ascii="Times New Roman" w:hAnsi="Times New Roman" w:eastAsia="仿宋" w:cs="Times New Roman"/>
                <w:color w:val="auto"/>
                <w:highlight w:val="none"/>
              </w:rPr>
              <w:t>开展了生态环境分区管控成果动态更新工作，更新成果已经省人民政府同意并报生态环境部备案，</w:t>
            </w:r>
            <w:r>
              <w:rPr>
                <w:rFonts w:hint="eastAsia" w:ascii="Times New Roman" w:hAnsi="Times New Roman" w:eastAsia="仿宋" w:cs="Times New Roman"/>
                <w:color w:val="auto"/>
                <w:highlight w:val="none"/>
                <w:lang w:val="en-US" w:eastAsia="zh-CN"/>
              </w:rPr>
              <w:t>具体要求见下表</w:t>
            </w:r>
            <w:r>
              <w:rPr>
                <w:rFonts w:hint="eastAsia" w:ascii="Times New Roman" w:hAnsi="Times New Roman" w:eastAsia="仿宋" w:cs="Times New Roman"/>
                <w:color w:val="auto"/>
                <w:highlight w:val="none"/>
              </w:rPr>
              <w:t>。</w:t>
            </w:r>
          </w:p>
          <w:p w14:paraId="5980734E">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kern w:val="2"/>
                <w:sz w:val="21"/>
                <w:szCs w:val="21"/>
                <w:highlight w:val="none"/>
                <w:lang w:val="en-US" w:eastAsia="zh-CN" w:bidi="ar-SA"/>
              </w:rPr>
              <w:t>表1-</w:t>
            </w:r>
            <w:r>
              <w:rPr>
                <w:rFonts w:hint="eastAsia" w:ascii="Times New Roman" w:eastAsia="仿宋" w:cs="Times New Roman"/>
                <w:b/>
                <w:bCs/>
                <w:color w:val="auto"/>
                <w:kern w:val="2"/>
                <w:sz w:val="21"/>
                <w:szCs w:val="21"/>
                <w:highlight w:val="none"/>
                <w:lang w:val="en-US" w:eastAsia="zh-CN" w:bidi="ar-SA"/>
              </w:rPr>
              <w:t>3</w:t>
            </w:r>
            <w:r>
              <w:rPr>
                <w:rFonts w:hint="eastAsia" w:ascii="Times New Roman" w:hAnsi="Times New Roman" w:eastAsia="仿宋" w:cs="Times New Roman"/>
                <w:b/>
                <w:bCs/>
                <w:color w:val="auto"/>
                <w:kern w:val="2"/>
                <w:sz w:val="21"/>
                <w:szCs w:val="21"/>
                <w:highlight w:val="none"/>
                <w:lang w:val="en-US" w:eastAsia="zh-CN" w:bidi="ar-SA"/>
              </w:rPr>
              <w:t xml:space="preserve"> 与江苏省省域生态环境管控要求相符性分析</w:t>
            </w:r>
          </w:p>
          <w:tbl>
            <w:tblPr>
              <w:tblStyle w:val="32"/>
              <w:tblW w:w="4998" w:type="pct"/>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3671"/>
              <w:gridCol w:w="1678"/>
              <w:gridCol w:w="904"/>
            </w:tblGrid>
            <w:tr w14:paraId="4FC4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pct"/>
                  <w:tcBorders>
                    <w:tl2br w:val="nil"/>
                    <w:tr2bl w:val="nil"/>
                  </w:tcBorders>
                  <w:noWrap w:val="0"/>
                  <w:vAlign w:val="center"/>
                </w:tcPr>
                <w:p w14:paraId="62F5F303">
                  <w:pPr>
                    <w:autoSpaceDE w:val="0"/>
                    <w:autoSpaceDN w:val="0"/>
                    <w:adjustRightInd w:val="0"/>
                    <w:snapToGrid w:val="0"/>
                    <w:jc w:val="center"/>
                    <w:rPr>
                      <w:rFonts w:eastAsia="仿宋"/>
                      <w:b/>
                      <w:bCs/>
                      <w:kern w:val="0"/>
                      <w:szCs w:val="21"/>
                    </w:rPr>
                  </w:pPr>
                  <w:r>
                    <w:rPr>
                      <w:rFonts w:eastAsia="仿宋"/>
                      <w:b/>
                      <w:bCs/>
                      <w:kern w:val="0"/>
                      <w:szCs w:val="21"/>
                    </w:rPr>
                    <w:t>内容</w:t>
                  </w:r>
                </w:p>
              </w:tc>
              <w:tc>
                <w:tcPr>
                  <w:tcW w:w="2584" w:type="pct"/>
                  <w:tcBorders>
                    <w:tl2br w:val="nil"/>
                    <w:tr2bl w:val="nil"/>
                  </w:tcBorders>
                  <w:noWrap w:val="0"/>
                  <w:vAlign w:val="center"/>
                </w:tcPr>
                <w:p w14:paraId="39877BA4">
                  <w:pPr>
                    <w:autoSpaceDE w:val="0"/>
                    <w:autoSpaceDN w:val="0"/>
                    <w:adjustRightInd w:val="0"/>
                    <w:snapToGrid w:val="0"/>
                    <w:jc w:val="center"/>
                    <w:rPr>
                      <w:rFonts w:eastAsia="仿宋"/>
                      <w:b/>
                      <w:bCs/>
                      <w:kern w:val="0"/>
                      <w:szCs w:val="21"/>
                    </w:rPr>
                  </w:pPr>
                  <w:r>
                    <w:rPr>
                      <w:rFonts w:hint="eastAsia" w:eastAsia="仿宋"/>
                      <w:b/>
                      <w:bCs/>
                      <w:kern w:val="0"/>
                      <w:szCs w:val="21"/>
                      <w:lang w:val="en-US" w:eastAsia="zh-CN"/>
                    </w:rPr>
                    <w:t>重点</w:t>
                  </w:r>
                  <w:r>
                    <w:rPr>
                      <w:rFonts w:hint="eastAsia" w:eastAsia="仿宋"/>
                      <w:b/>
                      <w:bCs/>
                      <w:kern w:val="0"/>
                      <w:szCs w:val="21"/>
                    </w:rPr>
                    <w:t>管控要求</w:t>
                  </w:r>
                </w:p>
              </w:tc>
              <w:tc>
                <w:tcPr>
                  <w:tcW w:w="1181" w:type="pct"/>
                  <w:tcBorders>
                    <w:tl2br w:val="nil"/>
                    <w:tr2bl w:val="nil"/>
                  </w:tcBorders>
                  <w:noWrap w:val="0"/>
                  <w:vAlign w:val="center"/>
                </w:tcPr>
                <w:p w14:paraId="05B5D27A">
                  <w:pPr>
                    <w:autoSpaceDE w:val="0"/>
                    <w:autoSpaceDN w:val="0"/>
                    <w:adjustRightInd w:val="0"/>
                    <w:snapToGrid w:val="0"/>
                    <w:jc w:val="center"/>
                    <w:rPr>
                      <w:rFonts w:eastAsia="仿宋"/>
                      <w:b/>
                      <w:bCs/>
                      <w:kern w:val="0"/>
                      <w:szCs w:val="21"/>
                    </w:rPr>
                  </w:pPr>
                  <w:r>
                    <w:rPr>
                      <w:rFonts w:hint="eastAsia" w:eastAsia="仿宋"/>
                      <w:b/>
                      <w:bCs/>
                      <w:kern w:val="0"/>
                      <w:szCs w:val="21"/>
                    </w:rPr>
                    <w:t>对照简析</w:t>
                  </w:r>
                </w:p>
              </w:tc>
              <w:tc>
                <w:tcPr>
                  <w:tcW w:w="636" w:type="pct"/>
                  <w:tcBorders>
                    <w:tl2br w:val="nil"/>
                    <w:tr2bl w:val="nil"/>
                  </w:tcBorders>
                  <w:noWrap w:val="0"/>
                  <w:vAlign w:val="center"/>
                </w:tcPr>
                <w:p w14:paraId="3AE95FD3">
                  <w:pPr>
                    <w:autoSpaceDE w:val="0"/>
                    <w:autoSpaceDN w:val="0"/>
                    <w:adjustRightInd w:val="0"/>
                    <w:snapToGrid w:val="0"/>
                    <w:jc w:val="center"/>
                    <w:rPr>
                      <w:rFonts w:hint="eastAsia" w:eastAsia="仿宋"/>
                      <w:b/>
                      <w:bCs/>
                      <w:kern w:val="0"/>
                      <w:szCs w:val="21"/>
                      <w:lang w:eastAsia="zh-CN"/>
                    </w:rPr>
                  </w:pPr>
                  <w:r>
                    <w:rPr>
                      <w:rFonts w:hint="eastAsia" w:eastAsia="仿宋"/>
                      <w:b/>
                      <w:bCs/>
                      <w:kern w:val="0"/>
                      <w:szCs w:val="21"/>
                    </w:rPr>
                    <w:t>是否</w:t>
                  </w:r>
                  <w:r>
                    <w:rPr>
                      <w:rFonts w:hint="eastAsia" w:eastAsia="仿宋"/>
                      <w:b/>
                      <w:bCs/>
                      <w:kern w:val="0"/>
                      <w:szCs w:val="21"/>
                      <w:lang w:val="en-US" w:eastAsia="zh-CN"/>
                    </w:rPr>
                    <w:t>相符</w:t>
                  </w:r>
                </w:p>
              </w:tc>
            </w:tr>
            <w:tr w14:paraId="1434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pct"/>
                  <w:tcBorders>
                    <w:tl2br w:val="nil"/>
                    <w:tr2bl w:val="nil"/>
                  </w:tcBorders>
                  <w:noWrap w:val="0"/>
                  <w:vAlign w:val="center"/>
                </w:tcPr>
                <w:p w14:paraId="7E983EC4">
                  <w:pPr>
                    <w:autoSpaceDE w:val="0"/>
                    <w:autoSpaceDN w:val="0"/>
                    <w:adjustRightInd w:val="0"/>
                    <w:snapToGrid w:val="0"/>
                    <w:jc w:val="center"/>
                    <w:rPr>
                      <w:rFonts w:eastAsia="仿宋"/>
                      <w:kern w:val="0"/>
                      <w:szCs w:val="21"/>
                    </w:rPr>
                  </w:pPr>
                  <w:r>
                    <w:rPr>
                      <w:rFonts w:hint="eastAsia" w:ascii="仿宋" w:hAnsi="仿宋" w:eastAsia="仿宋" w:cs="仿宋"/>
                    </w:rPr>
                    <w:t>空间布局约束</w:t>
                  </w:r>
                </w:p>
              </w:tc>
              <w:tc>
                <w:tcPr>
                  <w:tcW w:w="2584" w:type="pct"/>
                  <w:tcBorders>
                    <w:tl2br w:val="nil"/>
                    <w:tr2bl w:val="nil"/>
                  </w:tcBorders>
                  <w:noWrap w:val="0"/>
                  <w:vAlign w:val="center"/>
                </w:tcPr>
                <w:p w14:paraId="6F2A5D53">
                  <w:pPr>
                    <w:autoSpaceDE w:val="0"/>
                    <w:autoSpaceDN w:val="0"/>
                    <w:adjustRightInd w:val="0"/>
                    <w:snapToGrid w:val="0"/>
                    <w:jc w:val="both"/>
                    <w:rPr>
                      <w:rFonts w:hint="eastAsia" w:eastAsia="仿宋"/>
                      <w:kern w:val="0"/>
                      <w:szCs w:val="21"/>
                    </w:rPr>
                  </w:pPr>
                  <w:r>
                    <w:rPr>
                      <w:rFonts w:hint="eastAsia" w:eastAsia="仿宋"/>
                      <w:kern w:val="0"/>
                      <w:szCs w:val="21"/>
                    </w:rPr>
                    <w:t>1．按照《自然资源部生态环境部国家林业和草原局关于加强生态保护红线管理的通知（试行）》（自然资发</w:t>
                  </w:r>
                  <w:r>
                    <w:rPr>
                      <w:rFonts w:hint="eastAsia" w:eastAsia="仿宋"/>
                      <w:kern w:val="0"/>
                      <w:szCs w:val="21"/>
                      <w:lang w:eastAsia="zh-CN"/>
                    </w:rPr>
                    <w:t>[</w:t>
                  </w:r>
                  <w:r>
                    <w:rPr>
                      <w:rFonts w:hint="eastAsia" w:eastAsia="仿宋"/>
                      <w:kern w:val="0"/>
                      <w:szCs w:val="21"/>
                    </w:rPr>
                    <w:t>2022</w:t>
                  </w:r>
                  <w:r>
                    <w:rPr>
                      <w:rFonts w:hint="eastAsia" w:eastAsia="仿宋"/>
                      <w:kern w:val="0"/>
                      <w:szCs w:val="21"/>
                      <w:lang w:eastAsia="zh-CN"/>
                    </w:rPr>
                    <w:t>]</w:t>
                  </w:r>
                  <w:r>
                    <w:rPr>
                      <w:rFonts w:hint="eastAsia" w:eastAsia="仿宋"/>
                      <w:kern w:val="0"/>
                      <w:szCs w:val="21"/>
                    </w:rPr>
                    <w:t>142号）、《省政府关于印发江苏省生态空间管控区域规划的通知》（苏政发</w:t>
                  </w:r>
                  <w:r>
                    <w:rPr>
                      <w:rFonts w:hint="eastAsia" w:eastAsia="仿宋"/>
                      <w:kern w:val="0"/>
                      <w:szCs w:val="21"/>
                      <w:lang w:eastAsia="zh-CN"/>
                    </w:rPr>
                    <w:t>[</w:t>
                  </w:r>
                  <w:r>
                    <w:rPr>
                      <w:rFonts w:hint="eastAsia" w:eastAsia="仿宋"/>
                      <w:kern w:val="0"/>
                      <w:szCs w:val="21"/>
                    </w:rPr>
                    <w:t>2020</w:t>
                  </w:r>
                  <w:r>
                    <w:rPr>
                      <w:rFonts w:hint="eastAsia" w:eastAsia="仿宋"/>
                      <w:kern w:val="0"/>
                      <w:szCs w:val="21"/>
                      <w:lang w:eastAsia="zh-CN"/>
                    </w:rPr>
                    <w:t>]</w:t>
                  </w:r>
                  <w:r>
                    <w:rPr>
                      <w:rFonts w:hint="eastAsia" w:eastAsia="仿宋"/>
                      <w:kern w:val="0"/>
                      <w:szCs w:val="21"/>
                    </w:rPr>
                    <w:t>1号）、《关于进一步加强生态保护红线监督管理的通知》（苏自然函（2023）880号）、《江苏省国土空间规划（2021</w:t>
                  </w:r>
                  <w:r>
                    <w:rPr>
                      <w:rFonts w:hint="eastAsia" w:eastAsia="仿宋"/>
                      <w:kern w:val="0"/>
                      <w:szCs w:val="21"/>
                      <w:lang w:val="en-US" w:eastAsia="zh-CN"/>
                    </w:rPr>
                    <w:t>-</w:t>
                  </w:r>
                  <w:r>
                    <w:rPr>
                      <w:rFonts w:hint="eastAsia" w:eastAsia="仿宋"/>
                      <w:kern w:val="0"/>
                      <w:szCs w:val="21"/>
                    </w:rPr>
                    <w:t>2035年）》（国函</w:t>
                  </w:r>
                  <w:r>
                    <w:rPr>
                      <w:rFonts w:hint="eastAsia" w:eastAsia="仿宋"/>
                      <w:kern w:val="0"/>
                      <w:szCs w:val="21"/>
                      <w:lang w:eastAsia="zh-CN"/>
                    </w:rPr>
                    <w:t>[</w:t>
                  </w:r>
                  <w:r>
                    <w:rPr>
                      <w:rFonts w:hint="eastAsia" w:eastAsia="仿宋"/>
                      <w:kern w:val="0"/>
                      <w:szCs w:val="21"/>
                    </w:rPr>
                    <w:t>2023</w:t>
                  </w:r>
                  <w:r>
                    <w:rPr>
                      <w:rFonts w:hint="eastAsia" w:eastAsia="仿宋"/>
                      <w:kern w:val="0"/>
                      <w:szCs w:val="21"/>
                      <w:lang w:eastAsia="zh-CN"/>
                    </w:rPr>
                    <w:t>]</w:t>
                  </w:r>
                  <w:r>
                    <w:rPr>
                      <w:rFonts w:hint="eastAsia" w:eastAsia="仿宋"/>
                      <w:kern w:val="0"/>
                      <w:szCs w:val="21"/>
                    </w:rPr>
                    <w:t>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161DB784">
                  <w:pPr>
                    <w:numPr>
                      <w:ilvl w:val="0"/>
                      <w:numId w:val="3"/>
                    </w:numPr>
                    <w:autoSpaceDE w:val="0"/>
                    <w:autoSpaceDN w:val="0"/>
                    <w:adjustRightInd w:val="0"/>
                    <w:snapToGrid w:val="0"/>
                    <w:jc w:val="both"/>
                    <w:rPr>
                      <w:rFonts w:hint="eastAsia" w:eastAsia="仿宋"/>
                      <w:kern w:val="0"/>
                      <w:szCs w:val="21"/>
                    </w:rPr>
                  </w:pPr>
                  <w:r>
                    <w:rPr>
                      <w:rFonts w:hint="eastAsia" w:eastAsia="仿宋"/>
                      <w:kern w:val="0"/>
                      <w:szCs w:val="21"/>
                    </w:rPr>
                    <w:t>牢牢把握推动长江经济带发展“共抓大保护，不搞大开发”战略导向，对省域范围内需要重点保护的岸线、河段和区域实行严格管控，管住控好排放量大、耗能高、产能过剩的产业，推动长江经济带高质量发展。</w:t>
                  </w:r>
                </w:p>
                <w:p w14:paraId="5EF0D22C">
                  <w:pPr>
                    <w:numPr>
                      <w:ilvl w:val="0"/>
                      <w:numId w:val="3"/>
                    </w:numPr>
                    <w:autoSpaceDE w:val="0"/>
                    <w:autoSpaceDN w:val="0"/>
                    <w:adjustRightInd w:val="0"/>
                    <w:snapToGrid w:val="0"/>
                    <w:ind w:left="0" w:leftChars="0" w:firstLine="0" w:firstLineChars="0"/>
                    <w:jc w:val="both"/>
                    <w:rPr>
                      <w:rFonts w:hint="eastAsia" w:eastAsia="仿宋"/>
                      <w:kern w:val="0"/>
                      <w:szCs w:val="21"/>
                    </w:rPr>
                  </w:pPr>
                  <w:r>
                    <w:rPr>
                      <w:rFonts w:hint="eastAsia" w:eastAsia="仿宋"/>
                      <w:kern w:val="0"/>
                      <w:szCs w:val="21"/>
                    </w:rPr>
                    <w:t>大幅压减沿长江干支流两侧1公里范围内、环境敏感区域、城镇人口密集区、化工园区外和规模以下化工生产企业，着力破解“重化围江”突出问题，高起点同步推进沿江地区战略性转型和沿海地区战略性布局。</w:t>
                  </w:r>
                </w:p>
                <w:p w14:paraId="397267B1">
                  <w:pPr>
                    <w:numPr>
                      <w:ilvl w:val="0"/>
                      <w:numId w:val="3"/>
                    </w:numPr>
                    <w:autoSpaceDE w:val="0"/>
                    <w:autoSpaceDN w:val="0"/>
                    <w:adjustRightInd w:val="0"/>
                    <w:snapToGrid w:val="0"/>
                    <w:ind w:left="0" w:leftChars="0" w:firstLine="0" w:firstLineChars="0"/>
                    <w:jc w:val="both"/>
                    <w:rPr>
                      <w:rFonts w:hint="eastAsia" w:eastAsia="仿宋"/>
                      <w:kern w:val="0"/>
                      <w:szCs w:val="21"/>
                    </w:rPr>
                  </w:pPr>
                  <w:r>
                    <w:rPr>
                      <w:rFonts w:hint="eastAsia" w:eastAsia="仿宋"/>
                      <w:kern w:val="0"/>
                      <w:szCs w:val="21"/>
                    </w:rPr>
                    <w:t>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0D5FD78F">
                  <w:pPr>
                    <w:numPr>
                      <w:ilvl w:val="0"/>
                      <w:numId w:val="0"/>
                    </w:numPr>
                    <w:autoSpaceDE w:val="0"/>
                    <w:autoSpaceDN w:val="0"/>
                    <w:adjustRightInd w:val="0"/>
                    <w:snapToGrid w:val="0"/>
                    <w:ind w:leftChars="0"/>
                    <w:jc w:val="both"/>
                    <w:rPr>
                      <w:rFonts w:hint="eastAsia" w:eastAsia="仿宋"/>
                      <w:kern w:val="0"/>
                      <w:szCs w:val="21"/>
                    </w:rPr>
                  </w:pPr>
                  <w:r>
                    <w:rPr>
                      <w:rFonts w:hint="eastAsia" w:eastAsia="仿宋"/>
                      <w:kern w:val="0"/>
                      <w:szCs w:val="21"/>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r>
                    <w:rPr>
                      <w:rFonts w:hint="eastAsia" w:eastAsia="仿宋"/>
                      <w:kern w:val="0"/>
                      <w:szCs w:val="21"/>
                      <w:lang w:eastAsia="zh-CN"/>
                    </w:rPr>
                    <w:t>。</w:t>
                  </w:r>
                </w:p>
              </w:tc>
              <w:tc>
                <w:tcPr>
                  <w:tcW w:w="1181" w:type="pct"/>
                  <w:tcBorders>
                    <w:tl2br w:val="nil"/>
                    <w:tr2bl w:val="nil"/>
                  </w:tcBorders>
                  <w:noWrap w:val="0"/>
                  <w:vAlign w:val="center"/>
                </w:tcPr>
                <w:p w14:paraId="49039D4B">
                  <w:pPr>
                    <w:autoSpaceDE w:val="0"/>
                    <w:autoSpaceDN w:val="0"/>
                    <w:adjustRightInd w:val="0"/>
                    <w:snapToGrid w:val="0"/>
                    <w:jc w:val="center"/>
                    <w:rPr>
                      <w:rFonts w:hint="default" w:eastAsia="仿宋"/>
                      <w:kern w:val="0"/>
                      <w:szCs w:val="21"/>
                      <w:lang w:val="en-US"/>
                    </w:rPr>
                  </w:pPr>
                  <w:r>
                    <w:rPr>
                      <w:rFonts w:hint="eastAsia" w:eastAsia="仿宋"/>
                      <w:kern w:val="0"/>
                      <w:szCs w:val="21"/>
                    </w:rPr>
                    <w:t>本项目</w:t>
                  </w:r>
                  <w:r>
                    <w:rPr>
                      <w:rFonts w:hint="eastAsia" w:eastAsia="仿宋"/>
                      <w:kern w:val="0"/>
                      <w:szCs w:val="21"/>
                      <w:lang w:val="en-US" w:eastAsia="zh-CN"/>
                    </w:rPr>
                    <w:t>不涉及生态保护红线、不属于沿江化工项目、不属于钢铁行业。</w:t>
                  </w:r>
                </w:p>
              </w:tc>
              <w:tc>
                <w:tcPr>
                  <w:tcW w:w="636" w:type="pct"/>
                  <w:tcBorders>
                    <w:tl2br w:val="nil"/>
                    <w:tr2bl w:val="nil"/>
                  </w:tcBorders>
                  <w:noWrap w:val="0"/>
                  <w:vAlign w:val="center"/>
                </w:tcPr>
                <w:p w14:paraId="5E96C75A">
                  <w:pPr>
                    <w:autoSpaceDE w:val="0"/>
                    <w:autoSpaceDN w:val="0"/>
                    <w:adjustRightInd w:val="0"/>
                    <w:snapToGrid w:val="0"/>
                    <w:jc w:val="center"/>
                    <w:rPr>
                      <w:rFonts w:eastAsia="仿宋"/>
                      <w:kern w:val="0"/>
                      <w:szCs w:val="21"/>
                    </w:rPr>
                  </w:pPr>
                  <w:r>
                    <w:rPr>
                      <w:rFonts w:hint="eastAsia" w:eastAsia="仿宋"/>
                      <w:kern w:val="0"/>
                      <w:szCs w:val="21"/>
                    </w:rPr>
                    <w:t>是</w:t>
                  </w:r>
                </w:p>
              </w:tc>
            </w:tr>
            <w:tr w14:paraId="63F1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pct"/>
                  <w:tcBorders>
                    <w:tl2br w:val="nil"/>
                    <w:tr2bl w:val="nil"/>
                  </w:tcBorders>
                  <w:noWrap w:val="0"/>
                  <w:vAlign w:val="center"/>
                </w:tcPr>
                <w:p w14:paraId="40AC82F1">
                  <w:pPr>
                    <w:autoSpaceDE w:val="0"/>
                    <w:autoSpaceDN w:val="0"/>
                    <w:adjustRightInd w:val="0"/>
                    <w:snapToGrid w:val="0"/>
                    <w:jc w:val="center"/>
                    <w:rPr>
                      <w:rFonts w:eastAsia="仿宋"/>
                      <w:kern w:val="0"/>
                      <w:szCs w:val="21"/>
                    </w:rPr>
                  </w:pPr>
                  <w:r>
                    <w:rPr>
                      <w:rFonts w:hint="eastAsia" w:eastAsia="仿宋"/>
                      <w:kern w:val="0"/>
                      <w:szCs w:val="21"/>
                    </w:rPr>
                    <w:t>污染物排放管控</w:t>
                  </w:r>
                </w:p>
              </w:tc>
              <w:tc>
                <w:tcPr>
                  <w:tcW w:w="2584" w:type="pct"/>
                  <w:tcBorders>
                    <w:tl2br w:val="nil"/>
                    <w:tr2bl w:val="nil"/>
                  </w:tcBorders>
                  <w:noWrap w:val="0"/>
                  <w:vAlign w:val="center"/>
                </w:tcPr>
                <w:p w14:paraId="6E7CB8A6">
                  <w:pPr>
                    <w:autoSpaceDE w:val="0"/>
                    <w:autoSpaceDN w:val="0"/>
                    <w:adjustRightInd w:val="0"/>
                    <w:snapToGrid w:val="0"/>
                    <w:rPr>
                      <w:rFonts w:hint="eastAsia" w:eastAsia="仿宋"/>
                      <w:kern w:val="0"/>
                      <w:szCs w:val="21"/>
                    </w:rPr>
                  </w:pPr>
                  <w:r>
                    <w:rPr>
                      <w:rFonts w:hint="eastAsia" w:eastAsia="仿宋"/>
                      <w:kern w:val="0"/>
                      <w:szCs w:val="21"/>
                    </w:rPr>
                    <w:t>1．坚持生态环境质量只能更好、不能变坏，实施污染物总量控制，以环境容量定产业、定项目、定规模，确保开发建设行为不突破生态环境承载力。</w:t>
                  </w:r>
                </w:p>
                <w:p w14:paraId="5E33DC56">
                  <w:pPr>
                    <w:autoSpaceDE w:val="0"/>
                    <w:autoSpaceDN w:val="0"/>
                    <w:adjustRightInd w:val="0"/>
                    <w:snapToGrid w:val="0"/>
                    <w:rPr>
                      <w:rFonts w:eastAsia="仿宋"/>
                      <w:kern w:val="0"/>
                      <w:szCs w:val="21"/>
                    </w:rPr>
                  </w:pPr>
                  <w:r>
                    <w:rPr>
                      <w:rFonts w:hint="eastAsia" w:eastAsia="仿宋"/>
                      <w:kern w:val="0"/>
                      <w:szCs w:val="21"/>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181" w:type="pct"/>
                  <w:tcBorders>
                    <w:tl2br w:val="nil"/>
                    <w:tr2bl w:val="nil"/>
                  </w:tcBorders>
                  <w:noWrap w:val="0"/>
                  <w:vAlign w:val="center"/>
                </w:tcPr>
                <w:p w14:paraId="7889DD44">
                  <w:pPr>
                    <w:autoSpaceDE w:val="0"/>
                    <w:autoSpaceDN w:val="0"/>
                    <w:adjustRightInd w:val="0"/>
                    <w:snapToGrid w:val="0"/>
                    <w:jc w:val="center"/>
                    <w:rPr>
                      <w:rFonts w:hint="default" w:eastAsia="仿宋"/>
                      <w:kern w:val="0"/>
                      <w:szCs w:val="21"/>
                      <w:lang w:val="en-US" w:eastAsia="zh-CN"/>
                    </w:rPr>
                  </w:pPr>
                  <w:r>
                    <w:rPr>
                      <w:rFonts w:hint="eastAsia" w:eastAsia="仿宋"/>
                      <w:kern w:val="0"/>
                      <w:szCs w:val="21"/>
                      <w:lang w:val="en-US" w:eastAsia="zh-CN"/>
                    </w:rPr>
                    <w:t>本项目主要能源为电、水和天然气，不涉及化石燃料，</w:t>
                  </w:r>
                  <w:r>
                    <w:rPr>
                      <w:rFonts w:hint="eastAsia" w:eastAsia="仿宋"/>
                      <w:kern w:val="0"/>
                      <w:szCs w:val="21"/>
                    </w:rPr>
                    <w:t>本项目实施总量控制</w:t>
                  </w:r>
                  <w:r>
                    <w:rPr>
                      <w:rFonts w:hint="eastAsia" w:eastAsia="仿宋"/>
                      <w:kern w:val="0"/>
                      <w:szCs w:val="21"/>
                      <w:lang w:eastAsia="zh-CN"/>
                    </w:rPr>
                    <w:t>，</w:t>
                  </w:r>
                  <w:r>
                    <w:rPr>
                      <w:rFonts w:hint="eastAsia" w:eastAsia="仿宋"/>
                      <w:kern w:val="0"/>
                      <w:szCs w:val="21"/>
                      <w:lang w:val="en-US" w:eastAsia="zh-CN"/>
                    </w:rPr>
                    <w:t>项目建设行为不会突破生态环境承载力。</w:t>
                  </w:r>
                </w:p>
              </w:tc>
              <w:tc>
                <w:tcPr>
                  <w:tcW w:w="636" w:type="pct"/>
                  <w:tcBorders>
                    <w:tl2br w:val="nil"/>
                    <w:tr2bl w:val="nil"/>
                  </w:tcBorders>
                  <w:noWrap w:val="0"/>
                  <w:vAlign w:val="center"/>
                </w:tcPr>
                <w:p w14:paraId="12E264CF">
                  <w:pPr>
                    <w:autoSpaceDE w:val="0"/>
                    <w:autoSpaceDN w:val="0"/>
                    <w:adjustRightInd w:val="0"/>
                    <w:snapToGrid w:val="0"/>
                    <w:jc w:val="center"/>
                    <w:rPr>
                      <w:rFonts w:eastAsia="仿宋"/>
                      <w:kern w:val="0"/>
                      <w:szCs w:val="21"/>
                    </w:rPr>
                  </w:pPr>
                  <w:r>
                    <w:rPr>
                      <w:rFonts w:hint="eastAsia" w:eastAsia="仿宋"/>
                      <w:kern w:val="0"/>
                      <w:szCs w:val="21"/>
                    </w:rPr>
                    <w:t>是</w:t>
                  </w:r>
                </w:p>
              </w:tc>
            </w:tr>
            <w:tr w14:paraId="77C5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pct"/>
                  <w:tcBorders>
                    <w:tl2br w:val="nil"/>
                    <w:tr2bl w:val="nil"/>
                  </w:tcBorders>
                  <w:noWrap w:val="0"/>
                  <w:vAlign w:val="center"/>
                </w:tcPr>
                <w:p w14:paraId="4B60F40E">
                  <w:pPr>
                    <w:autoSpaceDE w:val="0"/>
                    <w:autoSpaceDN w:val="0"/>
                    <w:adjustRightInd w:val="0"/>
                    <w:snapToGrid w:val="0"/>
                    <w:jc w:val="center"/>
                    <w:rPr>
                      <w:rFonts w:eastAsia="仿宋"/>
                      <w:kern w:val="0"/>
                      <w:szCs w:val="21"/>
                    </w:rPr>
                  </w:pPr>
                  <w:r>
                    <w:rPr>
                      <w:rFonts w:hint="eastAsia" w:eastAsia="仿宋"/>
                      <w:kern w:val="0"/>
                      <w:szCs w:val="21"/>
                    </w:rPr>
                    <w:t>环境风险防控</w:t>
                  </w:r>
                </w:p>
              </w:tc>
              <w:tc>
                <w:tcPr>
                  <w:tcW w:w="2584" w:type="pct"/>
                  <w:tcBorders>
                    <w:tl2br w:val="nil"/>
                    <w:tr2bl w:val="nil"/>
                  </w:tcBorders>
                  <w:noWrap w:val="0"/>
                  <w:vAlign w:val="center"/>
                </w:tcPr>
                <w:p w14:paraId="7C56F458">
                  <w:pPr>
                    <w:autoSpaceDE w:val="0"/>
                    <w:autoSpaceDN w:val="0"/>
                    <w:adjustRightInd w:val="0"/>
                    <w:snapToGrid w:val="0"/>
                    <w:rPr>
                      <w:rFonts w:hint="eastAsia" w:eastAsia="仿宋"/>
                      <w:kern w:val="0"/>
                      <w:szCs w:val="21"/>
                    </w:rPr>
                  </w:pPr>
                  <w:r>
                    <w:rPr>
                      <w:rFonts w:hint="eastAsia" w:eastAsia="仿宋"/>
                      <w:kern w:val="0"/>
                      <w:szCs w:val="21"/>
                    </w:rPr>
                    <w:t>1．强化饮用水水源环境风险管控。县级以上城市全部建成应急水源或双源供水。</w:t>
                  </w:r>
                </w:p>
                <w:p w14:paraId="5B3786B6">
                  <w:pPr>
                    <w:autoSpaceDE w:val="0"/>
                    <w:autoSpaceDN w:val="0"/>
                    <w:adjustRightInd w:val="0"/>
                    <w:snapToGrid w:val="0"/>
                    <w:rPr>
                      <w:rFonts w:hint="eastAsia" w:eastAsia="仿宋"/>
                      <w:kern w:val="0"/>
                      <w:szCs w:val="21"/>
                    </w:rPr>
                  </w:pPr>
                  <w:r>
                    <w:rPr>
                      <w:rFonts w:hint="eastAsia" w:eastAsia="仿宋"/>
                      <w:kern w:val="0"/>
                      <w:szCs w:val="21"/>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208EAEF1">
                  <w:pPr>
                    <w:autoSpaceDE w:val="0"/>
                    <w:autoSpaceDN w:val="0"/>
                    <w:adjustRightInd w:val="0"/>
                    <w:snapToGrid w:val="0"/>
                    <w:rPr>
                      <w:rFonts w:hint="eastAsia" w:eastAsia="仿宋"/>
                      <w:kern w:val="0"/>
                      <w:szCs w:val="21"/>
                    </w:rPr>
                  </w:pPr>
                  <w:r>
                    <w:rPr>
                      <w:rFonts w:hint="eastAsia" w:eastAsia="仿宋"/>
                      <w:kern w:val="0"/>
                      <w:szCs w:val="21"/>
                    </w:rPr>
                    <w:t>3．强化环境事故应急管理。深化跨部门、跨区域环境应急协调联动，分区域建立环境应急物资储备库。各级工业园区（集聚区）和企业的环境应急装备和储备物资应纳入储备体系。</w:t>
                  </w:r>
                </w:p>
                <w:p w14:paraId="7281178D">
                  <w:pPr>
                    <w:autoSpaceDE w:val="0"/>
                    <w:autoSpaceDN w:val="0"/>
                    <w:adjustRightInd w:val="0"/>
                    <w:snapToGrid w:val="0"/>
                    <w:rPr>
                      <w:rFonts w:eastAsia="仿宋"/>
                      <w:kern w:val="0"/>
                      <w:szCs w:val="21"/>
                    </w:rPr>
                  </w:pPr>
                  <w:r>
                    <w:rPr>
                      <w:rFonts w:hint="eastAsia" w:eastAsia="仿宋"/>
                      <w:kern w:val="0"/>
                      <w:szCs w:val="21"/>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181" w:type="pct"/>
                  <w:tcBorders>
                    <w:tl2br w:val="nil"/>
                    <w:tr2bl w:val="nil"/>
                  </w:tcBorders>
                  <w:noWrap w:val="0"/>
                  <w:vAlign w:val="center"/>
                </w:tcPr>
                <w:p w14:paraId="33D91115">
                  <w:pPr>
                    <w:autoSpaceDE w:val="0"/>
                    <w:autoSpaceDN w:val="0"/>
                    <w:adjustRightInd w:val="0"/>
                    <w:snapToGrid w:val="0"/>
                    <w:jc w:val="center"/>
                    <w:rPr>
                      <w:rFonts w:hint="default" w:eastAsia="仿宋"/>
                      <w:kern w:val="0"/>
                      <w:szCs w:val="21"/>
                      <w:lang w:val="en-US" w:eastAsia="zh-CN"/>
                    </w:rPr>
                  </w:pPr>
                  <w:r>
                    <w:rPr>
                      <w:rFonts w:hint="eastAsia" w:eastAsia="仿宋"/>
                      <w:kern w:val="0"/>
                      <w:szCs w:val="21"/>
                    </w:rPr>
                    <w:t>本项目</w:t>
                  </w:r>
                  <w:r>
                    <w:rPr>
                      <w:rFonts w:hint="eastAsia" w:eastAsia="仿宋"/>
                      <w:kern w:val="0"/>
                      <w:szCs w:val="21"/>
                      <w:lang w:val="en-US" w:eastAsia="zh-CN"/>
                    </w:rPr>
                    <w:t>建设不涉及饮用水水源地、不属于化工行业、项目建设后依法修编环境应急预案，配备应急物资，加强企业环境风险防控能力建设。</w:t>
                  </w:r>
                </w:p>
              </w:tc>
              <w:tc>
                <w:tcPr>
                  <w:tcW w:w="636" w:type="pct"/>
                  <w:tcBorders>
                    <w:tl2br w:val="nil"/>
                    <w:tr2bl w:val="nil"/>
                  </w:tcBorders>
                  <w:noWrap w:val="0"/>
                  <w:vAlign w:val="center"/>
                </w:tcPr>
                <w:p w14:paraId="0C129D31">
                  <w:pPr>
                    <w:autoSpaceDE w:val="0"/>
                    <w:autoSpaceDN w:val="0"/>
                    <w:adjustRightInd w:val="0"/>
                    <w:snapToGrid w:val="0"/>
                    <w:jc w:val="center"/>
                    <w:rPr>
                      <w:rFonts w:eastAsia="仿宋"/>
                      <w:kern w:val="0"/>
                      <w:szCs w:val="21"/>
                    </w:rPr>
                  </w:pPr>
                  <w:r>
                    <w:rPr>
                      <w:rFonts w:hint="eastAsia" w:eastAsia="仿宋"/>
                      <w:kern w:val="0"/>
                      <w:szCs w:val="21"/>
                    </w:rPr>
                    <w:t>是</w:t>
                  </w:r>
                </w:p>
              </w:tc>
            </w:tr>
            <w:tr w14:paraId="1BD2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pct"/>
                  <w:tcBorders>
                    <w:tl2br w:val="nil"/>
                    <w:tr2bl w:val="nil"/>
                  </w:tcBorders>
                  <w:noWrap w:val="0"/>
                  <w:vAlign w:val="center"/>
                </w:tcPr>
                <w:p w14:paraId="486D81D1">
                  <w:pPr>
                    <w:autoSpaceDE w:val="0"/>
                    <w:autoSpaceDN w:val="0"/>
                    <w:adjustRightInd w:val="0"/>
                    <w:snapToGrid w:val="0"/>
                    <w:jc w:val="center"/>
                    <w:rPr>
                      <w:rFonts w:eastAsia="仿宋"/>
                      <w:kern w:val="0"/>
                      <w:szCs w:val="21"/>
                    </w:rPr>
                  </w:pPr>
                  <w:r>
                    <w:rPr>
                      <w:rFonts w:hint="eastAsia" w:eastAsia="仿宋"/>
                      <w:kern w:val="0"/>
                      <w:szCs w:val="21"/>
                    </w:rPr>
                    <w:t>资源利用效率要求</w:t>
                  </w:r>
                </w:p>
              </w:tc>
              <w:tc>
                <w:tcPr>
                  <w:tcW w:w="2584" w:type="pct"/>
                  <w:tcBorders>
                    <w:tl2br w:val="nil"/>
                    <w:tr2bl w:val="nil"/>
                  </w:tcBorders>
                  <w:noWrap w:val="0"/>
                  <w:vAlign w:val="center"/>
                </w:tcPr>
                <w:p w14:paraId="62E1C660">
                  <w:pPr>
                    <w:autoSpaceDE w:val="0"/>
                    <w:autoSpaceDN w:val="0"/>
                    <w:adjustRightInd w:val="0"/>
                    <w:snapToGrid w:val="0"/>
                    <w:rPr>
                      <w:rFonts w:hint="eastAsia" w:eastAsia="仿宋"/>
                      <w:kern w:val="0"/>
                      <w:szCs w:val="21"/>
                    </w:rPr>
                  </w:pPr>
                  <w:r>
                    <w:rPr>
                      <w:rFonts w:hint="eastAsia" w:eastAsia="仿宋"/>
                      <w:kern w:val="0"/>
                      <w:szCs w:val="21"/>
                    </w:rPr>
                    <w:t>1．水资源利用总量及效率要求：到2025年，全省用水总量控制在525.9亿立方米以内，万元地区生产总值用水量、万元工业增加值用水量下降完成国家下达目标，农田灌溉水有效利用系数提高到0.625。</w:t>
                  </w:r>
                </w:p>
                <w:p w14:paraId="59E54B8B">
                  <w:pPr>
                    <w:autoSpaceDE w:val="0"/>
                    <w:autoSpaceDN w:val="0"/>
                    <w:adjustRightInd w:val="0"/>
                    <w:snapToGrid w:val="0"/>
                    <w:rPr>
                      <w:rFonts w:hint="eastAsia" w:eastAsia="仿宋"/>
                      <w:kern w:val="0"/>
                      <w:szCs w:val="21"/>
                    </w:rPr>
                  </w:pPr>
                  <w:r>
                    <w:rPr>
                      <w:rFonts w:hint="eastAsia" w:eastAsia="仿宋"/>
                      <w:kern w:val="0"/>
                      <w:szCs w:val="21"/>
                    </w:rPr>
                    <w:t>2．土地资源总量要求：到2025年，江苏省耕地保有量不低于5977万亩，其中永久基本农田保护面积不低于5344万亩。</w:t>
                  </w:r>
                </w:p>
                <w:p w14:paraId="20C3CB34">
                  <w:pPr>
                    <w:autoSpaceDE w:val="0"/>
                    <w:autoSpaceDN w:val="0"/>
                    <w:adjustRightInd w:val="0"/>
                    <w:snapToGrid w:val="0"/>
                    <w:rPr>
                      <w:rFonts w:eastAsia="仿宋"/>
                      <w:kern w:val="0"/>
                      <w:szCs w:val="21"/>
                    </w:rPr>
                  </w:pPr>
                  <w:r>
                    <w:rPr>
                      <w:rFonts w:hint="eastAsia" w:eastAsia="仿宋"/>
                      <w:kern w:val="0"/>
                      <w:szCs w:val="21"/>
                    </w:rPr>
                    <w:t>3．禁燃区要求：在禁燃区内，禁止销售、燃用高污染燃料；禁止新建、扩建燃用高污染燃料的设施，已建成的，应当在城市人民政府规定的期限内改用天然气、页岩气、液化石油气、电或者其他清洁能源。</w:t>
                  </w:r>
                </w:p>
              </w:tc>
              <w:tc>
                <w:tcPr>
                  <w:tcW w:w="1181" w:type="pct"/>
                  <w:tcBorders>
                    <w:tl2br w:val="nil"/>
                    <w:tr2bl w:val="nil"/>
                  </w:tcBorders>
                  <w:noWrap w:val="0"/>
                  <w:vAlign w:val="center"/>
                </w:tcPr>
                <w:p w14:paraId="3C543AAE">
                  <w:pPr>
                    <w:autoSpaceDE w:val="0"/>
                    <w:autoSpaceDN w:val="0"/>
                    <w:adjustRightInd w:val="0"/>
                    <w:snapToGrid w:val="0"/>
                    <w:jc w:val="center"/>
                    <w:rPr>
                      <w:rFonts w:hint="default" w:eastAsia="仿宋"/>
                      <w:kern w:val="0"/>
                      <w:szCs w:val="21"/>
                      <w:lang w:val="en-US"/>
                    </w:rPr>
                  </w:pPr>
                  <w:r>
                    <w:rPr>
                      <w:rFonts w:hint="eastAsia" w:ascii="Times New Roman" w:hAnsi="Times New Roman" w:eastAsia="仿宋" w:cs="Times New Roman"/>
                      <w:color w:val="auto"/>
                      <w:sz w:val="21"/>
                      <w:szCs w:val="21"/>
                      <w:lang w:val="en-US" w:eastAsia="zh-CN"/>
                    </w:rPr>
                    <w:t>市政供水资源能够满足本项目用水需求</w:t>
                  </w:r>
                  <w:r>
                    <w:rPr>
                      <w:rFonts w:hint="eastAsia" w:eastAsia="仿宋" w:cs="Times New Roman"/>
                      <w:color w:val="auto"/>
                      <w:sz w:val="21"/>
                      <w:szCs w:val="21"/>
                      <w:lang w:val="en-US" w:eastAsia="zh-CN"/>
                    </w:rPr>
                    <w:t>，本项目建设不涉及基本农田，不涉及高污染燃料。</w:t>
                  </w:r>
                </w:p>
              </w:tc>
              <w:tc>
                <w:tcPr>
                  <w:tcW w:w="636" w:type="pct"/>
                  <w:tcBorders>
                    <w:tl2br w:val="nil"/>
                    <w:tr2bl w:val="nil"/>
                  </w:tcBorders>
                  <w:noWrap w:val="0"/>
                  <w:vAlign w:val="center"/>
                </w:tcPr>
                <w:p w14:paraId="0F2A84EF">
                  <w:pPr>
                    <w:autoSpaceDE w:val="0"/>
                    <w:autoSpaceDN w:val="0"/>
                    <w:adjustRightInd w:val="0"/>
                    <w:snapToGrid w:val="0"/>
                    <w:jc w:val="center"/>
                    <w:rPr>
                      <w:rFonts w:eastAsia="仿宋"/>
                      <w:kern w:val="0"/>
                      <w:szCs w:val="21"/>
                    </w:rPr>
                  </w:pPr>
                  <w:r>
                    <w:rPr>
                      <w:rFonts w:hint="eastAsia" w:eastAsia="仿宋"/>
                      <w:kern w:val="0"/>
                      <w:szCs w:val="21"/>
                    </w:rPr>
                    <w:t>是</w:t>
                  </w:r>
                </w:p>
              </w:tc>
            </w:tr>
          </w:tbl>
          <w:p w14:paraId="3B8E258B">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w:t>
            </w:r>
            <w:r>
              <w:rPr>
                <w:rFonts w:hint="eastAsia" w:eastAsia="仿宋" w:cs="Times New Roman"/>
                <w:color w:val="auto"/>
                <w:kern w:val="0"/>
                <w:sz w:val="21"/>
                <w:szCs w:val="21"/>
                <w:highlight w:val="none"/>
                <w:lang w:val="en-US" w:eastAsia="zh-CN"/>
              </w:rPr>
              <w:t>4</w:t>
            </w:r>
            <w:r>
              <w:rPr>
                <w:rFonts w:hint="default" w:ascii="Times New Roman" w:hAnsi="Times New Roman" w:eastAsia="仿宋" w:cs="Times New Roman"/>
                <w:color w:val="auto"/>
                <w:kern w:val="0"/>
                <w:sz w:val="21"/>
                <w:szCs w:val="21"/>
                <w:highlight w:val="none"/>
              </w:rPr>
              <w:t>）与《省生态环境厅关于进一步做好建设项目环评审批工作的通知》（苏环办〔2019〕36号）相符性相符性分析</w:t>
            </w:r>
            <w:r>
              <w:rPr>
                <w:rFonts w:hint="eastAsia" w:eastAsia="仿宋" w:cs="Times New Roman"/>
                <w:color w:val="auto"/>
                <w:kern w:val="0"/>
                <w:sz w:val="21"/>
                <w:szCs w:val="21"/>
                <w:highlight w:val="none"/>
                <w:lang w:eastAsia="zh-CN"/>
              </w:rPr>
              <w:t>。</w:t>
            </w:r>
          </w:p>
          <w:p w14:paraId="7221332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表1-</w:t>
            </w:r>
            <w:r>
              <w:rPr>
                <w:rFonts w:hint="eastAsia" w:eastAsia="仿宋" w:cs="Times New Roman"/>
                <w:b/>
                <w:bCs/>
                <w:color w:val="auto"/>
                <w:kern w:val="0"/>
                <w:sz w:val="21"/>
                <w:szCs w:val="21"/>
                <w:highlight w:val="none"/>
                <w:lang w:val="en-US" w:eastAsia="zh-CN"/>
              </w:rPr>
              <w:t>4</w:t>
            </w:r>
            <w:r>
              <w:rPr>
                <w:rFonts w:hint="default" w:ascii="Times New Roman" w:hAnsi="Times New Roman" w:eastAsia="仿宋" w:cs="Times New Roman"/>
                <w:b/>
                <w:bCs/>
                <w:color w:val="auto"/>
                <w:kern w:val="0"/>
                <w:sz w:val="21"/>
                <w:szCs w:val="21"/>
                <w:highlight w:val="none"/>
              </w:rPr>
              <w:t xml:space="preserve"> 与苏环办〔2019〕36号文相符性分析</w:t>
            </w:r>
          </w:p>
          <w:tbl>
            <w:tblPr>
              <w:tblStyle w:val="32"/>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3131"/>
              <w:gridCol w:w="1870"/>
              <w:gridCol w:w="742"/>
            </w:tblGrid>
            <w:tr w14:paraId="6AA9C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vAlign w:val="center"/>
                </w:tcPr>
                <w:p w14:paraId="2FFFC0F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内容</w:t>
                  </w:r>
                </w:p>
              </w:tc>
              <w:tc>
                <w:tcPr>
                  <w:tcW w:w="2207" w:type="pct"/>
                  <w:tcBorders>
                    <w:tl2br w:val="nil"/>
                    <w:tr2bl w:val="nil"/>
                  </w:tcBorders>
                  <w:vAlign w:val="center"/>
                </w:tcPr>
                <w:p w14:paraId="7F6D152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文件要求</w:t>
                  </w:r>
                </w:p>
              </w:tc>
              <w:tc>
                <w:tcPr>
                  <w:tcW w:w="1318" w:type="pct"/>
                  <w:tcBorders>
                    <w:tl2br w:val="nil"/>
                    <w:tr2bl w:val="nil"/>
                  </w:tcBorders>
                  <w:vAlign w:val="center"/>
                </w:tcPr>
                <w:p w14:paraId="0BD2889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本项目</w:t>
                  </w:r>
                </w:p>
              </w:tc>
              <w:tc>
                <w:tcPr>
                  <w:tcW w:w="523" w:type="pct"/>
                  <w:tcBorders>
                    <w:tl2br w:val="nil"/>
                    <w:tr2bl w:val="nil"/>
                  </w:tcBorders>
                  <w:vAlign w:val="center"/>
                </w:tcPr>
                <w:p w14:paraId="6BB8E14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是否相符</w:t>
                  </w:r>
                </w:p>
              </w:tc>
            </w:tr>
            <w:tr w14:paraId="320450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vAlign w:val="center"/>
                </w:tcPr>
                <w:p w14:paraId="549A0E2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《建设项目环境保护管理条例》</w:t>
                  </w:r>
                </w:p>
              </w:tc>
              <w:tc>
                <w:tcPr>
                  <w:tcW w:w="2207" w:type="pct"/>
                  <w:tcBorders>
                    <w:tl2br w:val="nil"/>
                    <w:tr2bl w:val="nil"/>
                  </w:tcBorders>
                  <w:vAlign w:val="center"/>
                </w:tcPr>
                <w:p w14:paraId="06DDBAE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有下列情形之一的，不予批准：（1）建设项目类型及其选址、布局、规模等不符合环境保护法律法规和相关法定规划；（2）所在区域环境质量未达到国家或者地方环境质量标准，且建设项目拟采取的措施不能满足区域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1318" w:type="pct"/>
                  <w:tcBorders>
                    <w:tl2br w:val="nil"/>
                    <w:tr2bl w:val="nil"/>
                  </w:tcBorders>
                  <w:vAlign w:val="center"/>
                </w:tcPr>
                <w:p w14:paraId="6248E31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建设项目类型及其选址、布局、规模等符合环境保护法律法规和相关法定规划；（2）项目所在地金坛区为环境质量不达标区，项目拟采取的环保措施满足现有环保要求；（3）建设项目采取的污染防治措施确保污染物排放达到国家和地方排放标准。（4）本项目为</w:t>
                  </w:r>
                  <w:r>
                    <w:rPr>
                      <w:rFonts w:hint="eastAsia" w:ascii="Times New Roman" w:hAnsi="Times New Roman" w:eastAsia="仿宋" w:cs="Times New Roman"/>
                      <w:color w:val="auto"/>
                      <w:kern w:val="0"/>
                      <w:sz w:val="21"/>
                      <w:szCs w:val="21"/>
                      <w:highlight w:val="none"/>
                      <w:lang w:val="en-US" w:eastAsia="zh-CN"/>
                    </w:rPr>
                    <w:t>扩建项目，后续</w:t>
                  </w:r>
                  <w:r>
                    <w:rPr>
                      <w:rFonts w:hint="default" w:ascii="Times New Roman" w:hAnsi="Times New Roman" w:eastAsia="仿宋" w:cs="Times New Roman"/>
                      <w:color w:val="auto"/>
                      <w:kern w:val="0"/>
                      <w:sz w:val="21"/>
                      <w:szCs w:val="21"/>
                      <w:highlight w:val="none"/>
                    </w:rPr>
                    <w:t>针对项目原有环境污染和生态破坏提出有效防止措施</w:t>
                  </w:r>
                  <w:r>
                    <w:rPr>
                      <w:rFonts w:hint="eastAsia" w:ascii="Times New Roman" w:hAnsi="Times New Roman" w:eastAsia="仿宋" w:cs="Times New Roman"/>
                      <w:color w:val="auto"/>
                      <w:kern w:val="0"/>
                      <w:sz w:val="21"/>
                      <w:szCs w:val="21"/>
                      <w:highlight w:val="none"/>
                      <w:lang w:eastAsia="zh-CN"/>
                    </w:rPr>
                    <w:t>。</w:t>
                  </w:r>
                </w:p>
              </w:tc>
              <w:tc>
                <w:tcPr>
                  <w:tcW w:w="523" w:type="pct"/>
                  <w:tcBorders>
                    <w:tl2br w:val="nil"/>
                    <w:tr2bl w:val="nil"/>
                  </w:tcBorders>
                  <w:vAlign w:val="center"/>
                </w:tcPr>
                <w:p w14:paraId="1C7DC39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14:paraId="366E6F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vAlign w:val="center"/>
                </w:tcPr>
                <w:p w14:paraId="597CCE3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《农用地土壤环境管理办法（试行）》（环境保</w:t>
                  </w:r>
                </w:p>
                <w:p w14:paraId="5E1C71E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护部农业部令第 46号）</w:t>
                  </w:r>
                </w:p>
              </w:tc>
              <w:tc>
                <w:tcPr>
                  <w:tcW w:w="2207" w:type="pct"/>
                  <w:tcBorders>
                    <w:tl2br w:val="nil"/>
                    <w:tr2bl w:val="nil"/>
                  </w:tcBorders>
                  <w:vAlign w:val="center"/>
                </w:tcPr>
                <w:p w14:paraId="50E9E7A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318" w:type="pct"/>
                  <w:tcBorders>
                    <w:tl2br w:val="nil"/>
                    <w:tr2bl w:val="nil"/>
                  </w:tcBorders>
                  <w:vAlign w:val="center"/>
                </w:tcPr>
                <w:p w14:paraId="486E7CE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本项目已取得规划红线，本项目用地符合</w:t>
                  </w:r>
                  <w:r>
                    <w:rPr>
                      <w:rFonts w:hint="eastAsia" w:ascii="Times New Roman" w:hAnsi="Times New Roman" w:eastAsia="仿宋" w:cs="Times New Roman"/>
                      <w:color w:val="auto"/>
                      <w:sz w:val="21"/>
                      <w:szCs w:val="21"/>
                      <w:highlight w:val="none"/>
                      <w:lang w:val="en-US" w:eastAsia="zh-CN"/>
                    </w:rPr>
                    <w:t>《金坛滨湖新城控制性详细规划（修改）》（2020年4月</w:t>
                  </w:r>
                  <w:r>
                    <w:rPr>
                      <w:rFonts w:hint="eastAsia" w:eastAsia="仿宋" w:cs="Times New Roman"/>
                      <w:color w:val="auto"/>
                      <w:sz w:val="21"/>
                      <w:szCs w:val="21"/>
                      <w:highlight w:val="none"/>
                      <w:lang w:val="en-US" w:eastAsia="zh-CN"/>
                    </w:rPr>
                    <w:t>17</w:t>
                  </w:r>
                  <w:r>
                    <w:rPr>
                      <w:rFonts w:hint="eastAsia" w:ascii="Times New Roman" w:hAnsi="Times New Roman" w:eastAsia="仿宋" w:cs="Times New Roman"/>
                      <w:color w:val="auto"/>
                      <w:sz w:val="21"/>
                      <w:szCs w:val="21"/>
                      <w:highlight w:val="none"/>
                      <w:lang w:val="en-US" w:eastAsia="zh-CN"/>
                    </w:rPr>
                    <w:t>日）</w:t>
                  </w:r>
                  <w:r>
                    <w:rPr>
                      <w:rFonts w:hint="default" w:ascii="Times New Roman" w:hAnsi="Times New Roman" w:eastAsia="仿宋" w:cs="Times New Roman"/>
                      <w:color w:val="auto"/>
                      <w:kern w:val="0"/>
                      <w:sz w:val="21"/>
                      <w:szCs w:val="21"/>
                      <w:highlight w:val="none"/>
                    </w:rPr>
                    <w:t>，不属于优先保护类耕地集中区域，本项目不属于有色金属冶炼、石油加工、化工、焦化、电镀、制革等行业企业。</w:t>
                  </w:r>
                </w:p>
              </w:tc>
              <w:tc>
                <w:tcPr>
                  <w:tcW w:w="523" w:type="pct"/>
                  <w:tcBorders>
                    <w:tl2br w:val="nil"/>
                    <w:tr2bl w:val="nil"/>
                  </w:tcBorders>
                  <w:vAlign w:val="center"/>
                </w:tcPr>
                <w:p w14:paraId="790DC6B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14:paraId="2B7BE0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vAlign w:val="center"/>
                </w:tcPr>
                <w:p w14:paraId="6AFDA4E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《关于印发&lt;建设项目主要污染物排放总量指标审核及管理暂行办法&gt;的</w:t>
                  </w:r>
                </w:p>
                <w:p w14:paraId="0CD1956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通知》（环发〔2014〕197 号）</w:t>
                  </w:r>
                </w:p>
              </w:tc>
              <w:tc>
                <w:tcPr>
                  <w:tcW w:w="2207" w:type="pct"/>
                  <w:tcBorders>
                    <w:tl2br w:val="nil"/>
                    <w:tr2bl w:val="nil"/>
                  </w:tcBorders>
                  <w:vAlign w:val="center"/>
                </w:tcPr>
                <w:p w14:paraId="0A07357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318" w:type="pct"/>
                  <w:tcBorders>
                    <w:tl2br w:val="nil"/>
                    <w:tr2bl w:val="nil"/>
                  </w:tcBorders>
                  <w:vAlign w:val="center"/>
                </w:tcPr>
                <w:p w14:paraId="2AAC7A5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在环境影响评价文件审批前，取得主要污染物排放总量指标。</w:t>
                  </w:r>
                </w:p>
              </w:tc>
              <w:tc>
                <w:tcPr>
                  <w:tcW w:w="523" w:type="pct"/>
                  <w:tcBorders>
                    <w:tl2br w:val="nil"/>
                    <w:tr2bl w:val="nil"/>
                  </w:tcBorders>
                  <w:vAlign w:val="center"/>
                </w:tcPr>
                <w:p w14:paraId="4F52E24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14:paraId="14BA08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vAlign w:val="center"/>
                </w:tcPr>
                <w:p w14:paraId="37442F1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《关于以改善环境质量为核心加强环境影响评价管理的通知》（环环评〔2016〕150号）</w:t>
                  </w:r>
                </w:p>
              </w:tc>
              <w:tc>
                <w:tcPr>
                  <w:tcW w:w="2207" w:type="pct"/>
                  <w:tcBorders>
                    <w:tl2br w:val="nil"/>
                    <w:tr2bl w:val="nil"/>
                  </w:tcBorders>
                  <w:vAlign w:val="center"/>
                </w:tcPr>
                <w:p w14:paraId="4CF07E9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318" w:type="pct"/>
                  <w:tcBorders>
                    <w:tl2br w:val="nil"/>
                    <w:tr2bl w:val="nil"/>
                  </w:tcBorders>
                  <w:vAlign w:val="center"/>
                </w:tcPr>
                <w:p w14:paraId="4E07764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（1）本项目</w:t>
                  </w:r>
                  <w:r>
                    <w:rPr>
                      <w:rFonts w:hint="eastAsia" w:eastAsia="仿宋" w:cs="Times New Roman"/>
                      <w:color w:val="auto"/>
                      <w:kern w:val="0"/>
                      <w:sz w:val="21"/>
                      <w:szCs w:val="21"/>
                      <w:highlight w:val="none"/>
                      <w:lang w:val="en-US" w:eastAsia="zh-CN"/>
                    </w:rPr>
                    <w:t>所在区域无规划环评</w:t>
                  </w:r>
                  <w:r>
                    <w:rPr>
                      <w:rFonts w:hint="default" w:ascii="Times New Roman" w:hAnsi="Times New Roman" w:eastAsia="仿宋" w:cs="Times New Roman"/>
                      <w:color w:val="auto"/>
                      <w:kern w:val="0"/>
                      <w:sz w:val="21"/>
                      <w:szCs w:val="21"/>
                      <w:highlight w:val="none"/>
                    </w:rPr>
                    <w:t>，</w:t>
                  </w:r>
                  <w:r>
                    <w:rPr>
                      <w:rFonts w:hint="eastAsia" w:eastAsia="仿宋" w:cs="Times New Roman"/>
                      <w:color w:val="auto"/>
                      <w:kern w:val="0"/>
                      <w:sz w:val="21"/>
                      <w:szCs w:val="21"/>
                      <w:highlight w:val="none"/>
                      <w:lang w:val="en-US" w:eastAsia="zh-CN"/>
                    </w:rPr>
                    <w:t>本项目</w:t>
                  </w:r>
                  <w:r>
                    <w:rPr>
                      <w:rFonts w:hint="default" w:ascii="Times New Roman" w:hAnsi="Times New Roman" w:eastAsia="仿宋" w:cs="Times New Roman"/>
                      <w:color w:val="auto"/>
                      <w:kern w:val="0"/>
                      <w:sz w:val="21"/>
                      <w:szCs w:val="21"/>
                      <w:highlight w:val="none"/>
                    </w:rPr>
                    <w:t>不在生态保护红线范围内。（2）项目所在地金坛区为不达标区，本项目为</w:t>
                  </w:r>
                  <w:r>
                    <w:rPr>
                      <w:rFonts w:hint="eastAsia" w:ascii="Times New Roman" w:hAnsi="Times New Roman" w:eastAsia="仿宋" w:cs="Times New Roman"/>
                      <w:color w:val="auto"/>
                      <w:kern w:val="0"/>
                      <w:sz w:val="21"/>
                      <w:szCs w:val="21"/>
                      <w:highlight w:val="none"/>
                      <w:lang w:val="en-US" w:eastAsia="zh-CN"/>
                    </w:rPr>
                    <w:t>医院扩建</w:t>
                  </w:r>
                  <w:r>
                    <w:rPr>
                      <w:rFonts w:hint="default" w:ascii="Times New Roman" w:hAnsi="Times New Roman" w:eastAsia="仿宋" w:cs="Times New Roman"/>
                      <w:color w:val="auto"/>
                      <w:kern w:val="0"/>
                      <w:sz w:val="21"/>
                      <w:szCs w:val="21"/>
                      <w:highlight w:val="none"/>
                    </w:rPr>
                    <w:t>，预测排放情况符合排放标准，采取的措施满足区域环境质量改善目标管理要求，不会降低周围环境空气质量。</w:t>
                  </w:r>
                </w:p>
              </w:tc>
              <w:tc>
                <w:tcPr>
                  <w:tcW w:w="523" w:type="pct"/>
                  <w:tcBorders>
                    <w:tl2br w:val="nil"/>
                    <w:tr2bl w:val="nil"/>
                  </w:tcBorders>
                  <w:vAlign w:val="center"/>
                </w:tcPr>
                <w:p w14:paraId="5303E03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14:paraId="081568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vAlign w:val="center"/>
                </w:tcPr>
                <w:p w14:paraId="42BCA09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《关于全面加强生态环境保护坚决打好污染防治攻坚战的实施意见》（苏发〔2018〕24号）</w:t>
                  </w:r>
                </w:p>
              </w:tc>
              <w:tc>
                <w:tcPr>
                  <w:tcW w:w="2207" w:type="pct"/>
                  <w:tcBorders>
                    <w:tl2br w:val="nil"/>
                    <w:tr2bl w:val="nil"/>
                  </w:tcBorders>
                  <w:vAlign w:val="center"/>
                </w:tcPr>
                <w:p w14:paraId="5646BF7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318" w:type="pct"/>
                  <w:tcBorders>
                    <w:tl2br w:val="nil"/>
                    <w:tr2bl w:val="nil"/>
                  </w:tcBorders>
                  <w:vAlign w:val="center"/>
                </w:tcPr>
                <w:p w14:paraId="30D2AF3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本项目不在长江干流及主要支流岸线1公里范围内，且不属于化工项目。</w:t>
                  </w:r>
                </w:p>
              </w:tc>
              <w:tc>
                <w:tcPr>
                  <w:tcW w:w="523" w:type="pct"/>
                  <w:tcBorders>
                    <w:tl2br w:val="nil"/>
                    <w:tr2bl w:val="nil"/>
                  </w:tcBorders>
                  <w:vAlign w:val="center"/>
                </w:tcPr>
                <w:p w14:paraId="0ACB893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14:paraId="04309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vAlign w:val="center"/>
                </w:tcPr>
                <w:p w14:paraId="505DFA8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《省政府关于印发江苏省国家级生态保护红线规划的通知》（苏政发〔2018〕74号）</w:t>
                  </w:r>
                </w:p>
              </w:tc>
              <w:tc>
                <w:tcPr>
                  <w:tcW w:w="2207" w:type="pct"/>
                  <w:tcBorders>
                    <w:tl2br w:val="nil"/>
                    <w:tr2bl w:val="nil"/>
                  </w:tcBorders>
                  <w:vAlign w:val="center"/>
                </w:tcPr>
                <w:p w14:paraId="3E6EC25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生态保护红线原则上按禁止开发区域的要求进行管理，严禁不符合主体功能定位的各类开发活动，严禁任意改变用途。</w:t>
                  </w:r>
                </w:p>
              </w:tc>
              <w:tc>
                <w:tcPr>
                  <w:tcW w:w="1318" w:type="pct"/>
                  <w:tcBorders>
                    <w:tl2br w:val="nil"/>
                    <w:tr2bl w:val="nil"/>
                  </w:tcBorders>
                  <w:vAlign w:val="center"/>
                </w:tcPr>
                <w:p w14:paraId="58C0E43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本项目不在生态保护红线内</w:t>
                  </w:r>
                  <w:r>
                    <w:rPr>
                      <w:rFonts w:hint="default" w:ascii="Times New Roman" w:hAnsi="Times New Roman" w:eastAsia="仿宋" w:cs="Times New Roman"/>
                      <w:color w:val="auto"/>
                      <w:kern w:val="0"/>
                      <w:sz w:val="21"/>
                      <w:szCs w:val="21"/>
                      <w:highlight w:val="none"/>
                    </w:rPr>
                    <w:t>。</w:t>
                  </w:r>
                </w:p>
              </w:tc>
              <w:tc>
                <w:tcPr>
                  <w:tcW w:w="523" w:type="pct"/>
                  <w:tcBorders>
                    <w:tl2br w:val="nil"/>
                    <w:tr2bl w:val="nil"/>
                  </w:tcBorders>
                  <w:vAlign w:val="center"/>
                </w:tcPr>
                <w:p w14:paraId="17A9219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r w14:paraId="29651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vAlign w:val="center"/>
                </w:tcPr>
                <w:p w14:paraId="2F79754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《关于发布长江经济带发展负面清单指南（试行）的通知（推动长江经济带发展领导小组办公室文件第89号）</w:t>
                  </w:r>
                </w:p>
              </w:tc>
              <w:tc>
                <w:tcPr>
                  <w:tcW w:w="2207" w:type="pct"/>
                  <w:tcBorders>
                    <w:tl2br w:val="nil"/>
                    <w:tr2bl w:val="nil"/>
                  </w:tcBorders>
                  <w:vAlign w:val="center"/>
                </w:tcPr>
                <w:p w14:paraId="0637240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4）禁止在水产种质资源保护区的岸线和河段范围内新建排污口，以及围湖造田、围海造地或围填海等投资建设项目。禁止在国家湿地公园的岸线和河段范围内挖沙、采矿，以及任何不符合主体功能定位的投资建设项目。（5）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6）禁止在生态保护红线和永久基本农田范围内投资建设除国家重大战略资源勘查项目、生态保护修复和环境治理项目、重大基础设施项目、军事国防项目以及农牧民基本生产生活等必要的民生项目以外的项目。（7）禁止在长江干支流1公里范围内新建、扩建化工园区和化工项目。禁止在合规园区外新建、扩建钢铁、石化、化工、焦化、建材、有色等高污染项目。（8）禁止新建、扩建不符合国家石化、现代煤化工等产业布局规划的项目。（9）禁止新建、扩建法律法规和相关政策明令禁止的落后产能项目。（10）禁止新建、扩建不符合国家产能置换要求的严重过剩产能行业的项目。</w:t>
                  </w:r>
                </w:p>
              </w:tc>
              <w:tc>
                <w:tcPr>
                  <w:tcW w:w="1318" w:type="pct"/>
                  <w:tcBorders>
                    <w:tl2br w:val="nil"/>
                    <w:tr2bl w:val="nil"/>
                  </w:tcBorders>
                  <w:vAlign w:val="center"/>
                </w:tcPr>
                <w:p w14:paraId="7CC84EA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本项目不属于《关于发布长江经济带发展负面清单指南（试行）的通知》（推动长江经济带发展领导小组办公室文件第89号）中“禁止类”项目</w:t>
                  </w:r>
                </w:p>
              </w:tc>
              <w:tc>
                <w:tcPr>
                  <w:tcW w:w="523" w:type="pct"/>
                  <w:tcBorders>
                    <w:tl2br w:val="nil"/>
                    <w:tr2bl w:val="nil"/>
                  </w:tcBorders>
                  <w:vAlign w:val="center"/>
                </w:tcPr>
                <w:p w14:paraId="68649F9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符合</w:t>
                  </w:r>
                </w:p>
              </w:tc>
            </w:tr>
          </w:tbl>
          <w:p w14:paraId="7FEEA007">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color w:val="auto"/>
                <w:sz w:val="21"/>
                <w:szCs w:val="21"/>
                <w:highlight w:val="none"/>
              </w:rPr>
              <w:t>（</w:t>
            </w:r>
            <w:r>
              <w:rPr>
                <w:rFonts w:hint="eastAsia" w:eastAsia="仿宋"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rPr>
              <w:t>）与《省生态环境厅关于进一步加强建设项目环评审批和服务工作的指导意见》（苏环办[2020]225号）相符性分析：</w:t>
            </w:r>
          </w:p>
          <w:p w14:paraId="3A56BCC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bCs/>
                <w:color w:val="auto"/>
                <w:sz w:val="21"/>
                <w:szCs w:val="21"/>
                <w:highlight w:val="none"/>
              </w:rPr>
              <w:t>表1-</w:t>
            </w:r>
            <w:r>
              <w:rPr>
                <w:rFonts w:hint="eastAsia" w:eastAsia="仿宋" w:cs="Times New Roman"/>
                <w:b/>
                <w:bCs/>
                <w:color w:val="auto"/>
                <w:sz w:val="21"/>
                <w:szCs w:val="21"/>
                <w:highlight w:val="none"/>
                <w:lang w:val="en-US" w:eastAsia="zh-CN"/>
              </w:rPr>
              <w:t>5</w:t>
            </w:r>
            <w:r>
              <w:rPr>
                <w:rFonts w:hint="default" w:ascii="Times New Roman" w:hAnsi="Times New Roman" w:eastAsia="仿宋" w:cs="Times New Roman"/>
                <w:b/>
                <w:bCs/>
                <w:color w:val="auto"/>
                <w:sz w:val="21"/>
                <w:szCs w:val="21"/>
                <w:highlight w:val="none"/>
              </w:rPr>
              <w:t xml:space="preserve"> 与苏环办</w:t>
            </w:r>
            <w:r>
              <w:rPr>
                <w:rFonts w:hint="default" w:ascii="Times New Roman" w:hAnsi="Times New Roman" w:eastAsia="仿宋" w:cs="Times New Roman"/>
                <w:color w:val="auto"/>
                <w:sz w:val="21"/>
                <w:szCs w:val="21"/>
                <w:highlight w:val="none"/>
              </w:rPr>
              <w:t>[</w:t>
            </w:r>
            <w:r>
              <w:rPr>
                <w:rFonts w:hint="default" w:ascii="Times New Roman" w:hAnsi="Times New Roman" w:eastAsia="仿宋" w:cs="Times New Roman"/>
                <w:b/>
                <w:bCs/>
                <w:color w:val="auto"/>
                <w:sz w:val="21"/>
                <w:szCs w:val="21"/>
                <w:highlight w:val="none"/>
              </w:rPr>
              <w:t>2020</w:t>
            </w:r>
            <w:r>
              <w:rPr>
                <w:rFonts w:hint="default" w:ascii="Times New Roman" w:hAnsi="Times New Roman" w:eastAsia="仿宋" w:cs="Times New Roman"/>
                <w:color w:val="auto"/>
                <w:sz w:val="21"/>
                <w:szCs w:val="21"/>
                <w:highlight w:val="none"/>
              </w:rPr>
              <w:t>]</w:t>
            </w:r>
            <w:r>
              <w:rPr>
                <w:rFonts w:hint="default" w:ascii="Times New Roman" w:hAnsi="Times New Roman" w:eastAsia="仿宋" w:cs="Times New Roman"/>
                <w:b/>
                <w:bCs/>
                <w:color w:val="auto"/>
                <w:sz w:val="21"/>
                <w:szCs w:val="21"/>
                <w:highlight w:val="none"/>
              </w:rPr>
              <w:t>225号文相符性对照分析</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4248"/>
              <w:gridCol w:w="1295"/>
              <w:gridCol w:w="671"/>
            </w:tblGrid>
            <w:tr w14:paraId="3E1A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19B59438">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类别</w:t>
                  </w:r>
                </w:p>
              </w:tc>
              <w:tc>
                <w:tcPr>
                  <w:tcW w:w="2991" w:type="pct"/>
                  <w:vAlign w:val="center"/>
                </w:tcPr>
                <w:p w14:paraId="2E088D85">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文件要求（建设项目环评审批要点）</w:t>
                  </w:r>
                </w:p>
              </w:tc>
              <w:tc>
                <w:tcPr>
                  <w:tcW w:w="911" w:type="pct"/>
                  <w:vAlign w:val="center"/>
                </w:tcPr>
                <w:p w14:paraId="26E458E3">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项目</w:t>
                  </w:r>
                </w:p>
              </w:tc>
              <w:tc>
                <w:tcPr>
                  <w:tcW w:w="472" w:type="pct"/>
                  <w:vAlign w:val="center"/>
                </w:tcPr>
                <w:p w14:paraId="719BB27B">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是否相符</w:t>
                  </w:r>
                </w:p>
              </w:tc>
            </w:tr>
            <w:tr w14:paraId="09807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1A5C64A0">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严守生态环境质量底线</w:t>
                  </w:r>
                </w:p>
              </w:tc>
              <w:tc>
                <w:tcPr>
                  <w:tcW w:w="2991" w:type="pct"/>
                  <w:vAlign w:val="center"/>
                </w:tcPr>
                <w:p w14:paraId="602B5901">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①建设项目所在区域环境质量未达到国家或地方环境质量标准，且项目拟采取的污染防治措施不能满足区域环境质量改善目标管理要求的，一律不得审批。</w:t>
                  </w:r>
                </w:p>
                <w:p w14:paraId="032A3CA4">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②加强规划环评与建设项目环评联动，对不符合规划环评结论及审查意见的项目环评，依法不予审批。规划所包含项目的环评内容，可根据规划环评结论和审查意见予以简化。</w:t>
                  </w:r>
                </w:p>
                <w:p w14:paraId="274DD516">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③切实加强区域环境容量、环境承载力研究，不得审批突破环境容量和环境承载力的建设项目。</w:t>
                  </w:r>
                </w:p>
                <w:p w14:paraId="7B6C522A">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④应将“三线一单”作为建设项目环评审批的重要依据，严格落实生态环境分区管控要求，从严把好环境准入关。</w:t>
                  </w:r>
                </w:p>
              </w:tc>
              <w:tc>
                <w:tcPr>
                  <w:tcW w:w="911" w:type="pct"/>
                  <w:vAlign w:val="center"/>
                </w:tcPr>
                <w:p w14:paraId="220BC338">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①项目所在地为不达标区，该地区实施区域削减方案，项目建成后不会降低周围环境空气质量。②</w:t>
                  </w:r>
                  <w:r>
                    <w:rPr>
                      <w:rFonts w:hint="eastAsia" w:ascii="Times New Roman" w:hAnsi="Times New Roman" w:eastAsia="仿宋" w:cs="Times New Roman"/>
                      <w:color w:val="auto"/>
                      <w:sz w:val="21"/>
                      <w:szCs w:val="21"/>
                      <w:highlight w:val="none"/>
                      <w:lang w:val="en-US" w:eastAsia="zh-CN"/>
                    </w:rPr>
                    <w:t>本项目所在区域无规划环评。</w:t>
                  </w:r>
                </w:p>
              </w:tc>
              <w:tc>
                <w:tcPr>
                  <w:tcW w:w="472" w:type="pct"/>
                  <w:vAlign w:val="center"/>
                </w:tcPr>
                <w:p w14:paraId="605787A0">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2A01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4D9B1674">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严格重点行业环评审批</w:t>
                  </w:r>
                </w:p>
              </w:tc>
              <w:tc>
                <w:tcPr>
                  <w:tcW w:w="2991" w:type="pct"/>
                  <w:vAlign w:val="center"/>
                </w:tcPr>
                <w:p w14:paraId="7DA3EA4D">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①对纳入重点行业清单的建设项目，不适用告知承诺制和简化环评内容等改革试点措施。</w:t>
                  </w:r>
                </w:p>
                <w:p w14:paraId="5BB83E50">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②重点行业清洁生产水平原则上应达国内先进以上水平，按照国家和省有关要求，执行超低排放或特别排放限值标准。</w:t>
                  </w:r>
                </w:p>
                <w:p w14:paraId="7352B396">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③严格执行《江苏省长江经济带发展负面清单实施细则(试行)》，禁止在合规园区外新建、扩建钢铁、石化、化工、焦化、建材、有色等行业中的高污染项目。禁止新建燃煤自备电厂。</w:t>
                  </w:r>
                </w:p>
                <w:p w14:paraId="220F361D">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④统筹推动沿江产业战略性转型和在沿海地区战略性布局，坚持“规划引领、指标从严、政策衔接、产业先进”，推进钢铁、化工、煤电等行业有序转移，优化产业布局、调整产业结构，推动绿色发展。</w:t>
                  </w:r>
                </w:p>
              </w:tc>
              <w:tc>
                <w:tcPr>
                  <w:tcW w:w="911" w:type="pct"/>
                  <w:vAlign w:val="center"/>
                </w:tcPr>
                <w:p w14:paraId="4FEE6177">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①</w:t>
                  </w:r>
                  <w:r>
                    <w:rPr>
                      <w:rFonts w:hint="default" w:ascii="Times New Roman" w:hAnsi="Times New Roman" w:eastAsia="仿宋" w:cs="Times New Roman"/>
                      <w:color w:val="auto"/>
                      <w:kern w:val="0"/>
                      <w:sz w:val="21"/>
                      <w:szCs w:val="21"/>
                      <w:highlight w:val="none"/>
                    </w:rPr>
                    <w:t>本项目为</w:t>
                  </w:r>
                  <w:r>
                    <w:rPr>
                      <w:rFonts w:hint="eastAsia" w:eastAsia="仿宋" w:cs="Times New Roman"/>
                      <w:color w:val="auto"/>
                      <w:kern w:val="0"/>
                      <w:sz w:val="21"/>
                      <w:szCs w:val="21"/>
                      <w:highlight w:val="none"/>
                      <w:lang w:eastAsia="zh-CN"/>
                    </w:rPr>
                    <w:t>苏南骨伤科中心（急救创伤病房大楼扩建及分中心病房改造）</w:t>
                  </w:r>
                  <w:r>
                    <w:rPr>
                      <w:rFonts w:hint="default" w:ascii="Times New Roman" w:hAnsi="Times New Roman" w:eastAsia="仿宋" w:cs="Times New Roman"/>
                      <w:color w:val="auto"/>
                      <w:kern w:val="0"/>
                      <w:sz w:val="21"/>
                      <w:szCs w:val="21"/>
                      <w:highlight w:val="none"/>
                    </w:rPr>
                    <w:t>，不属于重点行业。</w:t>
                  </w:r>
                </w:p>
                <w:p w14:paraId="394250E5">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②本项目不属于钢铁、石化、化工、焦化、建材、有色等行业中的高污染项目。</w:t>
                  </w:r>
                </w:p>
              </w:tc>
              <w:tc>
                <w:tcPr>
                  <w:tcW w:w="472" w:type="pct"/>
                  <w:vAlign w:val="center"/>
                </w:tcPr>
                <w:p w14:paraId="3EA5EDCC">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483D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19B31DE0">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优化重大项目环评审批</w:t>
                  </w:r>
                </w:p>
              </w:tc>
              <w:tc>
                <w:tcPr>
                  <w:tcW w:w="2991" w:type="pct"/>
                  <w:vAlign w:val="center"/>
                </w:tcPr>
                <w:p w14:paraId="7F728F95">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①对国家、省、市级和外商投资重大项目，实行清单化管理。对纳入清单的项目，主动服务、提前介入，全程做好政策咨询和环评技术指导。</w:t>
                  </w:r>
                </w:p>
                <w:p w14:paraId="437036D8">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②对重大基础设施、民生工程、战略新兴产业和重大产业布局等项目，开通环评审批“绿色通道”，实行受理、公示、评估、审查“四同步”，加速项目落地建设。</w:t>
                  </w:r>
                </w:p>
                <w:p w14:paraId="483F4F3F">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③推动区域污染物排放深度减排和内部挖潜，腾出的排放指标优先用于优质重大项目建设。指导排污权交易，拓宽重大项目排放指标来源。</w:t>
                  </w:r>
                </w:p>
                <w:p w14:paraId="0C37186C">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④经论证确实无法避让国家级生态保护红线的重大项目，应依法履行相关程序，且采取无害化的方式，强化减缓生态环境影响和补偿措施。</w:t>
                  </w:r>
                </w:p>
              </w:tc>
              <w:tc>
                <w:tcPr>
                  <w:tcW w:w="911" w:type="pct"/>
                  <w:vAlign w:val="center"/>
                </w:tcPr>
                <w:p w14:paraId="2C0F8886">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①本项目不属于国家、省、市级和外商投资重大项目。②本项目不在生态保护红线范围内。</w:t>
                  </w:r>
                </w:p>
              </w:tc>
              <w:tc>
                <w:tcPr>
                  <w:tcW w:w="472" w:type="pct"/>
                  <w:vAlign w:val="center"/>
                </w:tcPr>
                <w:p w14:paraId="3455452E">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6396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6ABA04B0">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认真落实环评审批正面清单</w:t>
                  </w:r>
                </w:p>
              </w:tc>
              <w:tc>
                <w:tcPr>
                  <w:tcW w:w="2991" w:type="pct"/>
                  <w:vAlign w:val="center"/>
                </w:tcPr>
                <w:p w14:paraId="750A24AA">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①纳入生态环境部“正面清单”中环评豁免范围的建设项目，全部实行环评豁免，无须办理环评手续。</w:t>
                  </w:r>
                </w:p>
                <w:p w14:paraId="468609B5">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②纳入《江苏省建设项目环评告知承诺制审批改革试点工作实施方案》(苏环办[2020]155号)的建设项目，原则上实行环评告知承诺制审批。但对于穿(跨)越或涉及国家级生态保护红线和省生态空间管控区域的、未取得主要污染物排放总量指标的、年产生危险废物100吨以上的建设项目，不适用告知承诺制。</w:t>
                  </w:r>
                </w:p>
              </w:tc>
              <w:tc>
                <w:tcPr>
                  <w:tcW w:w="911" w:type="pct"/>
                  <w:vAlign w:val="center"/>
                </w:tcPr>
                <w:p w14:paraId="5C1492C2">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本项目不属于“正面清单”及“告知承诺制”项目。</w:t>
                  </w:r>
                </w:p>
              </w:tc>
              <w:tc>
                <w:tcPr>
                  <w:tcW w:w="472" w:type="pct"/>
                  <w:vAlign w:val="center"/>
                </w:tcPr>
                <w:p w14:paraId="7BD9855B">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bl>
          <w:p w14:paraId="2A167EFD">
            <w:pPr>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r>
              <w:rPr>
                <w:rFonts w:hint="eastAsia" w:eastAsia="仿宋" w:cs="Times New Roman"/>
                <w:color w:val="auto"/>
                <w:sz w:val="21"/>
                <w:szCs w:val="21"/>
                <w:highlight w:val="none"/>
                <w:lang w:val="en-US" w:eastAsia="zh-CN"/>
              </w:rPr>
              <w:t>6</w:t>
            </w:r>
            <w:r>
              <w:rPr>
                <w:rFonts w:hint="default" w:ascii="Times New Roman" w:hAnsi="Times New Roman" w:eastAsia="仿宋" w:cs="Times New Roman"/>
                <w:color w:val="auto"/>
                <w:sz w:val="21"/>
                <w:szCs w:val="21"/>
                <w:highlight w:val="none"/>
              </w:rPr>
              <w:t>）生态环境保护法律法规政策、规划相符性分析</w:t>
            </w:r>
          </w:p>
          <w:p w14:paraId="56AF284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表1-</w:t>
            </w:r>
            <w:r>
              <w:rPr>
                <w:rFonts w:hint="eastAsia" w:eastAsia="仿宋" w:cs="Times New Roman"/>
                <w:b/>
                <w:bCs/>
                <w:color w:val="auto"/>
                <w:sz w:val="21"/>
                <w:szCs w:val="21"/>
                <w:highlight w:val="none"/>
                <w:lang w:val="en-US" w:eastAsia="zh-CN"/>
              </w:rPr>
              <w:t>6</w:t>
            </w:r>
            <w:r>
              <w:rPr>
                <w:rFonts w:hint="default" w:ascii="Times New Roman" w:hAnsi="Times New Roman" w:eastAsia="仿宋" w:cs="Times New Roman"/>
                <w:b/>
                <w:bCs/>
                <w:color w:val="auto"/>
                <w:sz w:val="21"/>
                <w:szCs w:val="21"/>
                <w:highlight w:val="none"/>
              </w:rPr>
              <w:t xml:space="preserve"> 生态环境保护法律法规政策、规划相符性分析</w:t>
            </w: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4062"/>
              <w:gridCol w:w="1264"/>
              <w:gridCol w:w="673"/>
            </w:tblGrid>
            <w:tr w14:paraId="5E07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0D1F783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kern w:val="0"/>
                      <w:szCs w:val="21"/>
                      <w:highlight w:val="none"/>
                    </w:rPr>
                    <w:t>对照文件</w:t>
                  </w:r>
                </w:p>
              </w:tc>
              <w:tc>
                <w:tcPr>
                  <w:tcW w:w="2859" w:type="pct"/>
                  <w:vAlign w:val="center"/>
                </w:tcPr>
                <w:p w14:paraId="1207A39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kern w:val="0"/>
                      <w:szCs w:val="21"/>
                      <w:highlight w:val="none"/>
                    </w:rPr>
                    <w:t>内容</w:t>
                  </w:r>
                </w:p>
              </w:tc>
              <w:tc>
                <w:tcPr>
                  <w:tcW w:w="889" w:type="pct"/>
                  <w:vAlign w:val="center"/>
                </w:tcPr>
                <w:p w14:paraId="19B676C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kern w:val="0"/>
                      <w:szCs w:val="21"/>
                      <w:highlight w:val="none"/>
                    </w:rPr>
                    <w:t>本项目情况</w:t>
                  </w:r>
                </w:p>
              </w:tc>
              <w:tc>
                <w:tcPr>
                  <w:tcW w:w="473" w:type="pct"/>
                  <w:vAlign w:val="center"/>
                </w:tcPr>
                <w:p w14:paraId="64C19DD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kern w:val="0"/>
                      <w:szCs w:val="21"/>
                      <w:highlight w:val="none"/>
                    </w:rPr>
                    <w:t>是否相符</w:t>
                  </w:r>
                </w:p>
              </w:tc>
            </w:tr>
            <w:tr w14:paraId="5B5B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76A0500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《太湖流域管理条例》（国务院令第604号）</w:t>
                  </w:r>
                </w:p>
              </w:tc>
              <w:tc>
                <w:tcPr>
                  <w:tcW w:w="2859" w:type="pct"/>
                  <w:vAlign w:val="center"/>
                </w:tcPr>
                <w:p w14:paraId="30C7722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第二十八条 排污单位排放水污染物，不得超过经核定的水污染物排放总量，并应当按照规定设置便于检查、采样的规范化排污口，悬挂标志牌；不得私设暗管或者采取其他规避监管的方式排放水污染物。</w:t>
                  </w:r>
                </w:p>
                <w:p w14:paraId="3B508DD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禁止在太湖流域设置不符合国家产业政策和水环境综合治理要求的造纸、制革、酒精、淀粉、冶金、酿造、印染、电镀等排放水污染物的生产项目，现有的生产项目不能实现达标排放的，应当依法关闭。</w:t>
                  </w:r>
                </w:p>
                <w:p w14:paraId="2B9B2E2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在太湖流域新设企业应当符合国家规定的清洁生产要求，现有的企业尚未达到清洁生产要求的，应当按照清洁生产规划要求进行技术改造，两省一市人民政府应当加强监督检查。</w:t>
                  </w:r>
                </w:p>
                <w:p w14:paraId="5F8EC28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第二十九条 新孟河、望虞河以外的其他主要入太湖河道，自河口1万米上溯至5万米河道岸线内及其岸线两侧各1000米范围内，禁止下列行为：</w:t>
                  </w:r>
                </w:p>
                <w:p w14:paraId="03FFD01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（一）新建、扩建化工、医药生产项目；</w:t>
                  </w:r>
                </w:p>
                <w:p w14:paraId="63B66C8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（二）新建、扩建污水集中处理设施排污口以外的排污口；</w:t>
                  </w:r>
                </w:p>
                <w:p w14:paraId="1127FF0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（三）扩大水产养殖规模。</w:t>
                  </w:r>
                </w:p>
                <w:p w14:paraId="355EC09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第三十条 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26127DB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（一）设置剧毒物质、危险化学品的贮存、输送设施和废物回收场、垃圾场；</w:t>
                  </w:r>
                </w:p>
                <w:p w14:paraId="39FDC24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（二）设置水上餐饮经营设施；</w:t>
                  </w:r>
                </w:p>
                <w:p w14:paraId="4269AFA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（三）新建、扩建高尔夫球场；</w:t>
                  </w:r>
                </w:p>
                <w:p w14:paraId="725F3A9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（四）新建、扩建畜禽养殖场；</w:t>
                  </w:r>
                </w:p>
                <w:p w14:paraId="4C23CC7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（五）新建、扩建向水体排放污染物的建设项目；</w:t>
                  </w:r>
                </w:p>
                <w:p w14:paraId="39FDDE4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（六）本条例第二十九条规定的行为。</w:t>
                  </w:r>
                </w:p>
                <w:p w14:paraId="6AFA06B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已经设置前款第一项、第二项规定设施的，当地县级人民政府应当责令拆除或者关闭。</w:t>
                  </w:r>
                </w:p>
              </w:tc>
              <w:tc>
                <w:tcPr>
                  <w:tcW w:w="889" w:type="pct"/>
                  <w:vAlign w:val="center"/>
                </w:tcPr>
                <w:p w14:paraId="634F976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本项目为</w:t>
                  </w:r>
                  <w:r>
                    <w:rPr>
                      <w:rFonts w:hint="eastAsia" w:eastAsia="仿宋" w:cs="Times New Roman"/>
                      <w:color w:val="auto"/>
                      <w:kern w:val="0"/>
                      <w:szCs w:val="21"/>
                      <w:highlight w:val="none"/>
                      <w:lang w:eastAsia="zh-CN"/>
                    </w:rPr>
                    <w:t>苏南骨伤科中心（急救创伤病房大楼扩建及分中心病房改造）</w:t>
                  </w:r>
                  <w:r>
                    <w:rPr>
                      <w:rFonts w:hint="default" w:ascii="Times New Roman" w:hAnsi="Times New Roman" w:eastAsia="仿宋" w:cs="Times New Roman"/>
                      <w:color w:val="auto"/>
                      <w:kern w:val="0"/>
                      <w:szCs w:val="21"/>
                      <w:highlight w:val="none"/>
                    </w:rPr>
                    <w:t>，符合国家和地方产业发展政策，不属于《太湖流域管理条例》禁止建设项目。</w:t>
                  </w:r>
                </w:p>
              </w:tc>
              <w:tc>
                <w:tcPr>
                  <w:tcW w:w="473" w:type="pct"/>
                  <w:vAlign w:val="center"/>
                </w:tcPr>
                <w:p w14:paraId="266EA4E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相符</w:t>
                  </w:r>
                </w:p>
              </w:tc>
            </w:tr>
            <w:tr w14:paraId="1847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pct"/>
                  <w:vAlign w:val="center"/>
                </w:tcPr>
                <w:p w14:paraId="36DF3F1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《江苏省太湖水污染防治条例》</w:t>
                  </w:r>
                </w:p>
              </w:tc>
              <w:tc>
                <w:tcPr>
                  <w:tcW w:w="2859" w:type="pct"/>
                  <w:vAlign w:val="center"/>
                </w:tcPr>
                <w:p w14:paraId="40DF959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第四十三条规定：“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地；（八）违法开山采石，或者进行破坏林木、植被、水生生物的活动；（九）法律、法规禁止的其他行为。”</w:t>
                  </w:r>
                </w:p>
                <w:p w14:paraId="5C3AF77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第四十六条规定：“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1.1倍实施减量替代；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w:t>
                  </w:r>
                </w:p>
              </w:tc>
              <w:tc>
                <w:tcPr>
                  <w:tcW w:w="889" w:type="pct"/>
                  <w:vAlign w:val="center"/>
                </w:tcPr>
                <w:p w14:paraId="73441B4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本项目为</w:t>
                  </w:r>
                  <w:r>
                    <w:rPr>
                      <w:rFonts w:hint="eastAsia" w:eastAsia="仿宋" w:cs="Times New Roman"/>
                      <w:color w:val="auto"/>
                      <w:kern w:val="0"/>
                      <w:szCs w:val="21"/>
                      <w:highlight w:val="none"/>
                      <w:lang w:eastAsia="zh-CN"/>
                    </w:rPr>
                    <w:t>苏南骨伤科中心（急救创伤病房大楼扩建及分中心病房改造）</w:t>
                  </w:r>
                  <w:r>
                    <w:rPr>
                      <w:rFonts w:hint="default" w:ascii="Times New Roman" w:hAnsi="Times New Roman" w:eastAsia="仿宋" w:cs="Times New Roman"/>
                      <w:color w:val="auto"/>
                      <w:kern w:val="0"/>
                      <w:szCs w:val="21"/>
                      <w:highlight w:val="none"/>
                    </w:rPr>
                    <w:t>，不属于该条例禁止建设的企业和项目；</w:t>
                  </w:r>
                  <w:r>
                    <w:rPr>
                      <w:rFonts w:hint="eastAsia" w:eastAsia="仿宋" w:cs="Times New Roman"/>
                      <w:color w:val="auto"/>
                      <w:kern w:val="0"/>
                      <w:szCs w:val="21"/>
                      <w:highlight w:val="none"/>
                      <w:lang w:eastAsia="zh-CN"/>
                    </w:rPr>
                    <w:t>本项目病房及急诊废水排入院内污水处理站处理，生活废水经化粪池、食堂废水经隔油池预处理后排入院内污水处理站处理，均接管至金坛第一污水处理厂处理后排入丹金溧漕河。</w:t>
                  </w:r>
                  <w:r>
                    <w:rPr>
                      <w:rFonts w:hint="default" w:ascii="Times New Roman" w:hAnsi="Times New Roman" w:eastAsia="仿宋" w:cs="Times New Roman"/>
                      <w:color w:val="auto"/>
                      <w:kern w:val="0"/>
                      <w:szCs w:val="21"/>
                      <w:highlight w:val="none"/>
                    </w:rPr>
                    <w:t>因此，本项目符合《江苏省太湖水污染保护条例》。</w:t>
                  </w:r>
                </w:p>
              </w:tc>
              <w:tc>
                <w:tcPr>
                  <w:tcW w:w="473" w:type="pct"/>
                  <w:vAlign w:val="center"/>
                </w:tcPr>
                <w:p w14:paraId="4E40740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相符</w:t>
                  </w:r>
                </w:p>
              </w:tc>
            </w:tr>
          </w:tbl>
          <w:p w14:paraId="4AEFE114">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sz w:val="21"/>
                <w:szCs w:val="21"/>
                <w:highlight w:val="none"/>
                <w:lang w:eastAsia="zh-CN"/>
              </w:rPr>
              <w:t>（</w:t>
            </w:r>
            <w:r>
              <w:rPr>
                <w:rFonts w:hint="eastAsia" w:eastAsia="仿宋" w:cs="Times New Roman"/>
                <w:color w:val="auto"/>
                <w:sz w:val="21"/>
                <w:szCs w:val="21"/>
                <w:highlight w:val="none"/>
                <w:lang w:val="en-US" w:eastAsia="zh-CN"/>
              </w:rPr>
              <w:t>7</w:t>
            </w:r>
            <w:r>
              <w:rPr>
                <w:rFonts w:hint="eastAsia" w:eastAsia="仿宋" w:cs="Times New Roman"/>
                <w:color w:val="auto"/>
                <w:sz w:val="21"/>
                <w:szCs w:val="21"/>
                <w:highlight w:val="none"/>
                <w:lang w:eastAsia="zh-CN"/>
              </w:rPr>
              <w:t>）</w:t>
            </w:r>
            <w:r>
              <w:rPr>
                <w:rFonts w:hint="eastAsia" w:ascii="Times New Roman" w:hAnsi="Times New Roman" w:eastAsia="仿宋" w:cs="Times New Roman"/>
                <w:color w:val="auto"/>
                <w:kern w:val="0"/>
                <w:sz w:val="21"/>
                <w:szCs w:val="21"/>
                <w:highlight w:val="none"/>
                <w:lang w:val="en-US" w:eastAsia="zh-CN"/>
              </w:rPr>
              <w:t>与《关于做好生态环境和应急部门联动工作的意见》（苏环办[2020]101 号）相符性分析</w:t>
            </w:r>
          </w:p>
          <w:p w14:paraId="15589E14">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金坛第一人民医院是各类环境治理设施建设、运行、维护的责任主体。单位要对医疗废物生产及处置等开展安全风险辨识管控，严格依据规范建设环境治理设施，确保治理设施安全、稳定有效运行。</w:t>
            </w:r>
          </w:p>
          <w:p w14:paraId="4E62BB4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表1</w:t>
            </w:r>
            <w:r>
              <w:rPr>
                <w:rFonts w:hint="eastAsia" w:eastAsia="仿宋" w:cs="Times New Roman"/>
                <w:b/>
                <w:bCs/>
                <w:color w:val="auto"/>
                <w:sz w:val="21"/>
                <w:szCs w:val="21"/>
                <w:highlight w:val="none"/>
                <w:lang w:val="en-US" w:eastAsia="zh-CN"/>
              </w:rPr>
              <w:t>-7</w:t>
            </w:r>
            <w:r>
              <w:rPr>
                <w:rFonts w:hint="default" w:ascii="Times New Roman" w:hAnsi="Times New Roman" w:eastAsia="仿宋" w:cs="Times New Roman"/>
                <w:b/>
                <w:bCs/>
                <w:color w:val="auto"/>
                <w:sz w:val="21"/>
                <w:szCs w:val="21"/>
                <w:highlight w:val="none"/>
                <w:lang w:val="en-US" w:eastAsia="zh-CN"/>
              </w:rPr>
              <w:t>《关于做好生态环境和应急管理部门联动工作的意见》</w:t>
            </w: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苏环办[2020]10</w:t>
            </w:r>
            <w:r>
              <w:rPr>
                <w:rFonts w:hint="eastAsia" w:ascii="Times New Roman" w:hAnsi="Times New Roman" w:eastAsia="仿宋" w:cs="Times New Roman"/>
                <w:b/>
                <w:bCs/>
                <w:color w:val="auto"/>
                <w:sz w:val="21"/>
                <w:szCs w:val="21"/>
                <w:highlight w:val="none"/>
                <w:lang w:val="en-US" w:eastAsia="zh-CN"/>
              </w:rPr>
              <w:t>1号）</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998"/>
              <w:gridCol w:w="5450"/>
            </w:tblGrid>
            <w:tr w14:paraId="118C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460" w:type="pct"/>
                  <w:vAlign w:val="center"/>
                </w:tcPr>
                <w:p w14:paraId="0A72D0A3">
                  <w:pPr>
                    <w:widowControl w:val="0"/>
                    <w:overflowPunct w:val="0"/>
                    <w:adjustRightInd w:val="0"/>
                    <w:snapToGrid/>
                    <w:spacing w:line="312" w:lineRule="exact"/>
                    <w:ind w:firstLine="0" w:firstLineChars="0"/>
                    <w:jc w:val="center"/>
                    <w:textAlignment w:val="baseline"/>
                    <w:rPr>
                      <w:rFonts w:hint="default" w:ascii="Times New Roman" w:hAnsi="Times New Roman" w:eastAsia="仿宋" w:cs="Times New Roman"/>
                      <w:b/>
                      <w:bCs/>
                      <w:color w:val="auto"/>
                      <w:kern w:val="0"/>
                      <w:sz w:val="21"/>
                      <w:highlight w:val="none"/>
                      <w:lang w:val="en-US" w:eastAsia="zh-CN" w:bidi="ar-SA"/>
                    </w:rPr>
                  </w:pPr>
                  <w:r>
                    <w:rPr>
                      <w:rFonts w:hint="eastAsia" w:ascii="Times New Roman" w:hAnsi="Times New Roman" w:eastAsia="仿宋" w:cs="Times New Roman"/>
                      <w:b/>
                      <w:bCs/>
                      <w:color w:val="auto"/>
                      <w:kern w:val="0"/>
                      <w:sz w:val="21"/>
                      <w:highlight w:val="none"/>
                      <w:lang w:val="en-US" w:eastAsia="zh-CN" w:bidi="ar-SA"/>
                    </w:rPr>
                    <w:t>序号</w:t>
                  </w:r>
                </w:p>
              </w:tc>
              <w:tc>
                <w:tcPr>
                  <w:tcW w:w="4539" w:type="pct"/>
                  <w:gridSpan w:val="2"/>
                  <w:vAlign w:val="center"/>
                </w:tcPr>
                <w:p w14:paraId="0D206BAC">
                  <w:pPr>
                    <w:widowControl w:val="0"/>
                    <w:overflowPunct w:val="0"/>
                    <w:adjustRightInd w:val="0"/>
                    <w:snapToGrid/>
                    <w:spacing w:line="312" w:lineRule="exact"/>
                    <w:ind w:firstLine="0" w:firstLineChars="0"/>
                    <w:jc w:val="center"/>
                    <w:textAlignment w:val="baseline"/>
                    <w:rPr>
                      <w:rFonts w:hint="default" w:ascii="Times New Roman" w:hAnsi="Times New Roman" w:eastAsia="仿宋" w:cs="Times New Roman"/>
                      <w:b/>
                      <w:bCs/>
                      <w:color w:val="auto"/>
                      <w:kern w:val="0"/>
                      <w:sz w:val="21"/>
                      <w:highlight w:val="none"/>
                      <w:lang w:val="en-US" w:eastAsia="zh-CN" w:bidi="ar-SA"/>
                    </w:rPr>
                  </w:pPr>
                  <w:r>
                    <w:rPr>
                      <w:rFonts w:hint="default" w:ascii="Times New Roman" w:hAnsi="Times New Roman" w:eastAsia="仿宋" w:cs="Times New Roman"/>
                      <w:b/>
                      <w:bCs/>
                      <w:color w:val="auto"/>
                      <w:kern w:val="0"/>
                      <w:sz w:val="21"/>
                      <w:highlight w:val="none"/>
                      <w:lang w:val="en-US" w:eastAsia="zh-CN" w:bidi="ar-SA"/>
                    </w:rPr>
                    <w:t>文件要求</w:t>
                  </w:r>
                </w:p>
              </w:tc>
            </w:tr>
            <w:tr w14:paraId="56CA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vAlign w:val="center"/>
                </w:tcPr>
                <w:p w14:paraId="5BC31D7B">
                  <w:pPr>
                    <w:widowControl w:val="0"/>
                    <w:overflowPunct w:val="0"/>
                    <w:adjustRightInd w:val="0"/>
                    <w:snapToGrid/>
                    <w:spacing w:line="312" w:lineRule="exact"/>
                    <w:ind w:firstLine="0" w:firstLineChars="0"/>
                    <w:jc w:val="center"/>
                    <w:textAlignment w:val="baseline"/>
                    <w:rPr>
                      <w:rFonts w:hint="default" w:ascii="Times New Roman" w:hAnsi="Times New Roman" w:eastAsia="仿宋" w:cs="Times New Roman"/>
                      <w:color w:val="auto"/>
                      <w:kern w:val="0"/>
                      <w:sz w:val="21"/>
                      <w:highlight w:val="none"/>
                      <w:lang w:val="en-US" w:eastAsia="zh-CN" w:bidi="ar-SA"/>
                    </w:rPr>
                  </w:pPr>
                  <w:r>
                    <w:rPr>
                      <w:rFonts w:hint="eastAsia" w:ascii="Times New Roman" w:hAnsi="Times New Roman" w:eastAsia="仿宋" w:cs="Times New Roman"/>
                      <w:color w:val="auto"/>
                      <w:kern w:val="0"/>
                      <w:sz w:val="21"/>
                      <w:highlight w:val="none"/>
                      <w:lang w:val="en-US" w:eastAsia="zh-CN" w:bidi="ar-SA"/>
                    </w:rPr>
                    <w:t>1</w:t>
                  </w:r>
                </w:p>
              </w:tc>
              <w:tc>
                <w:tcPr>
                  <w:tcW w:w="584" w:type="pct"/>
                  <w:vAlign w:val="center"/>
                </w:tcPr>
                <w:p w14:paraId="7D4DC88B">
                  <w:pPr>
                    <w:widowControl w:val="0"/>
                    <w:overflowPunct w:val="0"/>
                    <w:adjustRightInd w:val="0"/>
                    <w:snapToGrid/>
                    <w:spacing w:line="312" w:lineRule="exact"/>
                    <w:ind w:firstLine="0" w:firstLineChars="0"/>
                    <w:jc w:val="center"/>
                    <w:textAlignment w:val="baseline"/>
                    <w:rPr>
                      <w:rFonts w:hint="default" w:ascii="Times New Roman" w:hAnsi="Times New Roman" w:eastAsia="仿宋" w:cs="Times New Roman"/>
                      <w:color w:val="auto"/>
                      <w:kern w:val="0"/>
                      <w:sz w:val="21"/>
                      <w:highlight w:val="none"/>
                      <w:lang w:val="en-US" w:eastAsia="zh-CN" w:bidi="ar-SA"/>
                    </w:rPr>
                  </w:pPr>
                  <w:r>
                    <w:rPr>
                      <w:rFonts w:hint="eastAsia" w:ascii="Times New Roman" w:hAnsi="Times New Roman" w:eastAsia="仿宋" w:cs="Times New Roman"/>
                      <w:color w:val="auto"/>
                      <w:kern w:val="0"/>
                      <w:sz w:val="21"/>
                      <w:highlight w:val="none"/>
                      <w:lang w:val="en-US" w:eastAsia="zh-CN" w:bidi="ar-SA"/>
                    </w:rPr>
                    <w:t>建立危险废物监管联动机制</w:t>
                  </w:r>
                </w:p>
              </w:tc>
              <w:tc>
                <w:tcPr>
                  <w:tcW w:w="3955" w:type="pct"/>
                  <w:vAlign w:val="center"/>
                </w:tcPr>
                <w:p w14:paraId="78012941">
                  <w:pPr>
                    <w:widowControl w:val="0"/>
                    <w:overflowPunct w:val="0"/>
                    <w:adjustRightInd w:val="0"/>
                    <w:snapToGrid/>
                    <w:spacing w:line="312" w:lineRule="exact"/>
                    <w:ind w:firstLine="0" w:firstLineChars="0"/>
                    <w:jc w:val="left"/>
                    <w:textAlignment w:val="baseline"/>
                    <w:rPr>
                      <w:rFonts w:hint="default" w:ascii="Times New Roman" w:hAnsi="Times New Roman" w:eastAsia="仿宋" w:cs="Times New Roman"/>
                      <w:color w:val="auto"/>
                      <w:kern w:val="0"/>
                      <w:sz w:val="21"/>
                      <w:highlight w:val="none"/>
                      <w:lang w:val="en-US" w:eastAsia="zh-CN" w:bidi="ar-SA"/>
                    </w:rPr>
                  </w:pPr>
                  <w:r>
                    <w:rPr>
                      <w:rFonts w:hint="default" w:ascii="Times New Roman" w:hAnsi="Times New Roman" w:eastAsia="仿宋" w:cs="Times New Roman"/>
                      <w:color w:val="auto"/>
                      <w:kern w:val="0"/>
                      <w:sz w:val="21"/>
                      <w:highlight w:val="none"/>
                      <w:lang w:val="en-US" w:eastAsia="zh-CN" w:bidi="ar-SA"/>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w:t>
                  </w:r>
                </w:p>
                <w:p w14:paraId="358391E4">
                  <w:pPr>
                    <w:widowControl w:val="0"/>
                    <w:overflowPunct w:val="0"/>
                    <w:adjustRightInd w:val="0"/>
                    <w:snapToGrid/>
                    <w:spacing w:line="312" w:lineRule="exact"/>
                    <w:ind w:firstLine="0" w:firstLineChars="0"/>
                    <w:jc w:val="left"/>
                    <w:textAlignment w:val="baseline"/>
                    <w:rPr>
                      <w:rFonts w:hint="default" w:ascii="Times New Roman" w:hAnsi="Times New Roman" w:eastAsia="仿宋" w:cs="Times New Roman"/>
                      <w:color w:val="auto"/>
                      <w:kern w:val="0"/>
                      <w:sz w:val="21"/>
                      <w:highlight w:val="none"/>
                      <w:lang w:val="en-US" w:eastAsia="zh-CN" w:bidi="ar-SA"/>
                    </w:rPr>
                  </w:pPr>
                  <w:r>
                    <w:rPr>
                      <w:rFonts w:hint="default" w:ascii="Times New Roman" w:hAnsi="Times New Roman" w:eastAsia="仿宋" w:cs="Times New Roman"/>
                      <w:color w:val="auto"/>
                      <w:kern w:val="0"/>
                      <w:sz w:val="21"/>
                      <w:highlight w:val="none"/>
                      <w:lang w:val="en-US" w:eastAsia="zh-CN" w:bidi="ar-SA"/>
                    </w:rPr>
                    <w:t>生态环境部门依法对危险废物的收集、贮存、处置等进行监督管理。收到企业废弃危险化学品等危险废物管理计划后</w:t>
                  </w:r>
                  <w:r>
                    <w:rPr>
                      <w:rFonts w:hint="eastAsia" w:ascii="Times New Roman" w:hAnsi="Times New Roman" w:eastAsia="仿宋" w:cs="Times New Roman"/>
                      <w:color w:val="auto"/>
                      <w:kern w:val="0"/>
                      <w:sz w:val="21"/>
                      <w:highlight w:val="none"/>
                      <w:lang w:val="en-US" w:eastAsia="zh-CN" w:bidi="ar-SA"/>
                    </w:rPr>
                    <w:t>，</w:t>
                  </w:r>
                  <w:r>
                    <w:rPr>
                      <w:rFonts w:hint="default" w:ascii="Times New Roman" w:hAnsi="Times New Roman" w:eastAsia="仿宋" w:cs="Times New Roman"/>
                      <w:color w:val="auto"/>
                      <w:kern w:val="0"/>
                      <w:sz w:val="21"/>
                      <w:highlight w:val="none"/>
                      <w:lang w:val="en-US" w:eastAsia="zh-CN" w:bidi="ar-SA"/>
                    </w:rPr>
                    <w:t>对符合备案要求的，纳入危险废物管理。生态环境部门要将危险废物管理计划备案情况及时通报应急管理部门。</w:t>
                  </w:r>
                </w:p>
                <w:p w14:paraId="5EAD0954">
                  <w:pPr>
                    <w:widowControl w:val="0"/>
                    <w:overflowPunct w:val="0"/>
                    <w:adjustRightInd w:val="0"/>
                    <w:snapToGrid/>
                    <w:spacing w:line="312" w:lineRule="exact"/>
                    <w:ind w:firstLine="0" w:firstLineChars="0"/>
                    <w:jc w:val="left"/>
                    <w:textAlignment w:val="baseline"/>
                    <w:rPr>
                      <w:rFonts w:hint="default" w:ascii="Times New Roman" w:hAnsi="Times New Roman" w:eastAsia="仿宋" w:cs="Times New Roman"/>
                      <w:color w:val="auto"/>
                      <w:kern w:val="0"/>
                      <w:sz w:val="21"/>
                      <w:highlight w:val="none"/>
                      <w:lang w:val="en-US" w:eastAsia="zh-CN" w:bidi="ar-SA"/>
                    </w:rPr>
                  </w:pPr>
                  <w:r>
                    <w:rPr>
                      <w:rFonts w:hint="default" w:ascii="Times New Roman" w:hAnsi="Times New Roman" w:eastAsia="仿宋" w:cs="Times New Roman"/>
                      <w:color w:val="auto"/>
                      <w:kern w:val="0"/>
                      <w:sz w:val="21"/>
                      <w:highlight w:val="none"/>
                      <w:lang w:val="en-US" w:eastAsia="zh-CN" w:bidi="ar-SA"/>
                    </w:rPr>
                    <w:t>应急管理部门要督促企业加强安全生产工作，加强危险化学品企业中间产品、最终产品以及拟废弃危险化学品的安全管理。应急管理部门接到生态环境部门移送安全隐患线索的函后</w:t>
                  </w:r>
                  <w:r>
                    <w:rPr>
                      <w:rFonts w:hint="eastAsia" w:ascii="Times New Roman" w:hAnsi="Times New Roman" w:cs="Times New Roman"/>
                      <w:color w:val="auto"/>
                      <w:kern w:val="0"/>
                      <w:sz w:val="21"/>
                      <w:highlight w:val="none"/>
                      <w:lang w:val="en-US" w:eastAsia="zh-CN" w:bidi="ar-SA"/>
                    </w:rPr>
                    <w:t>，</w:t>
                  </w:r>
                  <w:r>
                    <w:rPr>
                      <w:rFonts w:hint="default" w:ascii="Times New Roman" w:hAnsi="Times New Roman" w:eastAsia="仿宋" w:cs="Times New Roman"/>
                      <w:color w:val="auto"/>
                      <w:kern w:val="0"/>
                      <w:sz w:val="21"/>
                      <w:highlight w:val="none"/>
                      <w:lang w:val="en-US" w:eastAsia="zh-CN" w:bidi="ar-SA"/>
                    </w:rPr>
                    <w:t>应组织现场核查，依法依规查处，并督促企业将隐患整改到位。对于涉及安全和环保标准要求存在不一致的</w:t>
                  </w:r>
                  <w:r>
                    <w:rPr>
                      <w:rFonts w:hint="eastAsia" w:ascii="Times New Roman" w:hAnsi="Times New Roman" w:eastAsia="仿宋" w:cs="Times New Roman"/>
                      <w:color w:val="auto"/>
                      <w:kern w:val="0"/>
                      <w:sz w:val="21"/>
                      <w:highlight w:val="none"/>
                      <w:lang w:val="en-US" w:eastAsia="zh-CN" w:bidi="ar-SA"/>
                    </w:rPr>
                    <w:t>，</w:t>
                  </w:r>
                  <w:r>
                    <w:rPr>
                      <w:rFonts w:hint="default" w:ascii="Times New Roman" w:hAnsi="Times New Roman" w:eastAsia="仿宋" w:cs="Times New Roman"/>
                      <w:color w:val="auto"/>
                      <w:kern w:val="0"/>
                      <w:sz w:val="21"/>
                      <w:highlight w:val="none"/>
                      <w:lang w:val="en-US" w:eastAsia="zh-CN" w:bidi="ar-SA"/>
                    </w:rPr>
                    <w:t>要及时会商，帮助企业解决。</w:t>
                  </w:r>
                </w:p>
              </w:tc>
            </w:tr>
            <w:tr w14:paraId="4FEE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pct"/>
                  <w:vAlign w:val="center"/>
                </w:tcPr>
                <w:p w14:paraId="78A0DC90">
                  <w:pPr>
                    <w:widowControl w:val="0"/>
                    <w:overflowPunct w:val="0"/>
                    <w:adjustRightInd w:val="0"/>
                    <w:snapToGrid/>
                    <w:spacing w:line="312" w:lineRule="exact"/>
                    <w:ind w:firstLine="0" w:firstLineChars="0"/>
                    <w:jc w:val="center"/>
                    <w:textAlignment w:val="baseline"/>
                    <w:rPr>
                      <w:rFonts w:hint="default" w:ascii="Times New Roman" w:hAnsi="Times New Roman" w:eastAsia="仿宋" w:cs="Times New Roman"/>
                      <w:color w:val="auto"/>
                      <w:kern w:val="0"/>
                      <w:sz w:val="21"/>
                      <w:highlight w:val="none"/>
                      <w:lang w:val="en-US" w:eastAsia="zh-CN" w:bidi="ar-SA"/>
                    </w:rPr>
                  </w:pPr>
                  <w:r>
                    <w:rPr>
                      <w:rFonts w:hint="eastAsia" w:ascii="Times New Roman" w:hAnsi="Times New Roman" w:eastAsia="仿宋" w:cs="Times New Roman"/>
                      <w:color w:val="auto"/>
                      <w:kern w:val="0"/>
                      <w:sz w:val="21"/>
                      <w:highlight w:val="none"/>
                      <w:lang w:val="en-US" w:eastAsia="zh-CN" w:bidi="ar-SA"/>
                    </w:rPr>
                    <w:t>2</w:t>
                  </w:r>
                </w:p>
              </w:tc>
              <w:tc>
                <w:tcPr>
                  <w:tcW w:w="584" w:type="pct"/>
                  <w:vAlign w:val="center"/>
                </w:tcPr>
                <w:p w14:paraId="330FDC2E">
                  <w:pPr>
                    <w:widowControl w:val="0"/>
                    <w:overflowPunct w:val="0"/>
                    <w:adjustRightInd w:val="0"/>
                    <w:snapToGrid/>
                    <w:spacing w:line="312" w:lineRule="exact"/>
                    <w:ind w:firstLine="0" w:firstLineChars="0"/>
                    <w:jc w:val="center"/>
                    <w:textAlignment w:val="baseline"/>
                    <w:rPr>
                      <w:rFonts w:hint="default" w:ascii="Times New Roman" w:hAnsi="Times New Roman" w:eastAsia="仿宋" w:cs="Times New Roman"/>
                      <w:color w:val="auto"/>
                      <w:kern w:val="0"/>
                      <w:sz w:val="21"/>
                      <w:highlight w:val="none"/>
                      <w:lang w:val="en-US" w:eastAsia="zh-CN" w:bidi="ar-SA"/>
                    </w:rPr>
                  </w:pPr>
                  <w:r>
                    <w:rPr>
                      <w:rFonts w:hint="eastAsia" w:ascii="Times New Roman" w:hAnsi="Times New Roman" w:eastAsia="仿宋" w:cs="Times New Roman"/>
                      <w:color w:val="auto"/>
                      <w:kern w:val="0"/>
                      <w:sz w:val="21"/>
                      <w:highlight w:val="none"/>
                      <w:lang w:val="en-US" w:eastAsia="zh-CN" w:bidi="ar-SA"/>
                    </w:rPr>
                    <w:t>建立环境治理设施监管联动机制</w:t>
                  </w:r>
                </w:p>
              </w:tc>
              <w:tc>
                <w:tcPr>
                  <w:tcW w:w="3955" w:type="pct"/>
                  <w:vAlign w:val="center"/>
                </w:tcPr>
                <w:p w14:paraId="308FC38A">
                  <w:pPr>
                    <w:widowControl w:val="0"/>
                    <w:overflowPunct w:val="0"/>
                    <w:adjustRightInd w:val="0"/>
                    <w:snapToGrid/>
                    <w:spacing w:line="312" w:lineRule="exact"/>
                    <w:ind w:firstLine="0" w:firstLineChars="0"/>
                    <w:jc w:val="left"/>
                    <w:textAlignment w:val="baseline"/>
                    <w:rPr>
                      <w:rFonts w:hint="default" w:ascii="Times New Roman" w:hAnsi="Times New Roman" w:eastAsia="仿宋" w:cs="Times New Roman"/>
                      <w:color w:val="auto"/>
                      <w:kern w:val="0"/>
                      <w:sz w:val="21"/>
                      <w:highlight w:val="none"/>
                      <w:lang w:val="en-US" w:eastAsia="zh-CN" w:bidi="ar-SA"/>
                    </w:rPr>
                  </w:pPr>
                  <w:r>
                    <w:rPr>
                      <w:rFonts w:hint="eastAsia" w:ascii="Times New Roman" w:hAnsi="Times New Roman" w:eastAsia="仿宋" w:cs="Times New Roman"/>
                      <w:color w:val="auto"/>
                      <w:kern w:val="0"/>
                      <w:sz w:val="21"/>
                      <w:highlight w:val="none"/>
                      <w:lang w:val="en-US" w:eastAsia="zh-CN" w:bidi="ar-SA"/>
                    </w:rPr>
                    <w:t>企</w:t>
                  </w:r>
                  <w:r>
                    <w:rPr>
                      <w:rFonts w:hint="default" w:ascii="Times New Roman" w:hAnsi="Times New Roman" w:eastAsia="仿宋" w:cs="Times New Roman"/>
                      <w:color w:val="auto"/>
                      <w:kern w:val="0"/>
                      <w:sz w:val="21"/>
                      <w:highlight w:val="none"/>
                      <w:lang w:val="en-US" w:eastAsia="zh-CN" w:bidi="ar-SA"/>
                    </w:rPr>
                    <w:t>业是各类环境治理设施建设、运行、维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14:paraId="2C4EC18C">
                  <w:pPr>
                    <w:widowControl w:val="0"/>
                    <w:overflowPunct w:val="0"/>
                    <w:adjustRightInd w:val="0"/>
                    <w:snapToGrid/>
                    <w:spacing w:line="312" w:lineRule="exact"/>
                    <w:ind w:firstLine="0" w:firstLineChars="0"/>
                    <w:jc w:val="left"/>
                    <w:textAlignment w:val="baseline"/>
                    <w:rPr>
                      <w:rFonts w:hint="default" w:ascii="Times New Roman" w:hAnsi="Times New Roman" w:eastAsia="仿宋" w:cs="Times New Roman"/>
                      <w:color w:val="auto"/>
                      <w:kern w:val="0"/>
                      <w:sz w:val="21"/>
                      <w:highlight w:val="none"/>
                      <w:lang w:val="en-US" w:eastAsia="zh-CN" w:bidi="ar-SA"/>
                    </w:rPr>
                  </w:pPr>
                  <w:r>
                    <w:rPr>
                      <w:rFonts w:hint="default" w:ascii="Times New Roman" w:hAnsi="Times New Roman" w:eastAsia="仿宋" w:cs="Times New Roman"/>
                      <w:color w:val="auto"/>
                      <w:kern w:val="0"/>
                      <w:sz w:val="21"/>
                      <w:highlight w:val="none"/>
                      <w:lang w:val="en-US" w:eastAsia="zh-CN" w:bidi="ar-SA"/>
                    </w:rPr>
                    <w:t>生态环境部门在上述六类环境治理设施的环评审批过程中，要督促企业开展安全风险辨识，并将已审批的环境治理设施项目及时通报应急管理部门。生态环境部门在日常环境监管中，将发现的安全隐患线索及时移送应急管理部门。</w:t>
                  </w:r>
                </w:p>
                <w:p w14:paraId="2CA2DBD5">
                  <w:pPr>
                    <w:widowControl w:val="0"/>
                    <w:overflowPunct w:val="0"/>
                    <w:adjustRightInd w:val="0"/>
                    <w:snapToGrid/>
                    <w:spacing w:line="312" w:lineRule="exact"/>
                    <w:ind w:firstLine="0" w:firstLineChars="0"/>
                    <w:jc w:val="left"/>
                    <w:textAlignment w:val="baseline"/>
                    <w:rPr>
                      <w:rFonts w:hint="eastAsia" w:ascii="Times New Roman" w:hAnsi="Times New Roman" w:eastAsia="仿宋" w:cs="Times New Roman"/>
                      <w:color w:val="auto"/>
                      <w:kern w:val="0"/>
                      <w:sz w:val="21"/>
                      <w:highlight w:val="none"/>
                      <w:lang w:val="en-US" w:eastAsia="zh-CN" w:bidi="ar-SA"/>
                    </w:rPr>
                  </w:pPr>
                  <w:r>
                    <w:rPr>
                      <w:rFonts w:hint="default" w:ascii="Times New Roman" w:hAnsi="Times New Roman" w:eastAsia="仿宋" w:cs="Times New Roman"/>
                      <w:color w:val="auto"/>
                      <w:kern w:val="0"/>
                      <w:sz w:val="21"/>
                      <w:highlight w:val="none"/>
                      <w:lang w:val="en-US" w:eastAsia="zh-CN" w:bidi="ar-SA"/>
                    </w:rPr>
                    <w:t>应急管理部门应当将上述六类环境治理设施纳入安全监管范围，推进企业安全生产标准化体系建设。对生态环境部门发现移送的安全隐患线索进行核查，督促企业进行整改，消除安全隐患。</w:t>
                  </w:r>
                </w:p>
              </w:tc>
            </w:tr>
          </w:tbl>
          <w:p w14:paraId="567E2725">
            <w:pPr>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eastAsia="zh-CN"/>
              </w:rPr>
              <w:t>（</w:t>
            </w:r>
            <w:r>
              <w:rPr>
                <w:rFonts w:hint="eastAsia" w:eastAsia="仿宋" w:cs="Times New Roman"/>
                <w:color w:val="auto"/>
                <w:sz w:val="21"/>
                <w:szCs w:val="21"/>
                <w:highlight w:val="none"/>
                <w:lang w:val="en-US" w:eastAsia="zh-CN"/>
              </w:rPr>
              <w:t>8</w:t>
            </w:r>
            <w:r>
              <w:rPr>
                <w:rFonts w:hint="eastAsia"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产业政策相符性分析</w:t>
            </w:r>
          </w:p>
          <w:p w14:paraId="06498251">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本项目为</w:t>
            </w:r>
            <w:r>
              <w:rPr>
                <w:rFonts w:hint="eastAsia" w:ascii="Times New Roman" w:hAnsi="Times New Roman" w:eastAsia="仿宋" w:cs="Times New Roman"/>
                <w:color w:val="auto"/>
                <w:kern w:val="0"/>
                <w:sz w:val="21"/>
                <w:szCs w:val="21"/>
                <w:highlight w:val="none"/>
                <w:lang w:val="en-US" w:eastAsia="zh-CN"/>
              </w:rPr>
              <w:t>综合医院</w:t>
            </w:r>
            <w:r>
              <w:rPr>
                <w:rFonts w:hint="default" w:ascii="Times New Roman" w:hAnsi="Times New Roman" w:eastAsia="仿宋" w:cs="Times New Roman"/>
                <w:color w:val="auto"/>
                <w:kern w:val="0"/>
                <w:sz w:val="21"/>
                <w:szCs w:val="21"/>
                <w:highlight w:val="none"/>
                <w:lang w:val="en-US" w:eastAsia="zh-CN"/>
              </w:rPr>
              <w:t>建设项目</w:t>
            </w:r>
            <w:r>
              <w:rPr>
                <w:rFonts w:hint="eastAsia" w:ascii="Times New Roman" w:hAnsi="Times New Roman" w:eastAsia="仿宋" w:cs="Times New Roman"/>
                <w:color w:val="auto"/>
                <w:kern w:val="0"/>
                <w:sz w:val="21"/>
                <w:szCs w:val="21"/>
                <w:highlight w:val="none"/>
                <w:lang w:val="en-US" w:eastAsia="zh-CN"/>
              </w:rPr>
              <w:t>，</w:t>
            </w:r>
            <w:r>
              <w:rPr>
                <w:rFonts w:hint="default" w:ascii="Times New Roman" w:hAnsi="Times New Roman" w:eastAsia="仿宋" w:cs="Times New Roman"/>
                <w:color w:val="auto"/>
                <w:kern w:val="0"/>
                <w:sz w:val="21"/>
                <w:szCs w:val="21"/>
                <w:highlight w:val="none"/>
                <w:lang w:val="en-US" w:eastAsia="zh-CN"/>
              </w:rPr>
              <w:t>根据中华人民共和国国家发展和改革委员会令第</w:t>
            </w:r>
            <w:r>
              <w:rPr>
                <w:rFonts w:hint="eastAsia" w:ascii="Times New Roman" w:hAnsi="Times New Roman" w:eastAsia="仿宋" w:cs="Times New Roman"/>
                <w:color w:val="auto"/>
                <w:kern w:val="0"/>
                <w:sz w:val="21"/>
                <w:szCs w:val="21"/>
                <w:highlight w:val="none"/>
                <w:lang w:val="en-US" w:eastAsia="zh-CN"/>
              </w:rPr>
              <w:t>7</w:t>
            </w:r>
            <w:r>
              <w:rPr>
                <w:rFonts w:hint="default" w:ascii="Times New Roman" w:hAnsi="Times New Roman" w:eastAsia="仿宋" w:cs="Times New Roman"/>
                <w:color w:val="auto"/>
                <w:kern w:val="0"/>
                <w:sz w:val="21"/>
                <w:szCs w:val="21"/>
                <w:highlight w:val="none"/>
                <w:lang w:val="en-US" w:eastAsia="zh-CN"/>
              </w:rPr>
              <w:t>号</w:t>
            </w:r>
            <w:r>
              <w:rPr>
                <w:rFonts w:hint="eastAsia" w:ascii="Times New Roman" w:hAnsi="Times New Roman" w:eastAsia="仿宋" w:cs="Times New Roman"/>
                <w:color w:val="auto"/>
                <w:kern w:val="0"/>
                <w:sz w:val="21"/>
                <w:szCs w:val="21"/>
                <w:highlight w:val="none"/>
                <w:lang w:val="en-US" w:eastAsia="zh-CN"/>
              </w:rPr>
              <w:t>《产业结构调整指导目录（2024年本）》的有关规定</w:t>
            </w:r>
            <w:r>
              <w:rPr>
                <w:rFonts w:hint="default" w:ascii="Times New Roman" w:hAnsi="Times New Roman" w:eastAsia="仿宋" w:cs="Times New Roman"/>
                <w:color w:val="auto"/>
                <w:kern w:val="0"/>
                <w:sz w:val="21"/>
                <w:szCs w:val="21"/>
                <w:highlight w:val="none"/>
                <w:lang w:val="en-US" w:eastAsia="zh-CN"/>
              </w:rPr>
              <w:t>，本项目属于鼓励类中</w:t>
            </w:r>
            <w:r>
              <w:rPr>
                <w:rFonts w:hint="eastAsia" w:ascii="Times New Roman" w:hAnsi="Times New Roman" w:eastAsia="仿宋" w:cs="Times New Roman"/>
                <w:color w:val="auto"/>
                <w:kern w:val="0"/>
                <w:sz w:val="21"/>
                <w:szCs w:val="21"/>
                <w:highlight w:val="none"/>
                <w:lang w:val="en-US" w:eastAsia="zh-CN"/>
              </w:rPr>
              <w:t>“</w:t>
            </w:r>
            <w:r>
              <w:rPr>
                <w:rFonts w:hint="default" w:ascii="Times New Roman" w:hAnsi="Times New Roman" w:eastAsia="仿宋" w:cs="Times New Roman"/>
                <w:color w:val="auto"/>
                <w:kern w:val="0"/>
                <w:sz w:val="21"/>
                <w:szCs w:val="21"/>
                <w:highlight w:val="none"/>
                <w:lang w:val="en-US" w:eastAsia="zh-CN"/>
              </w:rPr>
              <w:t>三十七、卫生健康</w:t>
            </w:r>
            <w:r>
              <w:rPr>
                <w:rFonts w:hint="eastAsia" w:ascii="Times New Roman" w:hAnsi="Times New Roman" w:eastAsia="仿宋" w:cs="Times New Roman"/>
                <w:color w:val="auto"/>
                <w:kern w:val="0"/>
                <w:sz w:val="21"/>
                <w:szCs w:val="21"/>
                <w:highlight w:val="none"/>
                <w:lang w:val="en-US" w:eastAsia="zh-CN"/>
              </w:rPr>
              <w:t>”“1</w:t>
            </w:r>
            <w:r>
              <w:rPr>
                <w:rFonts w:hint="default" w:ascii="Times New Roman" w:hAnsi="Times New Roman" w:eastAsia="仿宋" w:cs="Times New Roman"/>
                <w:color w:val="auto"/>
                <w:kern w:val="0"/>
                <w:sz w:val="21"/>
                <w:szCs w:val="21"/>
                <w:highlight w:val="none"/>
                <w:lang w:val="en-US" w:eastAsia="zh-CN"/>
              </w:rPr>
              <w:t>、医疗服务设施建设</w:t>
            </w:r>
            <w:r>
              <w:rPr>
                <w:rFonts w:hint="eastAsia" w:ascii="Times New Roman" w:hAnsi="Times New Roman" w:eastAsia="仿宋" w:cs="Times New Roman"/>
                <w:color w:val="auto"/>
                <w:kern w:val="0"/>
                <w:sz w:val="21"/>
                <w:szCs w:val="21"/>
                <w:highlight w:val="none"/>
                <w:lang w:val="en-US" w:eastAsia="zh-CN"/>
              </w:rPr>
              <w:t>：预防保健、卫生应急、卫生监督服务设施建设，医疗卫生服务设施建设，传染病、儿童、精神卫生专科医院和康复医院（中心）、护理院（中心）、安宁疗护中心、全科医疗设施与服务，医养结合设施与服务”</w:t>
            </w:r>
            <w:r>
              <w:rPr>
                <w:rFonts w:hint="default" w:ascii="Times New Roman" w:hAnsi="Times New Roman" w:eastAsia="仿宋" w:cs="Times New Roman"/>
                <w:color w:val="auto"/>
                <w:kern w:val="0"/>
                <w:sz w:val="21"/>
                <w:szCs w:val="21"/>
                <w:highlight w:val="none"/>
                <w:lang w:val="en-US" w:eastAsia="zh-CN"/>
              </w:rPr>
              <w:t>，为国家</w:t>
            </w:r>
            <w:r>
              <w:rPr>
                <w:rFonts w:hint="eastAsia" w:ascii="Times New Roman" w:hAnsi="Times New Roman" w:eastAsia="仿宋" w:cs="Times New Roman"/>
                <w:color w:val="auto"/>
                <w:kern w:val="0"/>
                <w:sz w:val="21"/>
                <w:szCs w:val="21"/>
                <w:highlight w:val="none"/>
                <w:lang w:val="en-US" w:eastAsia="zh-CN"/>
              </w:rPr>
              <w:t>鼓励类</w:t>
            </w:r>
            <w:r>
              <w:rPr>
                <w:rFonts w:hint="default" w:ascii="Times New Roman" w:hAnsi="Times New Roman" w:eastAsia="仿宋" w:cs="Times New Roman"/>
                <w:color w:val="auto"/>
                <w:kern w:val="0"/>
                <w:sz w:val="21"/>
                <w:szCs w:val="21"/>
                <w:highlight w:val="none"/>
                <w:lang w:val="en-US" w:eastAsia="zh-CN"/>
              </w:rPr>
              <w:t>建设项目，符合国家产业政策。</w:t>
            </w:r>
          </w:p>
          <w:p w14:paraId="799DE94C">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同时，常州市金坛区发展和改革局以“坛发改投字【2024】76号”文</w:t>
            </w:r>
            <w:r>
              <w:rPr>
                <w:rFonts w:hint="eastAsia" w:ascii="Times New Roman" w:hAnsi="Times New Roman" w:eastAsia="仿宋" w:cs="Times New Roman"/>
                <w:color w:val="auto"/>
                <w:sz w:val="21"/>
                <w:szCs w:val="21"/>
                <w:highlight w:val="none"/>
                <w:lang w:eastAsia="zh-CN"/>
              </w:rPr>
              <w:t>（见附件</w:t>
            </w:r>
            <w:r>
              <w:rPr>
                <w:rFonts w:hint="eastAsia" w:eastAsia="仿宋" w:cs="Times New Roman"/>
                <w:color w:val="auto"/>
                <w:sz w:val="21"/>
                <w:szCs w:val="21"/>
                <w:highlight w:val="none"/>
                <w:lang w:val="en-US" w:eastAsia="zh-CN"/>
              </w:rPr>
              <w:t>2</w:t>
            </w:r>
            <w:r>
              <w:rPr>
                <w:rFonts w:hint="eastAsia" w:ascii="Times New Roman" w:hAnsi="Times New Roman" w:eastAsia="仿宋" w:cs="Times New Roman"/>
                <w:color w:val="auto"/>
                <w:sz w:val="21"/>
                <w:szCs w:val="21"/>
                <w:highlight w:val="none"/>
                <w:lang w:eastAsia="zh-CN"/>
              </w:rPr>
              <w:t>）</w:t>
            </w:r>
            <w:r>
              <w:rPr>
                <w:rFonts w:hint="eastAsia" w:ascii="Times New Roman" w:hAnsi="Times New Roman" w:eastAsia="仿宋" w:cs="Times New Roman"/>
                <w:color w:val="auto"/>
                <w:kern w:val="0"/>
                <w:sz w:val="21"/>
                <w:szCs w:val="21"/>
                <w:highlight w:val="none"/>
                <w:lang w:val="en-US" w:eastAsia="zh-CN"/>
              </w:rPr>
              <w:t>对项目</w:t>
            </w:r>
            <w:r>
              <w:rPr>
                <w:rFonts w:hint="eastAsia" w:eastAsia="仿宋" w:cs="Times New Roman"/>
                <w:color w:val="auto"/>
                <w:kern w:val="0"/>
                <w:sz w:val="21"/>
                <w:szCs w:val="21"/>
                <w:highlight w:val="none"/>
                <w:lang w:val="en-US" w:eastAsia="zh-CN"/>
              </w:rPr>
              <w:t>可行性研究报告</w:t>
            </w:r>
            <w:r>
              <w:rPr>
                <w:rFonts w:hint="eastAsia" w:ascii="Times New Roman" w:hAnsi="Times New Roman" w:eastAsia="仿宋" w:cs="Times New Roman"/>
                <w:color w:val="auto"/>
                <w:kern w:val="0"/>
                <w:sz w:val="21"/>
                <w:szCs w:val="21"/>
                <w:highlight w:val="none"/>
                <w:lang w:val="en-US" w:eastAsia="zh-CN"/>
              </w:rPr>
              <w:t>出具了批复文件（项目统一代码为：2404-320413-04-01-491192）</w:t>
            </w:r>
            <w:r>
              <w:rPr>
                <w:rFonts w:hint="default" w:ascii="Times New Roman" w:hAnsi="Times New Roman" w:eastAsia="仿宋" w:cs="Times New Roman"/>
                <w:color w:val="auto"/>
                <w:kern w:val="0"/>
                <w:sz w:val="21"/>
                <w:szCs w:val="21"/>
                <w:highlight w:val="none"/>
                <w:lang w:val="en-US" w:eastAsia="zh-CN"/>
              </w:rPr>
              <w:t>。</w:t>
            </w:r>
          </w:p>
          <w:p w14:paraId="2217F20F">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综上所述，本项目建设符合国家及地方相关政策。</w:t>
            </w:r>
          </w:p>
          <w:p w14:paraId="1240C16E">
            <w:pPr>
              <w:spacing w:line="360" w:lineRule="auto"/>
              <w:ind w:firstLine="480" w:firstLineChars="200"/>
              <w:rPr>
                <w:rFonts w:hint="default"/>
                <w:color w:val="FF0000"/>
                <w:sz w:val="24"/>
                <w:szCs w:val="24"/>
              </w:rPr>
            </w:pPr>
          </w:p>
        </w:tc>
      </w:tr>
    </w:tbl>
    <w:p w14:paraId="740B557F">
      <w:pPr>
        <w:spacing w:line="360" w:lineRule="auto"/>
        <w:outlineLvl w:val="0"/>
        <w:rPr>
          <w:rFonts w:hint="default" w:ascii="Times New Roman" w:hAnsi="Times New Roman" w:eastAsia="黑体" w:cs="Times New Roman"/>
          <w:color w:val="FF0000"/>
          <w:sz w:val="30"/>
        </w:rPr>
        <w:sectPr>
          <w:footerReference r:id="rId9" w:type="default"/>
          <w:pgSz w:w="11906" w:h="16838"/>
          <w:pgMar w:top="1575" w:right="1531" w:bottom="1560" w:left="1531" w:header="993" w:footer="1181" w:gutter="0"/>
          <w:pgBorders>
            <w:top w:val="none" w:sz="0" w:space="0"/>
            <w:left w:val="none" w:sz="0" w:space="0"/>
            <w:bottom w:val="none" w:sz="0" w:space="0"/>
            <w:right w:val="none" w:sz="0" w:space="0"/>
          </w:pgBorders>
          <w:pgNumType w:start="1"/>
          <w:cols w:space="720" w:num="1"/>
          <w:docGrid w:linePitch="312" w:charSpace="0"/>
        </w:sectPr>
      </w:pPr>
    </w:p>
    <w:p w14:paraId="17628BCA">
      <w:pPr>
        <w:pStyle w:val="27"/>
        <w:jc w:val="center"/>
        <w:outlineLvl w:val="0"/>
        <w:rPr>
          <w:rFonts w:hint="default" w:ascii="Times New Roman" w:hAnsi="Times New Roman" w:eastAsia="黑体" w:cs="Times New Roman"/>
          <w:snapToGrid w:val="0"/>
          <w:color w:val="FF0000"/>
          <w:sz w:val="30"/>
          <w:szCs w:val="30"/>
        </w:rPr>
      </w:pPr>
      <w:bookmarkStart w:id="3" w:name="_Toc24237"/>
      <w:r>
        <w:rPr>
          <w:rFonts w:hint="default" w:ascii="Times New Roman" w:hAnsi="Times New Roman" w:eastAsia="仿宋" w:cs="Times New Roman"/>
          <w:b/>
          <w:bCs/>
          <w:color w:val="auto"/>
          <w:kern w:val="0"/>
          <w:sz w:val="30"/>
          <w:szCs w:val="30"/>
          <w:highlight w:val="none"/>
          <w:lang w:val="en-US" w:eastAsia="zh-CN" w:bidi="ar-SA"/>
        </w:rPr>
        <w:t>二、建设项目工程分析</w:t>
      </w:r>
      <w:bookmarkEnd w:id="3"/>
    </w:p>
    <w:tbl>
      <w:tblPr>
        <w:tblStyle w:val="31"/>
        <w:tblW w:w="9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5"/>
      </w:tblGrid>
      <w:tr w14:paraId="088A0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74" w:hRule="atLeast"/>
          <w:jc w:val="center"/>
        </w:trPr>
        <w:tc>
          <w:tcPr>
            <w:tcW w:w="454" w:type="dxa"/>
            <w:vAlign w:val="center"/>
          </w:tcPr>
          <w:p w14:paraId="1F0A3BA3">
            <w:pPr>
              <w:pStyle w:val="27"/>
              <w:adjustRightInd w:val="0"/>
              <w:snapToGrid w:val="0"/>
              <w:spacing w:before="0" w:beforeAutospacing="0" w:after="0" w:afterAutospacing="0" w:line="360" w:lineRule="auto"/>
              <w:jc w:val="center"/>
              <w:rPr>
                <w:rFonts w:hint="default" w:ascii="Times New Roman" w:hAnsi="Times New Roman" w:cs="Times New Roman"/>
                <w:b/>
                <w:bCs/>
                <w:color w:val="FF0000"/>
                <w:szCs w:val="24"/>
              </w:rPr>
            </w:pPr>
            <w:r>
              <w:rPr>
                <w:rFonts w:hint="default" w:ascii="Times New Roman" w:hAnsi="Times New Roman" w:eastAsia="仿宋" w:cs="Times New Roman"/>
                <w:bCs/>
                <w:color w:val="auto"/>
                <w:kern w:val="2"/>
                <w:sz w:val="24"/>
                <w:szCs w:val="24"/>
                <w:highlight w:val="none"/>
              </w:rPr>
              <w:t>建设内容</w:t>
            </w:r>
          </w:p>
        </w:tc>
        <w:tc>
          <w:tcPr>
            <w:tcW w:w="8603" w:type="dxa"/>
          </w:tcPr>
          <w:p w14:paraId="21B24241">
            <w:pPr>
              <w:autoSpaceDE w:val="0"/>
              <w:autoSpaceDN w:val="0"/>
              <w:spacing w:line="360" w:lineRule="auto"/>
              <w:rPr>
                <w:rFonts w:hint="default" w:ascii="Times New Roman" w:hAnsi="Times New Roman" w:eastAsia="仿宋" w:cs="Times New Roman"/>
                <w:b/>
                <w:bCs/>
                <w:color w:val="auto"/>
                <w:kern w:val="0"/>
                <w:sz w:val="24"/>
                <w:szCs w:val="24"/>
                <w:highlight w:val="none"/>
                <w:lang w:val="en-US" w:eastAsia="zh-CN"/>
              </w:rPr>
            </w:pPr>
            <w:r>
              <w:rPr>
                <w:rFonts w:hint="default" w:ascii="Times New Roman" w:hAnsi="Times New Roman" w:eastAsia="仿宋" w:cs="Times New Roman"/>
                <w:b/>
                <w:bCs/>
                <w:color w:val="auto"/>
                <w:kern w:val="0"/>
                <w:sz w:val="24"/>
                <w:szCs w:val="24"/>
                <w:highlight w:val="none"/>
                <w:lang w:val="en-US" w:eastAsia="zh-CN"/>
              </w:rPr>
              <w:t>1、项目</w:t>
            </w:r>
            <w:r>
              <w:rPr>
                <w:rFonts w:hint="eastAsia" w:ascii="Times New Roman" w:hAnsi="Times New Roman" w:eastAsia="仿宋" w:cs="Times New Roman"/>
                <w:b/>
                <w:bCs/>
                <w:color w:val="auto"/>
                <w:kern w:val="0"/>
                <w:sz w:val="24"/>
                <w:szCs w:val="24"/>
                <w:highlight w:val="none"/>
                <w:lang w:val="en-US" w:eastAsia="zh-CN"/>
              </w:rPr>
              <w:t>概况</w:t>
            </w:r>
          </w:p>
          <w:p w14:paraId="372FB8CB">
            <w:pPr>
              <w:spacing w:line="360" w:lineRule="auto"/>
              <w:ind w:firstLine="480" w:firstLineChars="200"/>
              <w:textAlignment w:val="center"/>
              <w:rPr>
                <w:rFonts w:hint="eastAsia"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t>金坛第一人民医院是一所集医疗、教学、科研、预防、保健于一体的三级综合医院。为江苏大学附属医院、江苏医药职业学院的临床学院，是东南大学医学院、甘肃医学院等医学院校的教学医院，是江苏省住院医师规范化培训国家级基地的协同医院，是江苏省老年友善医疗机构。2020年12月，医院整体搬迁至金坛滨湖新城，并全面投入使用。2021年3月，由“常州市金坛区人民医院”更名为“常州市金坛第一人民医院”。2021年12月30日，上海市第一人民医院与常州市金坛区人民政府签约，合作共建“上海市第一人民医院金坛医院”。</w:t>
            </w:r>
          </w:p>
          <w:p w14:paraId="3F0DA871">
            <w:pPr>
              <w:spacing w:line="360" w:lineRule="auto"/>
              <w:ind w:firstLine="480" w:firstLineChars="200"/>
              <w:textAlignment w:val="center"/>
              <w:rPr>
                <w:rFonts w:hint="eastAsia" w:ascii="Times New Roman" w:hAnsi="Times New Roman"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常州市金坛第一人民医院</w:t>
            </w:r>
            <w:r>
              <w:rPr>
                <w:rFonts w:hint="eastAsia" w:ascii="Times New Roman" w:hAnsi="Times New Roman" w:eastAsia="仿宋" w:cs="Times New Roman"/>
                <w:color w:val="auto"/>
                <w:kern w:val="0"/>
                <w:sz w:val="24"/>
                <w:szCs w:val="24"/>
                <w:highlight w:val="none"/>
                <w:lang w:val="en-US" w:eastAsia="zh-CN"/>
              </w:rPr>
              <w:t>拟投资35000万元在常州市金坛区金坛大道500号，金坛第一人民医院红线范围内扩建</w:t>
            </w:r>
            <w:r>
              <w:rPr>
                <w:rFonts w:hint="eastAsia" w:eastAsia="仿宋" w:cs="Times New Roman"/>
                <w:color w:val="auto"/>
                <w:kern w:val="0"/>
                <w:sz w:val="24"/>
                <w:szCs w:val="24"/>
                <w:highlight w:val="none"/>
                <w:lang w:val="en-US" w:eastAsia="zh-CN"/>
              </w:rPr>
              <w:t>苏南骨伤科中心（急救创伤病房大楼扩建及分中心病房改造），本项目急救创伤病房大楼新建建筑面积28283平方米，建设内容主要包括急诊急救中心、骨伤科中心、骨伤科科研中心、创伤中心、120调度指挥及院前急救中心。本项目建设后，新增床位200张。指前分中心病房改造本次不建设，后期建设另行办理相关手续。</w:t>
            </w:r>
          </w:p>
          <w:p w14:paraId="03704BDA">
            <w:pPr>
              <w:spacing w:line="360" w:lineRule="auto"/>
              <w:ind w:firstLine="480" w:firstLineChars="200"/>
              <w:textAlignment w:val="center"/>
              <w:rPr>
                <w:rFonts w:hint="eastAsia"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t>常州市金坛区卫生和计划生育局于2015年11月委托常州龙环环境科技有限公司编制了《金坛区人民医院、金坛区血站整体迁建项目环境影响报告书》。常州市金坛区环境保护局于2016年1月4日对该项目进行了批复，该项目</w:t>
            </w:r>
            <w:r>
              <w:rPr>
                <w:rFonts w:hint="default" w:ascii="Times New Roman" w:hAnsi="Times New Roman" w:eastAsia="仿宋" w:cs="Times New Roman"/>
                <w:color w:val="auto"/>
                <w:kern w:val="0"/>
                <w:sz w:val="24"/>
                <w:szCs w:val="24"/>
                <w:highlight w:val="none"/>
                <w:lang w:val="en-GB" w:eastAsia="zh-CN"/>
              </w:rPr>
              <w:t>批复文号为</w:t>
            </w:r>
            <w:r>
              <w:rPr>
                <w:rFonts w:hint="eastAsia" w:ascii="Times New Roman" w:hAnsi="Times New Roman" w:eastAsia="仿宋" w:cs="Times New Roman"/>
                <w:color w:val="auto"/>
                <w:kern w:val="0"/>
                <w:sz w:val="24"/>
                <w:szCs w:val="24"/>
                <w:highlight w:val="none"/>
                <w:lang w:val="en-US" w:eastAsia="zh-CN"/>
              </w:rPr>
              <w:t>（坛环审〔2016〕1号）（见附件3）。该项目并于2015年6月开工建设，2020年建设完成。2021年11月完成了《金坛区人民医院、金坛区血站整体迁建项目竣工环境保护验收监测报告》。</w:t>
            </w:r>
          </w:p>
          <w:p w14:paraId="6B01A2D2">
            <w:pPr>
              <w:spacing w:line="360" w:lineRule="auto"/>
              <w:ind w:firstLine="480" w:firstLineChars="200"/>
              <w:textAlignment w:val="center"/>
              <w:rPr>
                <w:rFonts w:hint="default"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t>医院</w:t>
            </w:r>
            <w:r>
              <w:rPr>
                <w:rFonts w:hint="default" w:ascii="Times New Roman" w:hAnsi="Times New Roman" w:eastAsia="仿宋" w:cs="Times New Roman"/>
                <w:color w:val="auto"/>
                <w:kern w:val="0"/>
                <w:sz w:val="24"/>
                <w:szCs w:val="24"/>
                <w:highlight w:val="none"/>
                <w:lang w:val="en-US" w:eastAsia="zh-CN"/>
              </w:rPr>
              <w:t>已于20</w:t>
            </w:r>
            <w:r>
              <w:rPr>
                <w:rFonts w:hint="eastAsia" w:ascii="Times New Roman" w:hAnsi="Times New Roman" w:eastAsia="仿宋" w:cs="Times New Roman"/>
                <w:color w:val="auto"/>
                <w:kern w:val="0"/>
                <w:sz w:val="24"/>
                <w:szCs w:val="24"/>
                <w:highlight w:val="none"/>
                <w:lang w:val="en-US" w:eastAsia="zh-CN"/>
              </w:rPr>
              <w:t>21</w:t>
            </w:r>
            <w:r>
              <w:rPr>
                <w:rFonts w:hint="default" w:ascii="Times New Roman" w:hAnsi="Times New Roman" w:eastAsia="仿宋" w:cs="Times New Roman"/>
                <w:color w:val="auto"/>
                <w:kern w:val="0"/>
                <w:sz w:val="24"/>
                <w:szCs w:val="24"/>
                <w:highlight w:val="none"/>
                <w:lang w:val="en-US" w:eastAsia="zh-CN"/>
              </w:rPr>
              <w:t>年</w:t>
            </w:r>
            <w:r>
              <w:rPr>
                <w:rFonts w:hint="eastAsia" w:ascii="Times New Roman" w:hAnsi="Times New Roman" w:eastAsia="仿宋" w:cs="Times New Roman"/>
                <w:color w:val="auto"/>
                <w:kern w:val="0"/>
                <w:sz w:val="24"/>
                <w:szCs w:val="24"/>
                <w:highlight w:val="none"/>
                <w:lang w:val="en-US" w:eastAsia="zh-CN"/>
              </w:rPr>
              <w:t>11</w:t>
            </w:r>
            <w:r>
              <w:rPr>
                <w:rFonts w:hint="default" w:ascii="Times New Roman" w:hAnsi="Times New Roman" w:eastAsia="仿宋" w:cs="Times New Roman"/>
                <w:color w:val="auto"/>
                <w:kern w:val="0"/>
                <w:sz w:val="24"/>
                <w:szCs w:val="24"/>
                <w:highlight w:val="none"/>
                <w:lang w:val="en-US" w:eastAsia="zh-CN"/>
              </w:rPr>
              <w:t>月</w:t>
            </w:r>
            <w:r>
              <w:rPr>
                <w:rFonts w:hint="eastAsia" w:ascii="Times New Roman" w:hAnsi="Times New Roman" w:eastAsia="仿宋" w:cs="Times New Roman"/>
                <w:color w:val="auto"/>
                <w:kern w:val="0"/>
                <w:sz w:val="24"/>
                <w:szCs w:val="24"/>
                <w:highlight w:val="none"/>
                <w:lang w:val="en-US" w:eastAsia="zh-CN"/>
              </w:rPr>
              <w:t>09</w:t>
            </w:r>
            <w:r>
              <w:rPr>
                <w:rFonts w:hint="default" w:ascii="Times New Roman" w:hAnsi="Times New Roman" w:eastAsia="仿宋" w:cs="Times New Roman"/>
                <w:color w:val="auto"/>
                <w:kern w:val="0"/>
                <w:sz w:val="24"/>
                <w:szCs w:val="24"/>
                <w:highlight w:val="none"/>
                <w:lang w:val="en-US" w:eastAsia="zh-CN"/>
              </w:rPr>
              <w:t>日</w:t>
            </w:r>
            <w:r>
              <w:rPr>
                <w:rFonts w:hint="eastAsia" w:ascii="Times New Roman" w:hAnsi="Times New Roman" w:eastAsia="仿宋" w:cs="Times New Roman"/>
                <w:color w:val="auto"/>
                <w:kern w:val="0"/>
                <w:sz w:val="24"/>
                <w:szCs w:val="24"/>
                <w:highlight w:val="none"/>
                <w:lang w:val="en-US" w:eastAsia="zh-CN"/>
              </w:rPr>
              <w:t>取得排污许可证，许可证编号12320482467502100Q002V（</w:t>
            </w:r>
            <w:r>
              <w:rPr>
                <w:rFonts w:hint="default" w:ascii="Times New Roman" w:hAnsi="Times New Roman" w:eastAsia="仿宋" w:cs="Times New Roman"/>
                <w:color w:val="auto"/>
                <w:kern w:val="0"/>
                <w:sz w:val="24"/>
                <w:szCs w:val="24"/>
                <w:highlight w:val="none"/>
                <w:lang w:val="en-GB" w:eastAsia="zh-CN"/>
              </w:rPr>
              <w:t>见附件</w:t>
            </w:r>
            <w:r>
              <w:rPr>
                <w:rFonts w:hint="eastAsia" w:eastAsia="仿宋" w:cs="Times New Roman"/>
                <w:color w:val="auto"/>
                <w:kern w:val="0"/>
                <w:sz w:val="24"/>
                <w:szCs w:val="24"/>
                <w:highlight w:val="none"/>
                <w:lang w:val="en-US" w:eastAsia="zh-CN"/>
              </w:rPr>
              <w:t>7</w:t>
            </w:r>
            <w:r>
              <w:rPr>
                <w:rFonts w:hint="eastAsia" w:ascii="Times New Roman" w:hAnsi="Times New Roman" w:eastAsia="仿宋" w:cs="Times New Roman"/>
                <w:color w:val="auto"/>
                <w:kern w:val="0"/>
                <w:sz w:val="24"/>
                <w:szCs w:val="24"/>
                <w:highlight w:val="none"/>
                <w:lang w:val="en-US" w:eastAsia="zh-CN"/>
              </w:rPr>
              <w:t>）。</w:t>
            </w:r>
          </w:p>
          <w:p w14:paraId="40B61BB9">
            <w:pPr>
              <w:spacing w:line="360" w:lineRule="auto"/>
              <w:ind w:firstLine="482" w:firstLineChars="200"/>
              <w:textAlignment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b/>
                <w:bCs/>
                <w:color w:val="auto"/>
                <w:kern w:val="0"/>
                <w:sz w:val="24"/>
                <w:szCs w:val="24"/>
                <w:highlight w:val="none"/>
                <w:lang w:val="en-US" w:eastAsia="zh-CN"/>
              </w:rPr>
              <w:t>本项目平面布置详见附图2。</w:t>
            </w:r>
          </w:p>
          <w:p w14:paraId="40257159">
            <w:pPr>
              <w:snapToGrid w:val="0"/>
              <w:spacing w:line="360" w:lineRule="auto"/>
              <w:ind w:firstLine="480" w:firstLineChars="200"/>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GB" w:eastAsia="zh-CN"/>
              </w:rPr>
              <w:t>根据《中华人民共和国环境影响评价法》等法律法规的有关规定，建设项目在实施前必须进行环境影响评价工作。</w:t>
            </w:r>
            <w:r>
              <w:rPr>
                <w:rFonts w:hint="default" w:ascii="Times New Roman" w:hAnsi="Times New Roman" w:eastAsia="仿宋" w:cs="Times New Roman"/>
                <w:color w:val="auto"/>
                <w:kern w:val="0"/>
                <w:sz w:val="24"/>
                <w:szCs w:val="24"/>
                <w:highlight w:val="none"/>
                <w:lang w:val="en-US" w:eastAsia="zh-CN"/>
              </w:rPr>
              <w:t>根据《建设项目环境影响评价分类管理名录》（2021年版）的规定，本项目属于</w:t>
            </w:r>
            <w:r>
              <w:rPr>
                <w:rFonts w:hint="eastAsia" w:ascii="Times New Roman" w:hAnsi="Times New Roman" w:eastAsia="仿宋" w:cs="Times New Roman"/>
                <w:color w:val="auto"/>
                <w:kern w:val="0"/>
                <w:sz w:val="24"/>
                <w:szCs w:val="24"/>
                <w:highlight w:val="none"/>
                <w:lang w:val="en-US" w:eastAsia="zh-CN"/>
              </w:rPr>
              <w:t>“四十九</w:t>
            </w:r>
            <w:r>
              <w:rPr>
                <w:rFonts w:hint="default" w:ascii="Times New Roman" w:hAnsi="Times New Roman" w:eastAsia="仿宋" w:cs="Times New Roman"/>
                <w:color w:val="auto"/>
                <w:kern w:val="0"/>
                <w:sz w:val="24"/>
                <w:szCs w:val="24"/>
                <w:highlight w:val="none"/>
                <w:lang w:val="en-US" w:eastAsia="zh-CN"/>
              </w:rPr>
              <w:t>、</w:t>
            </w:r>
            <w:r>
              <w:rPr>
                <w:rFonts w:hint="eastAsia" w:ascii="Times New Roman" w:hAnsi="Times New Roman" w:eastAsia="仿宋" w:cs="Times New Roman"/>
                <w:color w:val="auto"/>
                <w:kern w:val="0"/>
                <w:sz w:val="24"/>
                <w:szCs w:val="24"/>
                <w:highlight w:val="none"/>
                <w:lang w:val="en-US" w:eastAsia="zh-CN"/>
              </w:rPr>
              <w:t>卫生84—108、医院841”</w:t>
            </w:r>
            <w:r>
              <w:rPr>
                <w:rFonts w:hint="default" w:ascii="Times New Roman" w:hAnsi="Times New Roman" w:eastAsia="仿宋" w:cs="Times New Roman"/>
                <w:color w:val="auto"/>
                <w:kern w:val="0"/>
                <w:sz w:val="24"/>
                <w:szCs w:val="24"/>
                <w:highlight w:val="none"/>
                <w:lang w:val="en-US" w:eastAsia="zh-CN"/>
              </w:rPr>
              <w:t>中</w:t>
            </w:r>
            <w:r>
              <w:rPr>
                <w:rFonts w:hint="eastAsia" w:ascii="Times New Roman" w:hAnsi="Times New Roman" w:eastAsia="仿宋" w:cs="Times New Roman"/>
                <w:color w:val="auto"/>
                <w:kern w:val="0"/>
                <w:sz w:val="24"/>
                <w:szCs w:val="24"/>
                <w:highlight w:val="none"/>
                <w:lang w:val="en-US" w:eastAsia="zh-CN"/>
              </w:rPr>
              <w:t>“其它（住院床位20张以下的除外）”。</w:t>
            </w:r>
            <w:r>
              <w:rPr>
                <w:rFonts w:hint="default" w:ascii="Times New Roman" w:hAnsi="Times New Roman" w:eastAsia="仿宋" w:cs="Times New Roman"/>
                <w:color w:val="auto"/>
                <w:kern w:val="0"/>
                <w:sz w:val="24"/>
                <w:szCs w:val="24"/>
                <w:highlight w:val="none"/>
                <w:lang w:val="en-US" w:eastAsia="zh-CN"/>
              </w:rPr>
              <w:t>因此本项目需编制环境影响报告表。受建设单位委托</w:t>
            </w:r>
            <w:r>
              <w:rPr>
                <w:rFonts w:hint="eastAsia" w:eastAsia="仿宋" w:cs="Times New Roman"/>
                <w:color w:val="auto"/>
                <w:kern w:val="0"/>
                <w:sz w:val="24"/>
                <w:szCs w:val="24"/>
                <w:highlight w:val="none"/>
                <w:lang w:val="en-US" w:eastAsia="zh-CN"/>
              </w:rPr>
              <w:t>，</w:t>
            </w:r>
            <w:r>
              <w:rPr>
                <w:rFonts w:hint="eastAsia" w:ascii="Times New Roman" w:hAnsi="Times New Roman" w:eastAsia="仿宋" w:cs="Times New Roman"/>
                <w:color w:val="auto"/>
                <w:kern w:val="0"/>
                <w:sz w:val="24"/>
                <w:szCs w:val="24"/>
                <w:highlight w:val="none"/>
                <w:lang w:val="en-US" w:eastAsia="zh-CN"/>
              </w:rPr>
              <w:t>今汇环境（江苏）有限公司</w:t>
            </w:r>
            <w:r>
              <w:rPr>
                <w:rFonts w:hint="default" w:ascii="Times New Roman" w:hAnsi="Times New Roman" w:eastAsia="仿宋" w:cs="Times New Roman"/>
                <w:color w:val="auto"/>
                <w:kern w:val="0"/>
                <w:sz w:val="24"/>
                <w:szCs w:val="24"/>
                <w:highlight w:val="none"/>
                <w:lang w:val="en-US" w:eastAsia="zh-CN"/>
              </w:rPr>
              <w:t>承担了该项目的环境影响评价工作，编制该建设项目的环境影响报告表。在现场踏勘、调查的基础上，通过对有关资料的收集、整理和分析计算，根据有关规范编制了该项目的环境影响报告表，报请审批。</w:t>
            </w:r>
          </w:p>
          <w:p w14:paraId="3ED023F4">
            <w:pPr>
              <w:snapToGrid w:val="0"/>
              <w:spacing w:line="360" w:lineRule="auto"/>
              <w:ind w:firstLine="482" w:firstLineChars="200"/>
              <w:rPr>
                <w:rFonts w:hint="default" w:ascii="Times New Roman" w:hAnsi="Times New Roman" w:eastAsia="仿宋" w:cs="Times New Roman"/>
                <w:b/>
                <w:bCs/>
                <w:color w:val="auto"/>
                <w:kern w:val="0"/>
                <w:sz w:val="24"/>
                <w:szCs w:val="24"/>
                <w:highlight w:val="none"/>
                <w:lang w:val="en-US" w:eastAsia="zh-CN"/>
              </w:rPr>
            </w:pPr>
            <w:r>
              <w:rPr>
                <w:rFonts w:hint="default" w:ascii="Times New Roman" w:hAnsi="Times New Roman" w:eastAsia="仿宋" w:cs="Times New Roman"/>
                <w:b/>
                <w:bCs/>
                <w:color w:val="auto"/>
                <w:kern w:val="0"/>
                <w:sz w:val="24"/>
                <w:szCs w:val="24"/>
                <w:highlight w:val="none"/>
                <w:lang w:val="en-US" w:eastAsia="zh-CN"/>
              </w:rPr>
              <w:t>该项目配置部分射线装置，需进行辐射环境影响评价（CT），院方需委托有资质单位进行辐射环境影响评价，并进行单独报批，不纳入本次评价范围。</w:t>
            </w:r>
          </w:p>
          <w:p w14:paraId="797C78E0">
            <w:pPr>
              <w:pStyle w:val="38"/>
              <w:keepNext w:val="0"/>
              <w:keepLines w:val="0"/>
              <w:pageBreakBefore w:val="0"/>
              <w:widowControl w:val="0"/>
              <w:kinsoku/>
              <w:wordWrap/>
              <w:overflowPunct/>
              <w:topLinePunct w:val="0"/>
              <w:autoSpaceDE w:val="0"/>
              <w:autoSpaceDN w:val="0"/>
              <w:bidi w:val="0"/>
              <w:snapToGrid/>
              <w:spacing w:line="360" w:lineRule="auto"/>
              <w:textAlignment w:val="auto"/>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2</w:t>
            </w:r>
            <w:r>
              <w:rPr>
                <w:rFonts w:hint="default" w:ascii="Times New Roman" w:hAnsi="Times New Roman" w:eastAsia="仿宋" w:cs="Times New Roman"/>
                <w:b/>
                <w:bCs/>
                <w:color w:val="auto"/>
                <w:sz w:val="24"/>
                <w:szCs w:val="24"/>
                <w:highlight w:val="none"/>
              </w:rPr>
              <w:t>、建设</w:t>
            </w:r>
            <w:r>
              <w:rPr>
                <w:rFonts w:hint="eastAsia" w:ascii="Times New Roman" w:hAnsi="Times New Roman" w:eastAsia="仿宋" w:cs="Times New Roman"/>
                <w:b/>
                <w:bCs/>
                <w:color w:val="auto"/>
                <w:sz w:val="24"/>
                <w:szCs w:val="24"/>
                <w:highlight w:val="none"/>
                <w:lang w:val="en-US" w:eastAsia="zh-CN"/>
              </w:rPr>
              <w:t>经济指标与规模</w:t>
            </w:r>
          </w:p>
          <w:p w14:paraId="4A3000D2">
            <w:pPr>
              <w:keepNext w:val="0"/>
              <w:keepLines w:val="0"/>
              <w:pageBreakBefore w:val="0"/>
              <w:widowControl w:val="0"/>
              <w:kinsoku/>
              <w:wordWrap/>
              <w:overflowPunct/>
              <w:topLinePunct w:val="0"/>
              <w:autoSpaceDE w:val="0"/>
              <w:autoSpaceDN w:val="0"/>
              <w:bidi w:val="0"/>
              <w:snapToGrid/>
              <w:spacing w:line="360" w:lineRule="auto"/>
              <w:ind w:firstLine="480" w:firstLineChars="200"/>
              <w:jc w:val="left"/>
              <w:textAlignment w:val="auto"/>
              <w:rPr>
                <w:rFonts w:hint="eastAsia" w:ascii="Times New Roman" w:hAnsi="Times New Roman" w:eastAsia="仿宋" w:cs="Times New Roman"/>
                <w:color w:val="auto"/>
                <w:kern w:val="0"/>
                <w:sz w:val="24"/>
                <w:szCs w:val="24"/>
                <w:highlight w:val="none"/>
                <w:lang w:eastAsia="zh-CN"/>
              </w:rPr>
            </w:pPr>
            <w:r>
              <w:rPr>
                <w:rFonts w:hint="default" w:ascii="Times New Roman" w:hAnsi="Times New Roman" w:eastAsia="仿宋" w:cs="Times New Roman"/>
                <w:color w:val="auto"/>
                <w:kern w:val="0"/>
                <w:sz w:val="24"/>
                <w:szCs w:val="24"/>
                <w:highlight w:val="none"/>
              </w:rPr>
              <w:t>项目名称：</w:t>
            </w:r>
            <w:r>
              <w:rPr>
                <w:rFonts w:hint="eastAsia" w:eastAsia="仿宋" w:cs="Times New Roman"/>
                <w:color w:val="auto"/>
                <w:kern w:val="0"/>
                <w:sz w:val="24"/>
                <w:szCs w:val="24"/>
                <w:highlight w:val="none"/>
                <w:lang w:eastAsia="zh-CN"/>
              </w:rPr>
              <w:t>苏南骨伤科中心（急救创伤病房大楼扩建及分中心病房改造）</w:t>
            </w:r>
          </w:p>
          <w:p w14:paraId="47007164">
            <w:pPr>
              <w:keepNext w:val="0"/>
              <w:keepLines w:val="0"/>
              <w:pageBreakBefore w:val="0"/>
              <w:widowControl w:val="0"/>
              <w:kinsoku/>
              <w:wordWrap/>
              <w:overflowPunct/>
              <w:topLinePunct w:val="0"/>
              <w:autoSpaceDE w:val="0"/>
              <w:autoSpaceDN w:val="0"/>
              <w:bidi w:val="0"/>
              <w:snapToGrid/>
              <w:spacing w:line="360" w:lineRule="auto"/>
              <w:ind w:firstLine="480" w:firstLineChars="200"/>
              <w:jc w:val="left"/>
              <w:textAlignment w:val="auto"/>
              <w:rPr>
                <w:rFonts w:hint="eastAsia"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rPr>
              <w:t>建设性质：</w:t>
            </w:r>
            <w:r>
              <w:rPr>
                <w:rFonts w:hint="eastAsia" w:eastAsia="仿宋" w:cs="Times New Roman"/>
                <w:color w:val="auto"/>
                <w:kern w:val="0"/>
                <w:sz w:val="24"/>
                <w:szCs w:val="24"/>
                <w:highlight w:val="none"/>
                <w:lang w:val="en-US" w:eastAsia="zh-CN"/>
              </w:rPr>
              <w:t>扩建</w:t>
            </w:r>
          </w:p>
          <w:p w14:paraId="56899939">
            <w:pPr>
              <w:keepNext w:val="0"/>
              <w:keepLines w:val="0"/>
              <w:pageBreakBefore w:val="0"/>
              <w:widowControl w:val="0"/>
              <w:kinsoku/>
              <w:wordWrap/>
              <w:overflowPunct/>
              <w:topLinePunct w:val="0"/>
              <w:autoSpaceDE w:val="0"/>
              <w:autoSpaceDN w:val="0"/>
              <w:bidi w:val="0"/>
              <w:snapToGrid/>
              <w:spacing w:line="360" w:lineRule="auto"/>
              <w:ind w:firstLine="480" w:firstLineChars="200"/>
              <w:jc w:val="left"/>
              <w:textAlignment w:val="auto"/>
              <w:rPr>
                <w:rFonts w:hint="eastAsia" w:ascii="Times New Roman" w:hAnsi="Times New Roman" w:eastAsia="仿宋" w:cs="Times New Roman"/>
                <w:color w:val="auto"/>
                <w:kern w:val="0"/>
                <w:sz w:val="24"/>
                <w:szCs w:val="24"/>
                <w:highlight w:val="none"/>
                <w:lang w:eastAsia="zh-CN"/>
              </w:rPr>
            </w:pPr>
            <w:r>
              <w:rPr>
                <w:rFonts w:hint="default" w:ascii="Times New Roman" w:hAnsi="Times New Roman" w:eastAsia="仿宋" w:cs="Times New Roman"/>
                <w:color w:val="auto"/>
                <w:kern w:val="0"/>
                <w:sz w:val="24"/>
                <w:szCs w:val="24"/>
                <w:highlight w:val="none"/>
              </w:rPr>
              <w:t>项目建设单位：</w:t>
            </w:r>
            <w:r>
              <w:rPr>
                <w:rFonts w:hint="eastAsia" w:eastAsia="仿宋" w:cs="Times New Roman"/>
                <w:color w:val="auto"/>
                <w:kern w:val="0"/>
                <w:sz w:val="24"/>
                <w:szCs w:val="24"/>
                <w:highlight w:val="none"/>
                <w:lang w:eastAsia="zh-CN"/>
              </w:rPr>
              <w:t>常州市金坛第一人民医院</w:t>
            </w:r>
          </w:p>
          <w:p w14:paraId="0CC62DE8">
            <w:pPr>
              <w:keepNext w:val="0"/>
              <w:keepLines w:val="0"/>
              <w:pageBreakBefore w:val="0"/>
              <w:widowControl w:val="0"/>
              <w:kinsoku/>
              <w:wordWrap/>
              <w:overflowPunct/>
              <w:topLinePunct w:val="0"/>
              <w:autoSpaceDE w:val="0"/>
              <w:autoSpaceDN w:val="0"/>
              <w:bidi w:val="0"/>
              <w:snapToGrid/>
              <w:spacing w:line="360" w:lineRule="auto"/>
              <w:ind w:firstLine="480" w:firstLineChars="200"/>
              <w:jc w:val="left"/>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建设地点：</w:t>
            </w:r>
            <w:r>
              <w:rPr>
                <w:rFonts w:hint="eastAsia" w:eastAsia="仿宋" w:cs="Times New Roman"/>
                <w:color w:val="auto"/>
                <w:kern w:val="0"/>
                <w:sz w:val="24"/>
                <w:szCs w:val="24"/>
                <w:highlight w:val="none"/>
                <w:lang w:eastAsia="zh-CN"/>
              </w:rPr>
              <w:t>江苏省常州市金坛区金坛大道500号，常州市金坛第一人民医院内</w:t>
            </w:r>
            <w:r>
              <w:rPr>
                <w:rFonts w:hint="default" w:ascii="Times New Roman" w:hAnsi="Times New Roman" w:eastAsia="仿宋" w:cs="Times New Roman"/>
                <w:color w:val="auto"/>
                <w:kern w:val="0"/>
                <w:sz w:val="24"/>
                <w:szCs w:val="24"/>
                <w:highlight w:val="none"/>
              </w:rPr>
              <w:t>。</w:t>
            </w:r>
          </w:p>
          <w:p w14:paraId="178E3B5B">
            <w:pPr>
              <w:keepNext w:val="0"/>
              <w:keepLines w:val="0"/>
              <w:pageBreakBefore w:val="0"/>
              <w:widowControl w:val="0"/>
              <w:kinsoku/>
              <w:wordWrap/>
              <w:overflowPunct/>
              <w:topLinePunct w:val="0"/>
              <w:autoSpaceDE w:val="0"/>
              <w:autoSpaceDN w:val="0"/>
              <w:bidi w:val="0"/>
              <w:snapToGrid/>
              <w:spacing w:line="360" w:lineRule="auto"/>
              <w:ind w:firstLine="480" w:firstLineChars="200"/>
              <w:jc w:val="left"/>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规划总用地面积：</w:t>
            </w:r>
            <w:r>
              <w:rPr>
                <w:rFonts w:hint="eastAsia" w:eastAsia="仿宋" w:cs="Times New Roman"/>
                <w:color w:val="auto"/>
                <w:kern w:val="0"/>
                <w:sz w:val="24"/>
                <w:szCs w:val="24"/>
                <w:highlight w:val="none"/>
                <w:lang w:val="en-US" w:eastAsia="zh-CN"/>
              </w:rPr>
              <w:t>15420</w:t>
            </w:r>
            <w:r>
              <w:rPr>
                <w:rFonts w:hint="default" w:ascii="Times New Roman" w:hAnsi="Times New Roman" w:eastAsia="仿宋" w:cs="Times New Roman"/>
                <w:color w:val="auto"/>
                <w:kern w:val="0"/>
                <w:sz w:val="24"/>
                <w:szCs w:val="24"/>
                <w:highlight w:val="none"/>
              </w:rPr>
              <w:t>平方米</w:t>
            </w:r>
          </w:p>
          <w:p w14:paraId="5C7F76BD">
            <w:pPr>
              <w:keepNext w:val="0"/>
              <w:keepLines w:val="0"/>
              <w:pageBreakBefore w:val="0"/>
              <w:widowControl w:val="0"/>
              <w:kinsoku/>
              <w:wordWrap/>
              <w:overflowPunct/>
              <w:topLinePunct w:val="0"/>
              <w:autoSpaceDE w:val="0"/>
              <w:autoSpaceDN w:val="0"/>
              <w:bidi w:val="0"/>
              <w:snapToGrid/>
              <w:spacing w:line="360" w:lineRule="auto"/>
              <w:ind w:firstLine="480" w:firstLineChars="200"/>
              <w:jc w:val="left"/>
              <w:textAlignment w:val="auto"/>
              <w:rPr>
                <w:rFonts w:hint="default" w:ascii="Times New Roman" w:hAnsi="Times New Roman" w:eastAsia="仿宋" w:cs="Times New Roman"/>
                <w:color w:val="FF0000"/>
                <w:kern w:val="0"/>
                <w:sz w:val="24"/>
                <w:szCs w:val="24"/>
                <w:highlight w:val="none"/>
              </w:rPr>
            </w:pPr>
            <w:r>
              <w:rPr>
                <w:rFonts w:hint="eastAsia" w:eastAsia="仿宋" w:cs="Times New Roman"/>
                <w:color w:val="auto"/>
                <w:kern w:val="0"/>
                <w:sz w:val="24"/>
                <w:szCs w:val="24"/>
                <w:highlight w:val="none"/>
                <w:lang w:val="en-US" w:eastAsia="zh-CN"/>
              </w:rPr>
              <w:t>本项目新建</w:t>
            </w:r>
            <w:r>
              <w:rPr>
                <w:rFonts w:hint="default" w:ascii="Times New Roman" w:hAnsi="Times New Roman" w:eastAsia="仿宋" w:cs="Times New Roman"/>
                <w:color w:val="auto"/>
                <w:kern w:val="0"/>
                <w:sz w:val="24"/>
                <w:szCs w:val="24"/>
                <w:highlight w:val="none"/>
              </w:rPr>
              <w:t>总建筑面积：</w:t>
            </w:r>
            <w:r>
              <w:rPr>
                <w:rFonts w:hint="eastAsia" w:eastAsia="仿宋" w:cs="Times New Roman"/>
                <w:color w:val="auto"/>
                <w:kern w:val="0"/>
                <w:sz w:val="24"/>
                <w:szCs w:val="24"/>
                <w:highlight w:val="none"/>
                <w:lang w:val="en-US" w:eastAsia="zh-CN"/>
              </w:rPr>
              <w:t>26283</w:t>
            </w:r>
            <w:r>
              <w:rPr>
                <w:rFonts w:hint="default" w:ascii="Times New Roman" w:hAnsi="Times New Roman" w:eastAsia="仿宋" w:cs="Times New Roman"/>
                <w:color w:val="auto"/>
                <w:kern w:val="0"/>
                <w:sz w:val="24"/>
                <w:szCs w:val="24"/>
                <w:highlight w:val="none"/>
              </w:rPr>
              <w:t>平方米</w:t>
            </w:r>
          </w:p>
          <w:p w14:paraId="46090203">
            <w:pPr>
              <w:keepNext w:val="0"/>
              <w:keepLines w:val="0"/>
              <w:pageBreakBefore w:val="0"/>
              <w:widowControl w:val="0"/>
              <w:kinsoku/>
              <w:wordWrap/>
              <w:overflowPunct/>
              <w:topLinePunct w:val="0"/>
              <w:autoSpaceDE w:val="0"/>
              <w:autoSpaceDN w:val="0"/>
              <w:bidi w:val="0"/>
              <w:snapToGrid/>
              <w:spacing w:line="360" w:lineRule="auto"/>
              <w:ind w:firstLine="480" w:firstLineChars="200"/>
              <w:jc w:val="left"/>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本项目主要技术经济指标见表2-1。</w:t>
            </w:r>
          </w:p>
          <w:p w14:paraId="2D94E3F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rPr>
            </w:pPr>
            <w:r>
              <w:rPr>
                <w:rFonts w:hint="default" w:ascii="Times New Roman" w:hAnsi="Times New Roman" w:eastAsia="仿宋" w:cs="Times New Roman"/>
                <w:b/>
                <w:bCs/>
                <w:color w:val="auto"/>
                <w:kern w:val="0"/>
                <w:sz w:val="22"/>
                <w:szCs w:val="22"/>
                <w:highlight w:val="none"/>
              </w:rPr>
              <w:t>表2-1 主要技术经济指标</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426"/>
              <w:gridCol w:w="722"/>
              <w:gridCol w:w="1768"/>
              <w:gridCol w:w="1136"/>
              <w:gridCol w:w="898"/>
              <w:gridCol w:w="2766"/>
            </w:tblGrid>
            <w:tr w14:paraId="2C48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1567E1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序号</w:t>
                  </w:r>
                </w:p>
              </w:tc>
              <w:tc>
                <w:tcPr>
                  <w:tcW w:w="1740" w:type="pct"/>
                  <w:gridSpan w:val="3"/>
                  <w:vAlign w:val="center"/>
                </w:tcPr>
                <w:p w14:paraId="00F58F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项目</w:t>
                  </w:r>
                </w:p>
              </w:tc>
              <w:tc>
                <w:tcPr>
                  <w:tcW w:w="678" w:type="pct"/>
                  <w:vAlign w:val="center"/>
                </w:tcPr>
                <w:p w14:paraId="414BCC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规划指标</w:t>
                  </w:r>
                </w:p>
              </w:tc>
              <w:tc>
                <w:tcPr>
                  <w:tcW w:w="536" w:type="pct"/>
                  <w:vAlign w:val="center"/>
                </w:tcPr>
                <w:p w14:paraId="720137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单位</w:t>
                  </w:r>
                </w:p>
              </w:tc>
              <w:tc>
                <w:tcPr>
                  <w:tcW w:w="1650" w:type="pct"/>
                  <w:vAlign w:val="center"/>
                </w:tcPr>
                <w:p w14:paraId="15164F5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b/>
                      <w:bCs/>
                      <w:color w:val="auto"/>
                      <w:kern w:val="0"/>
                      <w:sz w:val="21"/>
                      <w:szCs w:val="21"/>
                      <w:highlight w:val="none"/>
                      <w:lang w:eastAsia="zh-CN"/>
                    </w:rPr>
                  </w:pPr>
                  <w:r>
                    <w:rPr>
                      <w:rFonts w:hint="eastAsia" w:eastAsia="仿宋" w:cs="Times New Roman"/>
                      <w:b/>
                      <w:bCs/>
                      <w:color w:val="auto"/>
                      <w:kern w:val="0"/>
                      <w:sz w:val="21"/>
                      <w:szCs w:val="21"/>
                      <w:highlight w:val="none"/>
                      <w:lang w:val="en-US" w:eastAsia="zh-CN"/>
                    </w:rPr>
                    <w:t>备注</w:t>
                  </w:r>
                </w:p>
              </w:tc>
            </w:tr>
            <w:tr w14:paraId="2541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63B4F3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1740" w:type="pct"/>
                  <w:gridSpan w:val="3"/>
                  <w:vAlign w:val="center"/>
                </w:tcPr>
                <w:p w14:paraId="757D6F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规划用</w:t>
                  </w:r>
                  <w:r>
                    <w:rPr>
                      <w:rFonts w:hint="default" w:ascii="Times New Roman" w:hAnsi="Times New Roman" w:eastAsia="仿宋" w:cs="Times New Roman"/>
                      <w:color w:val="auto"/>
                      <w:kern w:val="0"/>
                      <w:sz w:val="21"/>
                      <w:szCs w:val="21"/>
                      <w:highlight w:val="none"/>
                    </w:rPr>
                    <w:t>地面积</w:t>
                  </w:r>
                </w:p>
              </w:tc>
              <w:tc>
                <w:tcPr>
                  <w:tcW w:w="678" w:type="pct"/>
                  <w:vAlign w:val="center"/>
                </w:tcPr>
                <w:p w14:paraId="4DD62C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15420</w:t>
                  </w:r>
                </w:p>
              </w:tc>
              <w:tc>
                <w:tcPr>
                  <w:tcW w:w="536" w:type="pct"/>
                  <w:vAlign w:val="center"/>
                </w:tcPr>
                <w:p w14:paraId="69A6A3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16AC7626">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4C92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94" w:type="pct"/>
                  <w:vAlign w:val="center"/>
                </w:tcPr>
                <w:p w14:paraId="58D057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w:t>
                  </w:r>
                </w:p>
              </w:tc>
              <w:tc>
                <w:tcPr>
                  <w:tcW w:w="1740" w:type="pct"/>
                  <w:gridSpan w:val="3"/>
                  <w:vAlign w:val="center"/>
                </w:tcPr>
                <w:p w14:paraId="13F344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总</w:t>
                  </w:r>
                  <w:r>
                    <w:rPr>
                      <w:rFonts w:hint="eastAsia" w:eastAsia="仿宋" w:cs="Times New Roman"/>
                      <w:color w:val="auto"/>
                      <w:kern w:val="0"/>
                      <w:sz w:val="21"/>
                      <w:szCs w:val="21"/>
                      <w:highlight w:val="none"/>
                      <w:lang w:val="en-US" w:eastAsia="zh-CN"/>
                    </w:rPr>
                    <w:t>计容</w:t>
                  </w:r>
                  <w:r>
                    <w:rPr>
                      <w:rFonts w:hint="default" w:ascii="Times New Roman" w:hAnsi="Times New Roman" w:eastAsia="仿宋" w:cs="Times New Roman"/>
                      <w:color w:val="auto"/>
                      <w:kern w:val="0"/>
                      <w:sz w:val="21"/>
                      <w:szCs w:val="21"/>
                      <w:highlight w:val="none"/>
                    </w:rPr>
                    <w:t>面积</w:t>
                  </w:r>
                </w:p>
              </w:tc>
              <w:tc>
                <w:tcPr>
                  <w:tcW w:w="678" w:type="pct"/>
                  <w:vAlign w:val="center"/>
                </w:tcPr>
                <w:p w14:paraId="79AA18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20357</w:t>
                  </w:r>
                </w:p>
              </w:tc>
              <w:tc>
                <w:tcPr>
                  <w:tcW w:w="536" w:type="pct"/>
                  <w:vAlign w:val="center"/>
                </w:tcPr>
                <w:p w14:paraId="038461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046FA40E">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7F20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6834CDC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w:t>
                  </w:r>
                </w:p>
              </w:tc>
              <w:tc>
                <w:tcPr>
                  <w:tcW w:w="1740" w:type="pct"/>
                  <w:gridSpan w:val="3"/>
                  <w:vAlign w:val="center"/>
                </w:tcPr>
                <w:p w14:paraId="6D39CC2E">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总建筑面积</w:t>
                  </w:r>
                </w:p>
              </w:tc>
              <w:tc>
                <w:tcPr>
                  <w:tcW w:w="678" w:type="pct"/>
                  <w:vAlign w:val="center"/>
                </w:tcPr>
                <w:p w14:paraId="56FC07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26283</w:t>
                  </w:r>
                </w:p>
              </w:tc>
              <w:tc>
                <w:tcPr>
                  <w:tcW w:w="536" w:type="pct"/>
                  <w:vAlign w:val="center"/>
                </w:tcPr>
                <w:p w14:paraId="003C99EE">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0999E84B">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2025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69EB17A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254" w:type="pct"/>
                  <w:vMerge w:val="restart"/>
                  <w:vAlign w:val="center"/>
                </w:tcPr>
                <w:p w14:paraId="2C52E2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其中</w:t>
                  </w:r>
                </w:p>
              </w:tc>
              <w:tc>
                <w:tcPr>
                  <w:tcW w:w="1485" w:type="pct"/>
                  <w:gridSpan w:val="2"/>
                  <w:vAlign w:val="center"/>
                </w:tcPr>
                <w:p w14:paraId="33FE6AE2">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1#急救创伤大楼</w:t>
                  </w:r>
                </w:p>
              </w:tc>
              <w:tc>
                <w:tcPr>
                  <w:tcW w:w="678" w:type="pct"/>
                  <w:vAlign w:val="center"/>
                </w:tcPr>
                <w:p w14:paraId="69DF9E34">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26283</w:t>
                  </w:r>
                </w:p>
              </w:tc>
              <w:tc>
                <w:tcPr>
                  <w:tcW w:w="536" w:type="pct"/>
                  <w:vAlign w:val="center"/>
                </w:tcPr>
                <w:p w14:paraId="39EC73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21D06399">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2868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0E382E5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254" w:type="pct"/>
                  <w:vMerge w:val="continue"/>
                  <w:vAlign w:val="center"/>
                </w:tcPr>
                <w:p w14:paraId="3D2638B0">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c>
                <w:tcPr>
                  <w:tcW w:w="1485" w:type="pct"/>
                  <w:gridSpan w:val="2"/>
                  <w:vAlign w:val="center"/>
                </w:tcPr>
                <w:p w14:paraId="7EA55B5C">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2#连廊</w:t>
                  </w:r>
                </w:p>
              </w:tc>
              <w:tc>
                <w:tcPr>
                  <w:tcW w:w="678" w:type="pct"/>
                  <w:vAlign w:val="center"/>
                </w:tcPr>
                <w:p w14:paraId="249A37D1">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162.5</w:t>
                  </w:r>
                </w:p>
              </w:tc>
              <w:tc>
                <w:tcPr>
                  <w:tcW w:w="536" w:type="pct"/>
                  <w:vAlign w:val="center"/>
                </w:tcPr>
                <w:p w14:paraId="7A43C4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26B30F25">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位于红线外，不计入总面积</w:t>
                  </w:r>
                </w:p>
              </w:tc>
            </w:tr>
            <w:tr w14:paraId="30F6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Merge w:val="restart"/>
                  <w:vAlign w:val="center"/>
                </w:tcPr>
                <w:p w14:paraId="120E41E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254" w:type="pct"/>
                  <w:vMerge w:val="continue"/>
                  <w:vAlign w:val="center"/>
                </w:tcPr>
                <w:p w14:paraId="62610C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1485" w:type="pct"/>
                  <w:gridSpan w:val="2"/>
                  <w:vAlign w:val="center"/>
                </w:tcPr>
                <w:p w14:paraId="034872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架空层建筑面积</w:t>
                  </w:r>
                </w:p>
              </w:tc>
              <w:tc>
                <w:tcPr>
                  <w:tcW w:w="678" w:type="pct"/>
                  <w:vAlign w:val="center"/>
                </w:tcPr>
                <w:p w14:paraId="5794D21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536" w:type="pct"/>
                  <w:vAlign w:val="center"/>
                </w:tcPr>
                <w:p w14:paraId="0ED197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3682C988">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7C2F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Merge w:val="continue"/>
                  <w:vAlign w:val="center"/>
                </w:tcPr>
                <w:p w14:paraId="313832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p>
              </w:tc>
              <w:tc>
                <w:tcPr>
                  <w:tcW w:w="254" w:type="pct"/>
                  <w:vMerge w:val="continue"/>
                  <w:vAlign w:val="center"/>
                </w:tcPr>
                <w:p w14:paraId="18CA6C3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bidi="ar-SA"/>
                    </w:rPr>
                  </w:pPr>
                </w:p>
              </w:tc>
              <w:tc>
                <w:tcPr>
                  <w:tcW w:w="1485" w:type="pct"/>
                  <w:gridSpan w:val="2"/>
                  <w:vAlign w:val="center"/>
                </w:tcPr>
                <w:p w14:paraId="159126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住宅建筑面积</w:t>
                  </w:r>
                </w:p>
              </w:tc>
              <w:tc>
                <w:tcPr>
                  <w:tcW w:w="678" w:type="pct"/>
                  <w:vAlign w:val="center"/>
                </w:tcPr>
                <w:p w14:paraId="518F36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w:t>
                  </w:r>
                </w:p>
              </w:tc>
              <w:tc>
                <w:tcPr>
                  <w:tcW w:w="536" w:type="pct"/>
                  <w:vAlign w:val="center"/>
                </w:tcPr>
                <w:p w14:paraId="55B983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009AC733">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4070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Merge w:val="continue"/>
                  <w:vAlign w:val="center"/>
                </w:tcPr>
                <w:p w14:paraId="10B0793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eastAsia="zh-CN"/>
                    </w:rPr>
                  </w:pPr>
                </w:p>
              </w:tc>
              <w:tc>
                <w:tcPr>
                  <w:tcW w:w="254" w:type="pct"/>
                  <w:vMerge w:val="continue"/>
                  <w:vAlign w:val="center"/>
                </w:tcPr>
                <w:p w14:paraId="6387B5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1485" w:type="pct"/>
                  <w:gridSpan w:val="2"/>
                  <w:vAlign w:val="center"/>
                </w:tcPr>
                <w:p w14:paraId="1018DB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办公建筑面积</w:t>
                  </w:r>
                </w:p>
              </w:tc>
              <w:tc>
                <w:tcPr>
                  <w:tcW w:w="678" w:type="pct"/>
                  <w:vAlign w:val="center"/>
                </w:tcPr>
                <w:p w14:paraId="787286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bidi="ar-SA"/>
                    </w:rPr>
                    <w:t>/</w:t>
                  </w:r>
                </w:p>
              </w:tc>
              <w:tc>
                <w:tcPr>
                  <w:tcW w:w="536" w:type="pct"/>
                  <w:vAlign w:val="center"/>
                </w:tcPr>
                <w:p w14:paraId="321BA0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345149F3">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1A2D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Merge w:val="continue"/>
                  <w:vAlign w:val="center"/>
                </w:tcPr>
                <w:p w14:paraId="5A4B70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p>
              </w:tc>
              <w:tc>
                <w:tcPr>
                  <w:tcW w:w="254" w:type="pct"/>
                  <w:vMerge w:val="continue"/>
                  <w:vAlign w:val="center"/>
                </w:tcPr>
                <w:p w14:paraId="50A583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1485" w:type="pct"/>
                  <w:gridSpan w:val="2"/>
                  <w:vAlign w:val="center"/>
                </w:tcPr>
                <w:p w14:paraId="308779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商业建筑面积</w:t>
                  </w:r>
                </w:p>
              </w:tc>
              <w:tc>
                <w:tcPr>
                  <w:tcW w:w="678" w:type="pct"/>
                  <w:vAlign w:val="center"/>
                </w:tcPr>
                <w:p w14:paraId="2069E6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bidi="ar-SA"/>
                    </w:rPr>
                    <w:t>/</w:t>
                  </w:r>
                </w:p>
              </w:tc>
              <w:tc>
                <w:tcPr>
                  <w:tcW w:w="536" w:type="pct"/>
                  <w:vAlign w:val="center"/>
                </w:tcPr>
                <w:p w14:paraId="2AA60D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0E2C29A9">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28ED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Merge w:val="continue"/>
                  <w:vAlign w:val="center"/>
                </w:tcPr>
                <w:p w14:paraId="4DB35F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p>
              </w:tc>
              <w:tc>
                <w:tcPr>
                  <w:tcW w:w="254" w:type="pct"/>
                  <w:vMerge w:val="continue"/>
                  <w:vAlign w:val="center"/>
                </w:tcPr>
                <w:p w14:paraId="484E4D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p>
              </w:tc>
              <w:tc>
                <w:tcPr>
                  <w:tcW w:w="1485" w:type="pct"/>
                  <w:gridSpan w:val="2"/>
                  <w:vAlign w:val="center"/>
                </w:tcPr>
                <w:p w14:paraId="26CC81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物业用房面积</w:t>
                  </w:r>
                </w:p>
              </w:tc>
              <w:tc>
                <w:tcPr>
                  <w:tcW w:w="678" w:type="pct"/>
                  <w:vAlign w:val="center"/>
                </w:tcPr>
                <w:p w14:paraId="4AF93F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bidi="ar-SA"/>
                    </w:rPr>
                    <w:t>/</w:t>
                  </w:r>
                </w:p>
              </w:tc>
              <w:tc>
                <w:tcPr>
                  <w:tcW w:w="536" w:type="pct"/>
                  <w:vAlign w:val="center"/>
                </w:tcPr>
                <w:p w14:paraId="10EE1A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000DD8C1">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2546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Merge w:val="continue"/>
                  <w:vAlign w:val="center"/>
                </w:tcPr>
                <w:p w14:paraId="7F5BDB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p>
              </w:tc>
              <w:tc>
                <w:tcPr>
                  <w:tcW w:w="254" w:type="pct"/>
                  <w:vMerge w:val="continue"/>
                  <w:vAlign w:val="center"/>
                </w:tcPr>
                <w:p w14:paraId="32AF67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p>
              </w:tc>
              <w:tc>
                <w:tcPr>
                  <w:tcW w:w="431" w:type="pct"/>
                  <w:vMerge w:val="restart"/>
                  <w:vAlign w:val="center"/>
                </w:tcPr>
                <w:p w14:paraId="511E27C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其中</w:t>
                  </w:r>
                </w:p>
              </w:tc>
              <w:tc>
                <w:tcPr>
                  <w:tcW w:w="1054" w:type="pct"/>
                  <w:vAlign w:val="center"/>
                </w:tcPr>
                <w:p w14:paraId="648C7B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bidi="ar-SA"/>
                    </w:rPr>
                    <w:t>物业办公用房</w:t>
                  </w:r>
                </w:p>
              </w:tc>
              <w:tc>
                <w:tcPr>
                  <w:tcW w:w="678" w:type="pct"/>
                  <w:vAlign w:val="center"/>
                </w:tcPr>
                <w:p w14:paraId="3AA22E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p>
              </w:tc>
              <w:tc>
                <w:tcPr>
                  <w:tcW w:w="536" w:type="pct"/>
                  <w:vAlign w:val="center"/>
                </w:tcPr>
                <w:p w14:paraId="45BAFB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27D7C3CB">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3FBB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Merge w:val="continue"/>
                  <w:vAlign w:val="center"/>
                </w:tcPr>
                <w:p w14:paraId="6EE9A14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254" w:type="pct"/>
                  <w:vMerge w:val="continue"/>
                  <w:vAlign w:val="center"/>
                </w:tcPr>
                <w:p w14:paraId="47670D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31" w:type="pct"/>
                  <w:vMerge w:val="continue"/>
                  <w:vAlign w:val="center"/>
                </w:tcPr>
                <w:p w14:paraId="777CF6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1054" w:type="pct"/>
                  <w:vAlign w:val="center"/>
                </w:tcPr>
                <w:p w14:paraId="50A518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可用于经营用房</w:t>
                  </w:r>
                </w:p>
              </w:tc>
              <w:tc>
                <w:tcPr>
                  <w:tcW w:w="678" w:type="pct"/>
                  <w:vAlign w:val="center"/>
                </w:tcPr>
                <w:p w14:paraId="0444C5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p>
              </w:tc>
              <w:tc>
                <w:tcPr>
                  <w:tcW w:w="536" w:type="pct"/>
                  <w:vAlign w:val="center"/>
                </w:tcPr>
                <w:p w14:paraId="7761BFA4">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34AE58C8">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7823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Merge w:val="continue"/>
                  <w:vAlign w:val="center"/>
                </w:tcPr>
                <w:p w14:paraId="32604EA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254" w:type="pct"/>
                  <w:vMerge w:val="continue"/>
                  <w:vAlign w:val="center"/>
                </w:tcPr>
                <w:p w14:paraId="4055F4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1485" w:type="pct"/>
                  <w:gridSpan w:val="2"/>
                  <w:vAlign w:val="center"/>
                </w:tcPr>
                <w:p w14:paraId="3B0F7B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配电房</w:t>
                  </w:r>
                </w:p>
              </w:tc>
              <w:tc>
                <w:tcPr>
                  <w:tcW w:w="678" w:type="pct"/>
                  <w:vAlign w:val="center"/>
                </w:tcPr>
                <w:p w14:paraId="1F7F80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bidi="ar-SA"/>
                    </w:rPr>
                    <w:t>/</w:t>
                  </w:r>
                </w:p>
              </w:tc>
              <w:tc>
                <w:tcPr>
                  <w:tcW w:w="536" w:type="pct"/>
                  <w:vAlign w:val="center"/>
                </w:tcPr>
                <w:p w14:paraId="3165321E">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3CD8B503">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45B4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Merge w:val="continue"/>
                  <w:vAlign w:val="center"/>
                </w:tcPr>
                <w:p w14:paraId="53FD63B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254" w:type="pct"/>
                  <w:vMerge w:val="continue"/>
                  <w:vAlign w:val="center"/>
                </w:tcPr>
                <w:p w14:paraId="7667A8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1485" w:type="pct"/>
                  <w:gridSpan w:val="2"/>
                  <w:vAlign w:val="center"/>
                </w:tcPr>
                <w:p w14:paraId="014A965D">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架空层</w:t>
                  </w:r>
                </w:p>
              </w:tc>
              <w:tc>
                <w:tcPr>
                  <w:tcW w:w="678" w:type="pct"/>
                  <w:vAlign w:val="center"/>
                </w:tcPr>
                <w:p w14:paraId="7C50A0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bidi="ar-SA"/>
                    </w:rPr>
                    <w:t>/</w:t>
                  </w:r>
                </w:p>
              </w:tc>
              <w:tc>
                <w:tcPr>
                  <w:tcW w:w="536" w:type="pct"/>
                  <w:vAlign w:val="center"/>
                </w:tcPr>
                <w:p w14:paraId="6F0E6C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48D8D041">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3894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Merge w:val="continue"/>
                  <w:vAlign w:val="center"/>
                </w:tcPr>
                <w:p w14:paraId="4C41DAC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254" w:type="pct"/>
                  <w:vMerge w:val="continue"/>
                  <w:vAlign w:val="center"/>
                </w:tcPr>
                <w:p w14:paraId="2236DA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1485" w:type="pct"/>
                  <w:gridSpan w:val="2"/>
                  <w:vAlign w:val="center"/>
                </w:tcPr>
                <w:p w14:paraId="58E839C8">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居家养老服务用房</w:t>
                  </w:r>
                </w:p>
              </w:tc>
              <w:tc>
                <w:tcPr>
                  <w:tcW w:w="678" w:type="pct"/>
                  <w:vAlign w:val="center"/>
                </w:tcPr>
                <w:p w14:paraId="110160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bidi="ar-SA"/>
                    </w:rPr>
                    <w:t>/</w:t>
                  </w:r>
                </w:p>
              </w:tc>
              <w:tc>
                <w:tcPr>
                  <w:tcW w:w="536" w:type="pct"/>
                  <w:vAlign w:val="center"/>
                </w:tcPr>
                <w:p w14:paraId="737D9C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080423F7">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71D0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Merge w:val="continue"/>
                  <w:vAlign w:val="center"/>
                </w:tcPr>
                <w:p w14:paraId="0B397DC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254" w:type="pct"/>
                  <w:vMerge w:val="continue"/>
                  <w:vAlign w:val="center"/>
                </w:tcPr>
                <w:p w14:paraId="1D0158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1485" w:type="pct"/>
                  <w:gridSpan w:val="2"/>
                  <w:vAlign w:val="center"/>
                </w:tcPr>
                <w:p w14:paraId="00910E20">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快递收发室</w:t>
                  </w:r>
                </w:p>
              </w:tc>
              <w:tc>
                <w:tcPr>
                  <w:tcW w:w="678" w:type="pct"/>
                  <w:vAlign w:val="center"/>
                </w:tcPr>
                <w:p w14:paraId="3EAD09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bidi="ar-SA"/>
                    </w:rPr>
                    <w:t>/</w:t>
                  </w:r>
                </w:p>
              </w:tc>
              <w:tc>
                <w:tcPr>
                  <w:tcW w:w="536" w:type="pct"/>
                  <w:vAlign w:val="center"/>
                </w:tcPr>
                <w:p w14:paraId="4913B4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386FB110">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3977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490798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c>
                <w:tcPr>
                  <w:tcW w:w="254" w:type="pct"/>
                  <w:vMerge w:val="continue"/>
                  <w:vAlign w:val="center"/>
                </w:tcPr>
                <w:p w14:paraId="1D07DA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1485" w:type="pct"/>
                  <w:gridSpan w:val="2"/>
                  <w:vAlign w:val="center"/>
                </w:tcPr>
                <w:p w14:paraId="4107F7D8">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地下建筑总面积</w:t>
                  </w:r>
                </w:p>
              </w:tc>
              <w:tc>
                <w:tcPr>
                  <w:tcW w:w="678" w:type="pct"/>
                  <w:vAlign w:val="center"/>
                </w:tcPr>
                <w:p w14:paraId="357FB0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5926</w:t>
                  </w:r>
                </w:p>
              </w:tc>
              <w:tc>
                <w:tcPr>
                  <w:tcW w:w="536" w:type="pct"/>
                  <w:vAlign w:val="center"/>
                </w:tcPr>
                <w:p w14:paraId="5D988504">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100DCFA5">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710F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71EB1BD2">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w:t>
                  </w:r>
                </w:p>
              </w:tc>
              <w:tc>
                <w:tcPr>
                  <w:tcW w:w="254" w:type="pct"/>
                  <w:vMerge w:val="continue"/>
                  <w:vAlign w:val="center"/>
                </w:tcPr>
                <w:p w14:paraId="3FA590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31" w:type="pct"/>
                  <w:vMerge w:val="restart"/>
                  <w:vAlign w:val="center"/>
                </w:tcPr>
                <w:p w14:paraId="3A743D24">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其中</w:t>
                  </w:r>
                </w:p>
              </w:tc>
              <w:tc>
                <w:tcPr>
                  <w:tcW w:w="1054" w:type="pct"/>
                  <w:vAlign w:val="center"/>
                </w:tcPr>
                <w:p w14:paraId="574EE113">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人防面积</w:t>
                  </w:r>
                </w:p>
              </w:tc>
              <w:tc>
                <w:tcPr>
                  <w:tcW w:w="678" w:type="pct"/>
                  <w:vAlign w:val="center"/>
                </w:tcPr>
                <w:p w14:paraId="7BD9BC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p>
              </w:tc>
              <w:tc>
                <w:tcPr>
                  <w:tcW w:w="536" w:type="pct"/>
                  <w:vAlign w:val="center"/>
                </w:tcPr>
                <w:p w14:paraId="0E51EB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49E34236">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依据地块建设条件及相关规范计算</w:t>
                  </w:r>
                </w:p>
              </w:tc>
            </w:tr>
            <w:tr w14:paraId="0658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3D8BFE3E">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w:t>
                  </w:r>
                </w:p>
              </w:tc>
              <w:tc>
                <w:tcPr>
                  <w:tcW w:w="254" w:type="pct"/>
                  <w:vMerge w:val="continue"/>
                  <w:vAlign w:val="center"/>
                </w:tcPr>
                <w:p w14:paraId="014CA9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31" w:type="pct"/>
                  <w:vMerge w:val="continue"/>
                  <w:vAlign w:val="center"/>
                </w:tcPr>
                <w:p w14:paraId="7B677F88">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c>
                <w:tcPr>
                  <w:tcW w:w="1054" w:type="pct"/>
                  <w:vAlign w:val="center"/>
                </w:tcPr>
                <w:p w14:paraId="6881642E">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非人防面积</w:t>
                  </w:r>
                </w:p>
              </w:tc>
              <w:tc>
                <w:tcPr>
                  <w:tcW w:w="678" w:type="pct"/>
                  <w:vAlign w:val="center"/>
                </w:tcPr>
                <w:p w14:paraId="03E30C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p>
              </w:tc>
              <w:tc>
                <w:tcPr>
                  <w:tcW w:w="536" w:type="pct"/>
                  <w:vAlign w:val="center"/>
                </w:tcPr>
                <w:p w14:paraId="3800EB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3390A0F5">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4A9A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2D6D3C18">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c>
                <w:tcPr>
                  <w:tcW w:w="254" w:type="pct"/>
                  <w:vMerge w:val="continue"/>
                  <w:vAlign w:val="center"/>
                </w:tcPr>
                <w:p w14:paraId="7005BA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31" w:type="pct"/>
                  <w:vMerge w:val="continue"/>
                  <w:vAlign w:val="center"/>
                </w:tcPr>
                <w:p w14:paraId="67BA5FFB">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c>
                <w:tcPr>
                  <w:tcW w:w="1054" w:type="pct"/>
                  <w:vAlign w:val="center"/>
                </w:tcPr>
                <w:p w14:paraId="58A37F9D">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一期车库连通道</w:t>
                  </w:r>
                </w:p>
              </w:tc>
              <w:tc>
                <w:tcPr>
                  <w:tcW w:w="678" w:type="pct"/>
                  <w:vAlign w:val="center"/>
                </w:tcPr>
                <w:p w14:paraId="46B5D0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129.2</w:t>
                  </w:r>
                </w:p>
              </w:tc>
              <w:tc>
                <w:tcPr>
                  <w:tcW w:w="536" w:type="pct"/>
                  <w:vAlign w:val="center"/>
                </w:tcPr>
                <w:p w14:paraId="13D930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平方米</w:t>
                  </w:r>
                </w:p>
              </w:tc>
              <w:tc>
                <w:tcPr>
                  <w:tcW w:w="1650" w:type="pct"/>
                  <w:vAlign w:val="center"/>
                </w:tcPr>
                <w:p w14:paraId="2704A6E9">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位于红线外，不计入总面积</w:t>
                  </w:r>
                </w:p>
              </w:tc>
            </w:tr>
            <w:tr w14:paraId="55E7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408942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w:t>
                  </w:r>
                </w:p>
              </w:tc>
              <w:tc>
                <w:tcPr>
                  <w:tcW w:w="1740" w:type="pct"/>
                  <w:gridSpan w:val="3"/>
                  <w:vAlign w:val="center"/>
                </w:tcPr>
                <w:p w14:paraId="4358FF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容积率</w:t>
                  </w:r>
                </w:p>
              </w:tc>
              <w:tc>
                <w:tcPr>
                  <w:tcW w:w="678" w:type="pct"/>
                  <w:vAlign w:val="center"/>
                </w:tcPr>
                <w:p w14:paraId="073334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1.32</w:t>
                  </w:r>
                </w:p>
              </w:tc>
              <w:tc>
                <w:tcPr>
                  <w:tcW w:w="536" w:type="pct"/>
                  <w:vAlign w:val="center"/>
                </w:tcPr>
                <w:p w14:paraId="1212BE62">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650" w:type="pct"/>
                  <w:vAlign w:val="center"/>
                </w:tcPr>
                <w:p w14:paraId="54F59E3D">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0F3E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026BCD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w:t>
                  </w:r>
                </w:p>
              </w:tc>
              <w:tc>
                <w:tcPr>
                  <w:tcW w:w="1740" w:type="pct"/>
                  <w:gridSpan w:val="3"/>
                  <w:vAlign w:val="center"/>
                </w:tcPr>
                <w:p w14:paraId="0D819B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建筑密度</w:t>
                  </w:r>
                </w:p>
              </w:tc>
              <w:tc>
                <w:tcPr>
                  <w:tcW w:w="678" w:type="pct"/>
                  <w:vAlign w:val="center"/>
                </w:tcPr>
                <w:p w14:paraId="492784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34.7</w:t>
                  </w:r>
                </w:p>
              </w:tc>
              <w:tc>
                <w:tcPr>
                  <w:tcW w:w="536" w:type="pct"/>
                  <w:vAlign w:val="center"/>
                </w:tcPr>
                <w:p w14:paraId="2D017EA5">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650" w:type="pct"/>
                  <w:vAlign w:val="center"/>
                </w:tcPr>
                <w:p w14:paraId="1C5FBDAD">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4C8F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527C3E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9</w:t>
                  </w:r>
                </w:p>
              </w:tc>
              <w:tc>
                <w:tcPr>
                  <w:tcW w:w="1740" w:type="pct"/>
                  <w:gridSpan w:val="3"/>
                  <w:vAlign w:val="center"/>
                </w:tcPr>
                <w:p w14:paraId="52BC12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绿地率</w:t>
                  </w:r>
                </w:p>
              </w:tc>
              <w:tc>
                <w:tcPr>
                  <w:tcW w:w="678" w:type="pct"/>
                  <w:vAlign w:val="center"/>
                </w:tcPr>
                <w:p w14:paraId="5561AA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11.3</w:t>
                  </w:r>
                </w:p>
              </w:tc>
              <w:tc>
                <w:tcPr>
                  <w:tcW w:w="536" w:type="pct"/>
                  <w:vAlign w:val="center"/>
                </w:tcPr>
                <w:p w14:paraId="49AC879D">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650" w:type="pct"/>
                  <w:vAlign w:val="center"/>
                </w:tcPr>
                <w:p w14:paraId="11CF08AD">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全院区统筹绿地率不低于35%</w:t>
                  </w:r>
                </w:p>
              </w:tc>
            </w:tr>
            <w:tr w14:paraId="2A30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36A857F6">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1740" w:type="pct"/>
                  <w:gridSpan w:val="3"/>
                  <w:vAlign w:val="center"/>
                </w:tcPr>
                <w:p w14:paraId="0CAB7CD1">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公共绿地</w:t>
                  </w:r>
                </w:p>
              </w:tc>
              <w:tc>
                <w:tcPr>
                  <w:tcW w:w="678" w:type="pct"/>
                  <w:vAlign w:val="center"/>
                </w:tcPr>
                <w:p w14:paraId="24A222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1745</w:t>
                  </w:r>
                </w:p>
              </w:tc>
              <w:tc>
                <w:tcPr>
                  <w:tcW w:w="536" w:type="pct"/>
                  <w:vAlign w:val="center"/>
                </w:tcPr>
                <w:p w14:paraId="0CFBA6E8">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m</w:t>
                  </w:r>
                  <w:r>
                    <w:rPr>
                      <w:rFonts w:hint="eastAsia" w:eastAsia="仿宋" w:cs="Times New Roman"/>
                      <w:color w:val="auto"/>
                      <w:kern w:val="0"/>
                      <w:sz w:val="21"/>
                      <w:szCs w:val="21"/>
                      <w:highlight w:val="none"/>
                      <w:vertAlign w:val="superscript"/>
                      <w:lang w:val="en-US" w:eastAsia="zh-CN"/>
                    </w:rPr>
                    <w:t>2</w:t>
                  </w:r>
                </w:p>
              </w:tc>
              <w:tc>
                <w:tcPr>
                  <w:tcW w:w="1650" w:type="pct"/>
                  <w:vAlign w:val="center"/>
                </w:tcPr>
                <w:p w14:paraId="32976DB3">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59D9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7A5DF23C">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11</w:t>
                  </w:r>
                </w:p>
              </w:tc>
              <w:tc>
                <w:tcPr>
                  <w:tcW w:w="1740" w:type="pct"/>
                  <w:gridSpan w:val="3"/>
                  <w:vAlign w:val="center"/>
                </w:tcPr>
                <w:p w14:paraId="3488E85D">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总户数</w:t>
                  </w:r>
                </w:p>
              </w:tc>
              <w:tc>
                <w:tcPr>
                  <w:tcW w:w="678" w:type="pct"/>
                  <w:vAlign w:val="center"/>
                </w:tcPr>
                <w:p w14:paraId="2C542B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536" w:type="pct"/>
                  <w:vAlign w:val="center"/>
                </w:tcPr>
                <w:p w14:paraId="34D1B6D1">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户</w:t>
                  </w:r>
                </w:p>
              </w:tc>
              <w:tc>
                <w:tcPr>
                  <w:tcW w:w="1650" w:type="pct"/>
                  <w:vAlign w:val="center"/>
                </w:tcPr>
                <w:p w14:paraId="50B9B273">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4638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02536873">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12</w:t>
                  </w:r>
                </w:p>
              </w:tc>
              <w:tc>
                <w:tcPr>
                  <w:tcW w:w="1740" w:type="pct"/>
                  <w:gridSpan w:val="3"/>
                  <w:vAlign w:val="center"/>
                </w:tcPr>
                <w:p w14:paraId="7E540ECD">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居住人数</w:t>
                  </w:r>
                </w:p>
              </w:tc>
              <w:tc>
                <w:tcPr>
                  <w:tcW w:w="678" w:type="pct"/>
                  <w:vAlign w:val="center"/>
                </w:tcPr>
                <w:p w14:paraId="6F8384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536" w:type="pct"/>
                  <w:vAlign w:val="center"/>
                </w:tcPr>
                <w:p w14:paraId="142E48D2">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人</w:t>
                  </w:r>
                </w:p>
              </w:tc>
              <w:tc>
                <w:tcPr>
                  <w:tcW w:w="1650" w:type="pct"/>
                  <w:vAlign w:val="center"/>
                </w:tcPr>
                <w:p w14:paraId="7DC20052">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2834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7666FEBC">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13</w:t>
                  </w:r>
                </w:p>
              </w:tc>
              <w:tc>
                <w:tcPr>
                  <w:tcW w:w="1740" w:type="pct"/>
                  <w:gridSpan w:val="3"/>
                  <w:vAlign w:val="center"/>
                </w:tcPr>
                <w:p w14:paraId="3B34AD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机动车停车位</w:t>
                  </w:r>
                </w:p>
              </w:tc>
              <w:tc>
                <w:tcPr>
                  <w:tcW w:w="678" w:type="pct"/>
                  <w:vAlign w:val="center"/>
                </w:tcPr>
                <w:p w14:paraId="020CCD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146</w:t>
                  </w:r>
                </w:p>
              </w:tc>
              <w:tc>
                <w:tcPr>
                  <w:tcW w:w="536" w:type="pct"/>
                  <w:vAlign w:val="center"/>
                </w:tcPr>
                <w:p w14:paraId="2BCD9E72">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辆</w:t>
                  </w:r>
                </w:p>
              </w:tc>
              <w:tc>
                <w:tcPr>
                  <w:tcW w:w="1650" w:type="pct"/>
                  <w:vAlign w:val="center"/>
                </w:tcPr>
                <w:p w14:paraId="254078FD">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院区统筹增设159辆，本期机动车停车位共305辆</w:t>
                  </w:r>
                </w:p>
              </w:tc>
            </w:tr>
            <w:tr w14:paraId="008D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4" w:type="pct"/>
                  <w:vAlign w:val="center"/>
                </w:tcPr>
                <w:p w14:paraId="1DF0B430">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14</w:t>
                  </w:r>
                </w:p>
              </w:tc>
              <w:tc>
                <w:tcPr>
                  <w:tcW w:w="1740" w:type="pct"/>
                  <w:gridSpan w:val="3"/>
                  <w:vAlign w:val="center"/>
                </w:tcPr>
                <w:p w14:paraId="7A1339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非机动车停车位</w:t>
                  </w:r>
                </w:p>
              </w:tc>
              <w:tc>
                <w:tcPr>
                  <w:tcW w:w="678" w:type="pct"/>
                  <w:vAlign w:val="center"/>
                </w:tcPr>
                <w:p w14:paraId="5EB642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w:t>
                  </w:r>
                </w:p>
              </w:tc>
              <w:tc>
                <w:tcPr>
                  <w:tcW w:w="536" w:type="pct"/>
                  <w:vAlign w:val="center"/>
                </w:tcPr>
                <w:p w14:paraId="6F581152">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辆</w:t>
                  </w:r>
                </w:p>
              </w:tc>
              <w:tc>
                <w:tcPr>
                  <w:tcW w:w="1650" w:type="pct"/>
                  <w:vAlign w:val="center"/>
                </w:tcPr>
                <w:p w14:paraId="40434040">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院区统筹增设210辆，本期非机动车停车位共210辆</w:t>
                  </w:r>
                </w:p>
              </w:tc>
            </w:tr>
          </w:tbl>
          <w:p w14:paraId="46BACABA">
            <w:pPr>
              <w:spacing w:line="360" w:lineRule="auto"/>
              <w:ind w:firstLine="482" w:firstLineChars="200"/>
              <w:rPr>
                <w:rFonts w:hint="default" w:ascii="Times New Roman" w:hAnsi="Times New Roman" w:eastAsia="仿宋" w:cs="Times New Roman"/>
                <w:b/>
                <w:bCs/>
                <w:color w:val="auto"/>
                <w:kern w:val="2"/>
                <w:sz w:val="24"/>
                <w:szCs w:val="24"/>
                <w:highlight w:val="none"/>
                <w:lang w:val="en-US" w:eastAsia="zh-CN" w:bidi="ar-SA"/>
              </w:rPr>
            </w:pPr>
            <w:r>
              <w:rPr>
                <w:rFonts w:hint="eastAsia" w:ascii="Times New Roman" w:hAnsi="Times New Roman" w:eastAsia="仿宋" w:cs="Times New Roman"/>
                <w:b/>
                <w:bCs/>
                <w:color w:val="auto"/>
                <w:kern w:val="2"/>
                <w:sz w:val="24"/>
                <w:szCs w:val="24"/>
                <w:highlight w:val="none"/>
                <w:lang w:val="en-US" w:eastAsia="zh-CN" w:bidi="ar-SA"/>
              </w:rPr>
              <w:t>3、就医规模</w:t>
            </w:r>
          </w:p>
          <w:p w14:paraId="7298BC4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rPr>
            </w:pPr>
            <w:r>
              <w:rPr>
                <w:rFonts w:hint="default" w:ascii="Times New Roman" w:hAnsi="Times New Roman" w:eastAsia="仿宋" w:cs="Times New Roman"/>
                <w:b/>
                <w:bCs/>
                <w:color w:val="auto"/>
                <w:kern w:val="0"/>
                <w:sz w:val="22"/>
                <w:szCs w:val="22"/>
                <w:highlight w:val="none"/>
              </w:rPr>
              <w:t>表2-</w:t>
            </w:r>
            <w:r>
              <w:rPr>
                <w:rFonts w:hint="eastAsia" w:eastAsia="仿宋" w:cs="Times New Roman"/>
                <w:b/>
                <w:bCs/>
                <w:color w:val="auto"/>
                <w:kern w:val="0"/>
                <w:sz w:val="22"/>
                <w:szCs w:val="22"/>
                <w:highlight w:val="none"/>
                <w:lang w:val="en-US" w:eastAsia="zh-CN"/>
              </w:rPr>
              <w:t>2</w:t>
            </w:r>
            <w:r>
              <w:rPr>
                <w:rFonts w:hint="default" w:ascii="Times New Roman" w:hAnsi="Times New Roman" w:eastAsia="仿宋" w:cs="Times New Roman"/>
                <w:b/>
                <w:bCs/>
                <w:color w:val="auto"/>
                <w:kern w:val="0"/>
                <w:sz w:val="22"/>
                <w:szCs w:val="22"/>
                <w:highlight w:val="none"/>
              </w:rPr>
              <w:t xml:space="preserve"> </w:t>
            </w:r>
            <w:r>
              <w:rPr>
                <w:rFonts w:hint="eastAsia" w:eastAsia="仿宋" w:cs="Times New Roman"/>
                <w:b/>
                <w:bCs/>
                <w:color w:val="auto"/>
                <w:kern w:val="0"/>
                <w:sz w:val="22"/>
                <w:szCs w:val="22"/>
                <w:highlight w:val="none"/>
                <w:lang w:val="en-US" w:eastAsia="zh-CN"/>
              </w:rPr>
              <w:t>本项目就医规模一览表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2079"/>
              <w:gridCol w:w="1344"/>
              <w:gridCol w:w="1382"/>
              <w:gridCol w:w="1481"/>
              <w:gridCol w:w="1339"/>
            </w:tblGrid>
            <w:tr w14:paraId="26BC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47" w:type="pct"/>
                  <w:vMerge w:val="restart"/>
                  <w:vAlign w:val="center"/>
                </w:tcPr>
                <w:p w14:paraId="6ADF7A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序号</w:t>
                  </w:r>
                </w:p>
              </w:tc>
              <w:tc>
                <w:tcPr>
                  <w:tcW w:w="1241" w:type="pct"/>
                  <w:vMerge w:val="restart"/>
                  <w:vAlign w:val="center"/>
                </w:tcPr>
                <w:p w14:paraId="606E70B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b/>
                      <w:bCs/>
                      <w:color w:val="auto"/>
                      <w:kern w:val="0"/>
                      <w:sz w:val="21"/>
                      <w:szCs w:val="21"/>
                      <w:highlight w:val="none"/>
                      <w:lang w:eastAsia="zh-CN"/>
                    </w:rPr>
                  </w:pPr>
                  <w:r>
                    <w:rPr>
                      <w:rFonts w:hint="eastAsia" w:eastAsia="仿宋" w:cs="Times New Roman"/>
                      <w:b/>
                      <w:bCs/>
                      <w:color w:val="auto"/>
                      <w:kern w:val="0"/>
                      <w:sz w:val="21"/>
                      <w:szCs w:val="21"/>
                      <w:highlight w:val="none"/>
                      <w:lang w:val="en-US" w:eastAsia="zh-CN"/>
                    </w:rPr>
                    <w:t>分类</w:t>
                  </w:r>
                </w:p>
              </w:tc>
              <w:tc>
                <w:tcPr>
                  <w:tcW w:w="2511" w:type="pct"/>
                  <w:gridSpan w:val="3"/>
                  <w:vAlign w:val="center"/>
                </w:tcPr>
                <w:p w14:paraId="14B18CE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就医规模</w:t>
                  </w:r>
                </w:p>
              </w:tc>
              <w:tc>
                <w:tcPr>
                  <w:tcW w:w="799" w:type="pct"/>
                  <w:vMerge w:val="restart"/>
                  <w:vAlign w:val="center"/>
                </w:tcPr>
                <w:p w14:paraId="254073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年运行时数</w:t>
                  </w:r>
                </w:p>
              </w:tc>
            </w:tr>
            <w:tr w14:paraId="232C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47" w:type="pct"/>
                  <w:vMerge w:val="continue"/>
                  <w:vAlign w:val="center"/>
                </w:tcPr>
                <w:p w14:paraId="1AC7C289">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1241" w:type="pct"/>
                  <w:vMerge w:val="continue"/>
                  <w:vAlign w:val="center"/>
                </w:tcPr>
                <w:p w14:paraId="6BFBED61">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c>
                <w:tcPr>
                  <w:tcW w:w="802" w:type="pct"/>
                  <w:vAlign w:val="center"/>
                </w:tcPr>
                <w:p w14:paraId="67D51E07">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现场实际</w:t>
                  </w:r>
                </w:p>
              </w:tc>
              <w:tc>
                <w:tcPr>
                  <w:tcW w:w="825" w:type="pct"/>
                  <w:vAlign w:val="center"/>
                </w:tcPr>
                <w:p w14:paraId="26C5833B">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扩建项目</w:t>
                  </w:r>
                </w:p>
              </w:tc>
              <w:tc>
                <w:tcPr>
                  <w:tcW w:w="884" w:type="pct"/>
                  <w:vAlign w:val="center"/>
                </w:tcPr>
                <w:p w14:paraId="46D20F82">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建成后全院</w:t>
                  </w:r>
                </w:p>
              </w:tc>
              <w:tc>
                <w:tcPr>
                  <w:tcW w:w="799" w:type="pct"/>
                  <w:vMerge w:val="continue"/>
                  <w:vAlign w:val="center"/>
                </w:tcPr>
                <w:p w14:paraId="33AE31A8">
                  <w:pPr>
                    <w:keepNext w:val="0"/>
                    <w:keepLines w:val="0"/>
                    <w:pageBreakBefore w:val="0"/>
                    <w:widowControl w:val="0"/>
                    <w:kinsoku/>
                    <w:wordWrap/>
                    <w:overflowPunct/>
                    <w:topLinePunct w:val="0"/>
                    <w:autoSpaceDE/>
                    <w:autoSpaceDN/>
                    <w:bidi w:val="0"/>
                    <w:adjustRightInd/>
                    <w:snapToGrid/>
                    <w:jc w:val="center"/>
                    <w:textAlignment w:val="auto"/>
                    <w:rPr>
                      <w:color w:val="auto"/>
                    </w:rPr>
                  </w:pPr>
                </w:p>
              </w:tc>
            </w:tr>
            <w:tr w14:paraId="4B80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7" w:type="pct"/>
                  <w:vAlign w:val="center"/>
                </w:tcPr>
                <w:p w14:paraId="60C01B1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w:t>
                  </w:r>
                </w:p>
              </w:tc>
              <w:tc>
                <w:tcPr>
                  <w:tcW w:w="1241" w:type="pct"/>
                  <w:vAlign w:val="center"/>
                </w:tcPr>
                <w:p w14:paraId="4472DE3D">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门诊人次（人次/年）</w:t>
                  </w:r>
                </w:p>
              </w:tc>
              <w:tc>
                <w:tcPr>
                  <w:tcW w:w="802" w:type="pct"/>
                  <w:vAlign w:val="center"/>
                </w:tcPr>
                <w:p w14:paraId="1B5AE4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1175300</w:t>
                  </w:r>
                </w:p>
              </w:tc>
              <w:tc>
                <w:tcPr>
                  <w:tcW w:w="825" w:type="pct"/>
                  <w:vAlign w:val="center"/>
                </w:tcPr>
                <w:p w14:paraId="5B67B632">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481" w:type="dxa"/>
                  <w:vAlign w:val="center"/>
                </w:tcPr>
                <w:p w14:paraId="6C88CA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1175300</w:t>
                  </w:r>
                </w:p>
              </w:tc>
              <w:tc>
                <w:tcPr>
                  <w:tcW w:w="799" w:type="pct"/>
                  <w:vMerge w:val="restart"/>
                  <w:vAlign w:val="center"/>
                </w:tcPr>
                <w:p w14:paraId="075709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8760</w:t>
                  </w:r>
                </w:p>
              </w:tc>
            </w:tr>
            <w:tr w14:paraId="003C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7" w:type="pct"/>
                  <w:vAlign w:val="center"/>
                </w:tcPr>
                <w:p w14:paraId="55454BB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w:t>
                  </w:r>
                </w:p>
              </w:tc>
              <w:tc>
                <w:tcPr>
                  <w:tcW w:w="1241" w:type="pct"/>
                  <w:vAlign w:val="center"/>
                </w:tcPr>
                <w:p w14:paraId="4702EAE5">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采血人次（人次/年）</w:t>
                  </w:r>
                </w:p>
              </w:tc>
              <w:tc>
                <w:tcPr>
                  <w:tcW w:w="802" w:type="pct"/>
                  <w:vAlign w:val="center"/>
                </w:tcPr>
                <w:p w14:paraId="5E0967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6570</w:t>
                  </w:r>
                </w:p>
              </w:tc>
              <w:tc>
                <w:tcPr>
                  <w:tcW w:w="825" w:type="pct"/>
                  <w:vAlign w:val="center"/>
                </w:tcPr>
                <w:p w14:paraId="31C770C3">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481" w:type="dxa"/>
                  <w:vAlign w:val="center"/>
                </w:tcPr>
                <w:p w14:paraId="597002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6570</w:t>
                  </w:r>
                </w:p>
              </w:tc>
              <w:tc>
                <w:tcPr>
                  <w:tcW w:w="799" w:type="pct"/>
                  <w:vMerge w:val="continue"/>
                  <w:vAlign w:val="center"/>
                </w:tcPr>
                <w:p w14:paraId="6A863736">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p>
              </w:tc>
            </w:tr>
            <w:tr w14:paraId="55A2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7" w:type="pct"/>
                  <w:vAlign w:val="center"/>
                </w:tcPr>
                <w:p w14:paraId="7CE1920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w:t>
                  </w:r>
                </w:p>
              </w:tc>
              <w:tc>
                <w:tcPr>
                  <w:tcW w:w="1241" w:type="pct"/>
                  <w:vAlign w:val="center"/>
                </w:tcPr>
                <w:p w14:paraId="50DE36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rPr>
                  </w:pPr>
                  <w:r>
                    <w:rPr>
                      <w:rFonts w:hint="eastAsia" w:eastAsia="仿宋" w:cs="Times New Roman"/>
                      <w:color w:val="auto"/>
                      <w:kern w:val="0"/>
                      <w:sz w:val="21"/>
                      <w:szCs w:val="21"/>
                      <w:highlight w:val="none"/>
                      <w:lang w:val="en-US" w:eastAsia="zh-CN"/>
                    </w:rPr>
                    <w:t>住院人次（人次/年）</w:t>
                  </w:r>
                </w:p>
              </w:tc>
              <w:tc>
                <w:tcPr>
                  <w:tcW w:w="802" w:type="pct"/>
                  <w:vAlign w:val="center"/>
                </w:tcPr>
                <w:p w14:paraId="16219B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34000</w:t>
                  </w:r>
                </w:p>
              </w:tc>
              <w:tc>
                <w:tcPr>
                  <w:tcW w:w="825" w:type="pct"/>
                  <w:vAlign w:val="center"/>
                </w:tcPr>
                <w:p w14:paraId="3A7398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13000</w:t>
                  </w:r>
                </w:p>
              </w:tc>
              <w:tc>
                <w:tcPr>
                  <w:tcW w:w="884" w:type="pct"/>
                  <w:vAlign w:val="center"/>
                </w:tcPr>
                <w:p w14:paraId="36E48D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rPr>
                  </w:pPr>
                  <w:r>
                    <w:rPr>
                      <w:rFonts w:hint="eastAsia" w:eastAsia="仿宋" w:cs="Times New Roman"/>
                      <w:color w:val="auto"/>
                      <w:kern w:val="0"/>
                      <w:sz w:val="21"/>
                      <w:szCs w:val="21"/>
                      <w:highlight w:val="none"/>
                      <w:lang w:val="en-US" w:eastAsia="zh-CN"/>
                    </w:rPr>
                    <w:t>47000</w:t>
                  </w:r>
                </w:p>
              </w:tc>
              <w:tc>
                <w:tcPr>
                  <w:tcW w:w="799" w:type="pct"/>
                  <w:vMerge w:val="continue"/>
                  <w:vAlign w:val="center"/>
                </w:tcPr>
                <w:p w14:paraId="1EC026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r>
            <w:tr w14:paraId="1B4E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7" w:type="pct"/>
                  <w:vAlign w:val="center"/>
                </w:tcPr>
                <w:p w14:paraId="5736C17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c>
                <w:tcPr>
                  <w:tcW w:w="1241" w:type="pct"/>
                  <w:vAlign w:val="center"/>
                </w:tcPr>
                <w:p w14:paraId="0D1D8FCA">
                  <w:pPr>
                    <w:keepNext w:val="0"/>
                    <w:keepLines w:val="0"/>
                    <w:pageBreakBefore w:val="0"/>
                    <w:widowControl w:val="0"/>
                    <w:kinsoku/>
                    <w:wordWrap/>
                    <w:overflowPunct/>
                    <w:topLinePunct w:val="0"/>
                    <w:autoSpaceDE/>
                    <w:autoSpaceDN/>
                    <w:bidi w:val="0"/>
                    <w:adjustRightInd/>
                    <w:snapToGrid/>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急诊人次（人次/年）</w:t>
                  </w:r>
                </w:p>
              </w:tc>
              <w:tc>
                <w:tcPr>
                  <w:tcW w:w="802" w:type="pct"/>
                  <w:vAlign w:val="center"/>
                </w:tcPr>
                <w:p w14:paraId="38E2BC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85300</w:t>
                  </w:r>
                </w:p>
              </w:tc>
              <w:tc>
                <w:tcPr>
                  <w:tcW w:w="825" w:type="pct"/>
                  <w:vAlign w:val="center"/>
                </w:tcPr>
                <w:p w14:paraId="1E4D98BF">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250000</w:t>
                  </w:r>
                </w:p>
              </w:tc>
              <w:tc>
                <w:tcPr>
                  <w:tcW w:w="884" w:type="pct"/>
                  <w:vAlign w:val="center"/>
                </w:tcPr>
                <w:p w14:paraId="5A1CC6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335300</w:t>
                  </w:r>
                </w:p>
              </w:tc>
              <w:tc>
                <w:tcPr>
                  <w:tcW w:w="799" w:type="pct"/>
                  <w:vMerge w:val="continue"/>
                  <w:vAlign w:val="center"/>
                </w:tcPr>
                <w:p w14:paraId="24B913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rPr>
                  </w:pPr>
                </w:p>
              </w:tc>
            </w:tr>
            <w:tr w14:paraId="1091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7" w:type="pct"/>
                  <w:vAlign w:val="center"/>
                </w:tcPr>
                <w:p w14:paraId="1BBC5DF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w:t>
                  </w:r>
                </w:p>
              </w:tc>
              <w:tc>
                <w:tcPr>
                  <w:tcW w:w="1241" w:type="pct"/>
                  <w:vAlign w:val="center"/>
                </w:tcPr>
                <w:p w14:paraId="69F4DA2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 w:cs="Times New Roman"/>
                      <w:color w:val="auto"/>
                      <w:kern w:val="0"/>
                      <w:sz w:val="21"/>
                      <w:szCs w:val="21"/>
                      <w:highlight w:val="none"/>
                      <w:lang w:eastAsia="zh-CN"/>
                    </w:rPr>
                  </w:pPr>
                  <w:r>
                    <w:rPr>
                      <w:rFonts w:hint="eastAsia" w:eastAsia="仿宋" w:cs="Times New Roman"/>
                      <w:color w:val="auto"/>
                      <w:kern w:val="0"/>
                      <w:sz w:val="21"/>
                      <w:szCs w:val="21"/>
                      <w:highlight w:val="none"/>
                      <w:lang w:val="en-US" w:eastAsia="zh-CN"/>
                    </w:rPr>
                    <w:t>床位（张）</w:t>
                  </w:r>
                </w:p>
              </w:tc>
              <w:tc>
                <w:tcPr>
                  <w:tcW w:w="802" w:type="pct"/>
                  <w:vAlign w:val="center"/>
                </w:tcPr>
                <w:p w14:paraId="0C50E2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1350</w:t>
                  </w:r>
                </w:p>
              </w:tc>
              <w:tc>
                <w:tcPr>
                  <w:tcW w:w="825" w:type="pct"/>
                  <w:vAlign w:val="center"/>
                </w:tcPr>
                <w:p w14:paraId="350D7F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200</w:t>
                  </w:r>
                </w:p>
              </w:tc>
              <w:tc>
                <w:tcPr>
                  <w:tcW w:w="884" w:type="pct"/>
                  <w:vAlign w:val="center"/>
                </w:tcPr>
                <w:p w14:paraId="6206CF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rPr>
                  </w:pPr>
                  <w:r>
                    <w:rPr>
                      <w:rFonts w:hint="eastAsia" w:eastAsia="仿宋" w:cs="Times New Roman"/>
                      <w:color w:val="auto"/>
                      <w:kern w:val="0"/>
                      <w:sz w:val="21"/>
                      <w:szCs w:val="21"/>
                      <w:highlight w:val="none"/>
                      <w:lang w:val="en-US" w:eastAsia="zh-CN"/>
                    </w:rPr>
                    <w:t>1550</w:t>
                  </w:r>
                </w:p>
              </w:tc>
              <w:tc>
                <w:tcPr>
                  <w:tcW w:w="799" w:type="pct"/>
                  <w:vMerge w:val="continue"/>
                  <w:vAlign w:val="center"/>
                </w:tcPr>
                <w:p w14:paraId="29FCBB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p>
              </w:tc>
            </w:tr>
          </w:tbl>
          <w:p w14:paraId="3FE3B3CB">
            <w:pPr>
              <w:spacing w:line="360" w:lineRule="auto"/>
              <w:ind w:firstLine="482" w:firstLineChars="200"/>
              <w:rPr>
                <w:rFonts w:hint="default" w:ascii="Times New Roman" w:hAnsi="Times New Roman" w:eastAsia="仿宋" w:cs="Times New Roman"/>
                <w:b/>
                <w:bCs/>
                <w:color w:val="auto"/>
                <w:kern w:val="2"/>
                <w:sz w:val="24"/>
                <w:szCs w:val="24"/>
                <w:highlight w:val="none"/>
                <w:lang w:val="en-US" w:eastAsia="zh-CN" w:bidi="ar-SA"/>
              </w:rPr>
            </w:pPr>
            <w:r>
              <w:rPr>
                <w:rFonts w:hint="eastAsia" w:ascii="Times New Roman" w:hAnsi="Times New Roman" w:eastAsia="仿宋" w:cs="Times New Roman"/>
                <w:b/>
                <w:bCs/>
                <w:color w:val="auto"/>
                <w:kern w:val="2"/>
                <w:sz w:val="24"/>
                <w:szCs w:val="24"/>
                <w:highlight w:val="none"/>
                <w:lang w:val="en-US" w:eastAsia="zh-CN" w:bidi="ar-SA"/>
              </w:rPr>
              <w:t>4</w:t>
            </w:r>
            <w:r>
              <w:rPr>
                <w:rFonts w:hint="default" w:ascii="Times New Roman" w:hAnsi="Times New Roman" w:eastAsia="仿宋" w:cs="Times New Roman"/>
                <w:b/>
                <w:bCs/>
                <w:color w:val="auto"/>
                <w:kern w:val="2"/>
                <w:sz w:val="24"/>
                <w:szCs w:val="24"/>
                <w:highlight w:val="none"/>
                <w:lang w:val="en-US" w:eastAsia="zh-CN" w:bidi="ar-SA"/>
              </w:rPr>
              <w:t>、项目建设内容及规模</w:t>
            </w:r>
          </w:p>
          <w:p w14:paraId="2BECDE79">
            <w:pPr>
              <w:spacing w:line="360" w:lineRule="auto"/>
              <w:ind w:firstLine="480" w:firstLineChars="200"/>
              <w:rPr>
                <w:rFonts w:hint="default" w:eastAsia="仿宋" w:cs="Times New Roman"/>
                <w:color w:val="auto"/>
                <w:kern w:val="0"/>
                <w:sz w:val="24"/>
                <w:szCs w:val="24"/>
                <w:highlight w:val="none"/>
                <w:lang w:val="en-US" w:eastAsia="zh-CN"/>
              </w:rPr>
            </w:pPr>
            <w:r>
              <w:rPr>
                <w:rFonts w:hint="default" w:eastAsia="仿宋" w:cs="Times New Roman"/>
                <w:color w:val="auto"/>
                <w:kern w:val="0"/>
                <w:sz w:val="24"/>
                <w:szCs w:val="24"/>
                <w:highlight w:val="none"/>
                <w:lang w:val="en-US" w:eastAsia="zh-CN"/>
              </w:rPr>
              <w:t>本项目建设内容组成见表2-</w:t>
            </w:r>
            <w:r>
              <w:rPr>
                <w:rFonts w:hint="eastAsia" w:eastAsia="仿宋" w:cs="Times New Roman"/>
                <w:color w:val="auto"/>
                <w:kern w:val="0"/>
                <w:sz w:val="24"/>
                <w:szCs w:val="24"/>
                <w:highlight w:val="none"/>
                <w:lang w:val="en-US" w:eastAsia="zh-CN"/>
              </w:rPr>
              <w:t>3</w:t>
            </w:r>
            <w:r>
              <w:rPr>
                <w:rFonts w:hint="default" w:eastAsia="仿宋" w:cs="Times New Roman"/>
                <w:color w:val="auto"/>
                <w:kern w:val="0"/>
                <w:sz w:val="24"/>
                <w:szCs w:val="24"/>
                <w:highlight w:val="none"/>
                <w:lang w:val="en-US" w:eastAsia="zh-CN"/>
              </w:rPr>
              <w:t>。</w:t>
            </w:r>
          </w:p>
          <w:p w14:paraId="02D7B2E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4"/>
                <w:szCs w:val="24"/>
                <w:highlight w:val="none"/>
                <w:lang w:val="en-US" w:eastAsia="zh-CN"/>
              </w:rPr>
            </w:pPr>
            <w:r>
              <w:rPr>
                <w:rFonts w:hint="default" w:eastAsia="仿宋" w:cs="Times New Roman"/>
                <w:b/>
                <w:bCs/>
                <w:color w:val="auto"/>
                <w:kern w:val="0"/>
                <w:sz w:val="22"/>
                <w:szCs w:val="22"/>
                <w:highlight w:val="none"/>
                <w:lang w:val="en-US" w:eastAsia="zh-CN"/>
              </w:rPr>
              <w:t>表2-</w:t>
            </w:r>
            <w:r>
              <w:rPr>
                <w:rFonts w:hint="eastAsia" w:eastAsia="仿宋" w:cs="Times New Roman"/>
                <w:b/>
                <w:bCs/>
                <w:color w:val="auto"/>
                <w:kern w:val="0"/>
                <w:sz w:val="22"/>
                <w:szCs w:val="22"/>
                <w:highlight w:val="none"/>
                <w:lang w:val="en-US" w:eastAsia="zh-CN"/>
              </w:rPr>
              <w:t>3</w:t>
            </w:r>
            <w:r>
              <w:rPr>
                <w:rFonts w:hint="default" w:eastAsia="仿宋" w:cs="Times New Roman"/>
                <w:b/>
                <w:bCs/>
                <w:color w:val="auto"/>
                <w:kern w:val="0"/>
                <w:sz w:val="22"/>
                <w:szCs w:val="22"/>
                <w:highlight w:val="none"/>
                <w:lang w:val="en-US" w:eastAsia="zh-CN"/>
              </w:rPr>
              <w:t xml:space="preserve">  项目建设内容组成一览表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067"/>
              <w:gridCol w:w="5931"/>
              <w:gridCol w:w="695"/>
            </w:tblGrid>
            <w:tr w14:paraId="1323B7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13" w:type="pct"/>
                  <w:noWrap w:val="0"/>
                  <w:vAlign w:val="center"/>
                </w:tcPr>
                <w:p w14:paraId="6FB0E4E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工程类别</w:t>
                  </w:r>
                </w:p>
              </w:tc>
              <w:tc>
                <w:tcPr>
                  <w:tcW w:w="636" w:type="pct"/>
                  <w:noWrap w:val="0"/>
                  <w:vAlign w:val="center"/>
                </w:tcPr>
                <w:p w14:paraId="5C91CD62">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名称</w:t>
                  </w:r>
                </w:p>
              </w:tc>
              <w:tc>
                <w:tcPr>
                  <w:tcW w:w="3535" w:type="pct"/>
                  <w:noWrap w:val="0"/>
                  <w:vAlign w:val="center"/>
                </w:tcPr>
                <w:p w14:paraId="12A4C01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建设内容及规模</w:t>
                  </w:r>
                </w:p>
              </w:tc>
              <w:tc>
                <w:tcPr>
                  <w:tcW w:w="414" w:type="pct"/>
                  <w:noWrap w:val="0"/>
                  <w:vAlign w:val="center"/>
                </w:tcPr>
                <w:p w14:paraId="577CFFE2">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备注</w:t>
                  </w:r>
                </w:p>
              </w:tc>
            </w:tr>
            <w:tr w14:paraId="0DB3C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13" w:type="pct"/>
                  <w:vMerge w:val="restart"/>
                  <w:noWrap w:val="0"/>
                  <w:vAlign w:val="center"/>
                </w:tcPr>
                <w:p w14:paraId="676F032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主体工程</w:t>
                  </w:r>
                </w:p>
              </w:tc>
              <w:tc>
                <w:tcPr>
                  <w:tcW w:w="636" w:type="pct"/>
                  <w:noWrap w:val="0"/>
                  <w:vAlign w:val="center"/>
                </w:tcPr>
                <w:p w14:paraId="6607837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急诊急救中心</w:t>
                  </w:r>
                </w:p>
              </w:tc>
              <w:tc>
                <w:tcPr>
                  <w:tcW w:w="3535" w:type="pct"/>
                  <w:noWrap w:val="0"/>
                  <w:vAlign w:val="center"/>
                </w:tcPr>
                <w:p w14:paraId="3CD6401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区域急诊急救中心，包括含事故创伤、胸痛、卒中、突发公共卫生事件</w:t>
                  </w:r>
                  <w:r>
                    <w:rPr>
                      <w:rFonts w:hint="eastAsia" w:eastAsia="仿宋" w:cs="Times New Roman"/>
                      <w:color w:val="auto"/>
                      <w:sz w:val="21"/>
                      <w:szCs w:val="21"/>
                      <w:highlight w:val="none"/>
                      <w:lang w:val="en-US" w:eastAsia="zh-CN"/>
                    </w:rPr>
                    <w:t>等</w:t>
                  </w:r>
                  <w:r>
                    <w:rPr>
                      <w:rFonts w:hint="default" w:ascii="Times New Roman" w:hAnsi="Times New Roman" w:eastAsia="仿宋" w:cs="Times New Roman"/>
                      <w:color w:val="auto"/>
                      <w:sz w:val="21"/>
                      <w:szCs w:val="21"/>
                      <w:highlight w:val="none"/>
                      <w:lang w:val="en-US" w:eastAsia="zh-CN"/>
                    </w:rPr>
                    <w:t>的急诊急救。涉及急诊急救分诊区、诊疗区、抢救区、检查区、手术区、会诊区、监护病房、急诊病区的设计与建设。</w:t>
                  </w:r>
                </w:p>
              </w:tc>
              <w:tc>
                <w:tcPr>
                  <w:tcW w:w="414" w:type="pct"/>
                  <w:vMerge w:val="restart"/>
                  <w:noWrap w:val="0"/>
                  <w:vAlign w:val="center"/>
                </w:tcPr>
                <w:p w14:paraId="21617703">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扩建</w:t>
                  </w:r>
                </w:p>
                <w:p w14:paraId="7B52D0D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工程</w:t>
                  </w:r>
                </w:p>
              </w:tc>
            </w:tr>
            <w:tr w14:paraId="506EB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13" w:type="pct"/>
                  <w:vMerge w:val="continue"/>
                  <w:noWrap w:val="0"/>
                  <w:vAlign w:val="center"/>
                </w:tcPr>
                <w:p w14:paraId="4CC4355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rPr>
                  </w:pPr>
                </w:p>
              </w:tc>
              <w:tc>
                <w:tcPr>
                  <w:tcW w:w="636" w:type="pct"/>
                  <w:noWrap w:val="0"/>
                  <w:vAlign w:val="center"/>
                </w:tcPr>
                <w:p w14:paraId="103D5D5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骨科、创伤中心</w:t>
                  </w:r>
                </w:p>
              </w:tc>
              <w:tc>
                <w:tcPr>
                  <w:tcW w:w="3535" w:type="pct"/>
                  <w:noWrap w:val="0"/>
                  <w:vAlign w:val="center"/>
                </w:tcPr>
                <w:p w14:paraId="185B214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为骨科、胸外科、脑外科、腹部外科、急诊重症科。设置病房、配套用房及设备设施。区域骨科创伤中心当与院前急救有效衔接，并与紧急诊疗相关科室的服务保持连续与畅通，保障患者获得连贯医疗的可及性。计划设置住院床位200张及相关医疗设施设备等。</w:t>
                  </w:r>
                </w:p>
              </w:tc>
              <w:tc>
                <w:tcPr>
                  <w:tcW w:w="414" w:type="pct"/>
                  <w:vMerge w:val="continue"/>
                  <w:noWrap w:val="0"/>
                  <w:vAlign w:val="center"/>
                </w:tcPr>
                <w:p w14:paraId="04C8DADD">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p>
              </w:tc>
            </w:tr>
            <w:tr w14:paraId="19F8C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13" w:type="pct"/>
                  <w:vMerge w:val="continue"/>
                  <w:noWrap w:val="0"/>
                  <w:vAlign w:val="center"/>
                </w:tcPr>
                <w:p w14:paraId="14E703F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rPr>
                  </w:pPr>
                </w:p>
              </w:tc>
              <w:tc>
                <w:tcPr>
                  <w:tcW w:w="636" w:type="pct"/>
                  <w:noWrap w:val="0"/>
                  <w:vAlign w:val="center"/>
                </w:tcPr>
                <w:p w14:paraId="2F9D0AB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120调度指挥及院前急救中心</w:t>
                  </w:r>
                </w:p>
              </w:tc>
              <w:tc>
                <w:tcPr>
                  <w:tcW w:w="3535" w:type="pct"/>
                  <w:noWrap w:val="0"/>
                  <w:vAlign w:val="center"/>
                </w:tcPr>
                <w:p w14:paraId="14C2819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120调度指挥及院前急救中心含调度室、突发公共卫生事件讨论室、救护车停放中心、设备设施放置中心、急救中心配套人员工作室(调度员、驾驶员、担架员、医护人员等），中心机房等一系列配套用房及相关医疗设备设施等。</w:t>
                  </w:r>
                </w:p>
              </w:tc>
              <w:tc>
                <w:tcPr>
                  <w:tcW w:w="414" w:type="pct"/>
                  <w:vMerge w:val="continue"/>
                  <w:noWrap w:val="0"/>
                  <w:vAlign w:val="center"/>
                </w:tcPr>
                <w:p w14:paraId="05D17C0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p>
              </w:tc>
            </w:tr>
            <w:tr w14:paraId="50F92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413" w:type="pct"/>
                  <w:vMerge w:val="continue"/>
                  <w:noWrap w:val="0"/>
                  <w:vAlign w:val="center"/>
                </w:tcPr>
                <w:p w14:paraId="40FE23D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rPr>
                  </w:pPr>
                </w:p>
              </w:tc>
              <w:tc>
                <w:tcPr>
                  <w:tcW w:w="636" w:type="pct"/>
                  <w:noWrap w:val="0"/>
                  <w:vAlign w:val="center"/>
                </w:tcPr>
                <w:p w14:paraId="563C9C3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室外附属</w:t>
                  </w:r>
                </w:p>
              </w:tc>
              <w:tc>
                <w:tcPr>
                  <w:tcW w:w="3535" w:type="pct"/>
                  <w:noWrap w:val="0"/>
                  <w:vAlign w:val="center"/>
                </w:tcPr>
                <w:p w14:paraId="2B342F8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创伤大楼附属含道路场地改造（景观、铺装）、市政综合管线、变电及变压装置等。</w:t>
                  </w:r>
                </w:p>
              </w:tc>
              <w:tc>
                <w:tcPr>
                  <w:tcW w:w="414" w:type="pct"/>
                  <w:vMerge w:val="continue"/>
                  <w:noWrap w:val="0"/>
                  <w:vAlign w:val="center"/>
                </w:tcPr>
                <w:p w14:paraId="73BE414F">
                  <w:pPr>
                    <w:bidi w:val="0"/>
                    <w:jc w:val="center"/>
                    <w:rPr>
                      <w:rFonts w:hint="default" w:eastAsia="宋体"/>
                      <w:color w:val="auto"/>
                      <w:lang w:val="en-US" w:eastAsia="zh-CN"/>
                    </w:rPr>
                  </w:pPr>
                </w:p>
              </w:tc>
            </w:tr>
            <w:tr w14:paraId="6AC99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413" w:type="pct"/>
                  <w:vMerge w:val="continue"/>
                  <w:noWrap w:val="0"/>
                  <w:vAlign w:val="center"/>
                </w:tcPr>
                <w:p w14:paraId="4987658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rPr>
                  </w:pPr>
                </w:p>
              </w:tc>
              <w:tc>
                <w:tcPr>
                  <w:tcW w:w="636" w:type="pct"/>
                  <w:noWrap w:val="0"/>
                  <w:vAlign w:val="center"/>
                </w:tcPr>
                <w:p w14:paraId="619EDC26">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医疗专项及医疗设备</w:t>
                  </w:r>
                </w:p>
              </w:tc>
              <w:tc>
                <w:tcPr>
                  <w:tcW w:w="3535" w:type="pct"/>
                  <w:noWrap w:val="0"/>
                  <w:vAlign w:val="center"/>
                </w:tcPr>
                <w:p w14:paraId="4143972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rPr>
                  </w:pPr>
                  <w:r>
                    <w:rPr>
                      <w:rFonts w:hint="eastAsia" w:ascii="Times New Roman" w:hAnsi="Times New Roman" w:eastAsia="仿宋" w:cs="Times New Roman"/>
                      <w:color w:val="auto"/>
                      <w:sz w:val="21"/>
                      <w:szCs w:val="21"/>
                      <w:highlight w:val="none"/>
                      <w:lang w:val="en-US" w:eastAsia="zh-CN"/>
                    </w:rPr>
                    <w:t>医疗专项包括专业手术室净化装修、医疗物流系统（物流机器人）、医用气体系统、净化空调系统、放射防护及磁屏蔽系统的建设。</w:t>
                  </w:r>
                </w:p>
              </w:tc>
              <w:tc>
                <w:tcPr>
                  <w:tcW w:w="414" w:type="pct"/>
                  <w:vMerge w:val="continue"/>
                  <w:noWrap w:val="0"/>
                  <w:vAlign w:val="center"/>
                </w:tcPr>
                <w:p w14:paraId="772598FB">
                  <w:pPr>
                    <w:bidi w:val="0"/>
                    <w:jc w:val="center"/>
                    <w:rPr>
                      <w:rFonts w:hint="default" w:eastAsia="宋体"/>
                      <w:color w:val="auto"/>
                      <w:lang w:val="en-US" w:eastAsia="zh-CN"/>
                    </w:rPr>
                  </w:pPr>
                </w:p>
              </w:tc>
            </w:tr>
            <w:tr w14:paraId="02EEB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13" w:type="pct"/>
                  <w:vMerge w:val="restart"/>
                  <w:noWrap w:val="0"/>
                  <w:vAlign w:val="center"/>
                </w:tcPr>
                <w:p w14:paraId="2A09E2C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公用工程</w:t>
                  </w:r>
                </w:p>
              </w:tc>
              <w:tc>
                <w:tcPr>
                  <w:tcW w:w="636" w:type="pct"/>
                  <w:noWrap w:val="0"/>
                  <w:vAlign w:val="center"/>
                </w:tcPr>
                <w:p w14:paraId="72ED9172">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供水</w:t>
                  </w:r>
                </w:p>
              </w:tc>
              <w:tc>
                <w:tcPr>
                  <w:tcW w:w="3535" w:type="pct"/>
                  <w:noWrap w:val="0"/>
                  <w:vAlign w:val="center"/>
                </w:tcPr>
                <w:p w14:paraId="49212B57">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本项目用水量</w:t>
                  </w:r>
                  <w:r>
                    <w:rPr>
                      <w:rFonts w:hint="eastAsia" w:eastAsia="仿宋" w:cs="Times New Roman"/>
                      <w:color w:val="auto"/>
                      <w:sz w:val="21"/>
                      <w:szCs w:val="21"/>
                      <w:highlight w:val="none"/>
                      <w:lang w:val="en-US" w:eastAsia="zh-CN"/>
                    </w:rPr>
                    <w:t>9.2</w:t>
                  </w:r>
                  <w:r>
                    <w:rPr>
                      <w:rFonts w:hint="eastAsia" w:ascii="Times New Roman" w:hAnsi="Times New Roman" w:eastAsia="仿宋" w:cs="Times New Roman"/>
                      <w:color w:val="auto"/>
                      <w:sz w:val="21"/>
                      <w:szCs w:val="21"/>
                      <w:highlight w:val="none"/>
                      <w:lang w:val="en-US" w:eastAsia="zh-CN"/>
                    </w:rPr>
                    <w:t>万吨</w:t>
                  </w:r>
                  <w:r>
                    <w:rPr>
                      <w:rFonts w:hint="default" w:ascii="Times New Roman" w:hAnsi="Times New Roman"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年</w:t>
                  </w:r>
                  <w:r>
                    <w:rPr>
                      <w:rFonts w:hint="default" w:ascii="Times New Roman" w:hAnsi="Times New Roman" w:eastAsia="仿宋" w:cs="Times New Roman"/>
                      <w:color w:val="auto"/>
                      <w:sz w:val="21"/>
                      <w:szCs w:val="21"/>
                      <w:highlight w:val="none"/>
                      <w:lang w:val="en-US" w:eastAsia="zh-CN"/>
                    </w:rPr>
                    <w:t>，由所在区域市政管网提供</w:t>
                  </w:r>
                  <w:r>
                    <w:rPr>
                      <w:rFonts w:hint="eastAsia" w:ascii="Times New Roman" w:hAnsi="Times New Roman" w:eastAsia="仿宋" w:cs="Times New Roman"/>
                      <w:color w:val="auto"/>
                      <w:sz w:val="21"/>
                      <w:szCs w:val="21"/>
                      <w:highlight w:val="none"/>
                      <w:lang w:val="en-US" w:eastAsia="zh-CN"/>
                    </w:rPr>
                    <w:t>。</w:t>
                  </w:r>
                </w:p>
              </w:tc>
              <w:tc>
                <w:tcPr>
                  <w:tcW w:w="414" w:type="pct"/>
                  <w:vMerge w:val="restart"/>
                  <w:noWrap w:val="0"/>
                  <w:vAlign w:val="center"/>
                </w:tcPr>
                <w:p w14:paraId="53B2D7C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依托现有工程</w:t>
                  </w:r>
                </w:p>
              </w:tc>
            </w:tr>
            <w:tr w14:paraId="5F523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13" w:type="pct"/>
                  <w:vMerge w:val="continue"/>
                  <w:noWrap w:val="0"/>
                  <w:vAlign w:val="center"/>
                </w:tcPr>
                <w:p w14:paraId="62C21A4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p>
              </w:tc>
              <w:tc>
                <w:tcPr>
                  <w:tcW w:w="636" w:type="pct"/>
                  <w:noWrap w:val="0"/>
                  <w:vAlign w:val="center"/>
                </w:tcPr>
                <w:p w14:paraId="553B3A0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供电</w:t>
                  </w:r>
                </w:p>
              </w:tc>
              <w:tc>
                <w:tcPr>
                  <w:tcW w:w="3535" w:type="pct"/>
                  <w:noWrap w:val="0"/>
                  <w:vAlign w:val="center"/>
                </w:tcPr>
                <w:p w14:paraId="540E40D3">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本项目用电量</w:t>
                  </w:r>
                  <w:r>
                    <w:rPr>
                      <w:rFonts w:hint="eastAsia" w:ascii="Times New Roman" w:hAnsi="Times New Roman" w:eastAsia="仿宋" w:cs="Times New Roman"/>
                      <w:color w:val="auto"/>
                      <w:sz w:val="21"/>
                      <w:szCs w:val="21"/>
                      <w:highlight w:val="none"/>
                      <w:lang w:val="en-US" w:eastAsia="zh-CN"/>
                    </w:rPr>
                    <w:t>4</w:t>
                  </w:r>
                  <w:r>
                    <w:rPr>
                      <w:rFonts w:hint="eastAsia" w:eastAsia="仿宋" w:cs="Times New Roman"/>
                      <w:color w:val="auto"/>
                      <w:sz w:val="21"/>
                      <w:szCs w:val="21"/>
                      <w:highlight w:val="none"/>
                      <w:lang w:val="en-US" w:eastAsia="zh-CN"/>
                    </w:rPr>
                    <w:t>00</w:t>
                  </w:r>
                  <w:r>
                    <w:rPr>
                      <w:rFonts w:hint="default" w:ascii="Times New Roman" w:hAnsi="Times New Roman" w:eastAsia="仿宋" w:cs="Times New Roman"/>
                      <w:color w:val="auto"/>
                      <w:sz w:val="21"/>
                      <w:szCs w:val="21"/>
                      <w:highlight w:val="none"/>
                      <w:lang w:val="en-US" w:eastAsia="zh-CN"/>
                    </w:rPr>
                    <w:t>万kWh/a，由金坛区市政电网提供，合理配置配电室以满足项目日常需求</w:t>
                  </w:r>
                  <w:r>
                    <w:rPr>
                      <w:rFonts w:hint="eastAsia" w:ascii="Times New Roman" w:hAnsi="Times New Roman" w:eastAsia="仿宋" w:cs="Times New Roman"/>
                      <w:color w:val="auto"/>
                      <w:sz w:val="21"/>
                      <w:szCs w:val="21"/>
                      <w:highlight w:val="none"/>
                      <w:lang w:val="en-US" w:eastAsia="zh-CN"/>
                    </w:rPr>
                    <w:t>。</w:t>
                  </w:r>
                </w:p>
              </w:tc>
              <w:tc>
                <w:tcPr>
                  <w:tcW w:w="414" w:type="pct"/>
                  <w:vMerge w:val="continue"/>
                  <w:noWrap w:val="0"/>
                  <w:vAlign w:val="center"/>
                </w:tcPr>
                <w:p w14:paraId="11CDD4E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p>
              </w:tc>
            </w:tr>
            <w:tr w14:paraId="7289E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13" w:type="pct"/>
                  <w:vMerge w:val="continue"/>
                  <w:noWrap w:val="0"/>
                  <w:vAlign w:val="center"/>
                </w:tcPr>
                <w:p w14:paraId="19E5EF7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p>
              </w:tc>
              <w:tc>
                <w:tcPr>
                  <w:tcW w:w="636" w:type="pct"/>
                  <w:noWrap w:val="0"/>
                  <w:vAlign w:val="center"/>
                </w:tcPr>
                <w:p w14:paraId="63194D5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排水</w:t>
                  </w:r>
                </w:p>
              </w:tc>
              <w:tc>
                <w:tcPr>
                  <w:tcW w:w="3535" w:type="pct"/>
                  <w:noWrap w:val="0"/>
                  <w:vAlign w:val="center"/>
                </w:tcPr>
                <w:p w14:paraId="721D17A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雨水经院区雨水收集系统收集后，排入市政雨水管网；本项目病房及急诊废水排入院内污水处理站处理，生活废水经化粪池、食堂废水经隔油池预处理后排入院内污水处理站处理，均接管至金坛第一污水处理厂处理后排入丹金溧漕河。</w:t>
                  </w:r>
                </w:p>
              </w:tc>
              <w:tc>
                <w:tcPr>
                  <w:tcW w:w="414" w:type="pct"/>
                  <w:vMerge w:val="restart"/>
                  <w:noWrap w:val="0"/>
                  <w:vAlign w:val="center"/>
                </w:tcPr>
                <w:p w14:paraId="5174FC06">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依托现有工程</w:t>
                  </w:r>
                </w:p>
              </w:tc>
            </w:tr>
            <w:tr w14:paraId="7496B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13" w:type="pct"/>
                  <w:vMerge w:val="continue"/>
                  <w:noWrap w:val="0"/>
                  <w:vAlign w:val="center"/>
                </w:tcPr>
                <w:p w14:paraId="4AAB932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p>
              </w:tc>
              <w:tc>
                <w:tcPr>
                  <w:tcW w:w="636" w:type="pct"/>
                  <w:noWrap w:val="0"/>
                  <w:vAlign w:val="center"/>
                </w:tcPr>
                <w:p w14:paraId="1EFC45AB">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供气</w:t>
                  </w:r>
                </w:p>
              </w:tc>
              <w:tc>
                <w:tcPr>
                  <w:tcW w:w="3535" w:type="pct"/>
                  <w:noWrap w:val="0"/>
                  <w:vAlign w:val="center"/>
                </w:tcPr>
                <w:p w14:paraId="3D18C63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项目用气量</w:t>
                  </w:r>
                  <w:r>
                    <w:rPr>
                      <w:rFonts w:hint="eastAsia" w:eastAsia="仿宋" w:cs="Times New Roman"/>
                      <w:color w:val="auto"/>
                      <w:sz w:val="21"/>
                      <w:szCs w:val="21"/>
                      <w:highlight w:val="none"/>
                      <w:lang w:val="en-US" w:eastAsia="zh-CN"/>
                    </w:rPr>
                    <w:t>0.625</w:t>
                  </w:r>
                  <w:r>
                    <w:rPr>
                      <w:rFonts w:hint="default" w:ascii="Times New Roman" w:hAnsi="Times New Roman" w:eastAsia="仿宋" w:cs="Times New Roman"/>
                      <w:color w:val="auto"/>
                      <w:sz w:val="21"/>
                      <w:szCs w:val="21"/>
                      <w:highlight w:val="none"/>
                      <w:lang w:val="en-US" w:eastAsia="zh-CN"/>
                    </w:rPr>
                    <w:t>万立方米/年，由市政天</w:t>
                  </w:r>
                  <w:r>
                    <w:rPr>
                      <w:rFonts w:hint="eastAsia" w:eastAsia="仿宋" w:cs="Times New Roman"/>
                      <w:color w:val="auto"/>
                      <w:sz w:val="21"/>
                      <w:szCs w:val="21"/>
                      <w:highlight w:val="none"/>
                      <w:lang w:val="en-US" w:eastAsia="zh-CN"/>
                    </w:rPr>
                    <w:t>然</w:t>
                  </w:r>
                  <w:r>
                    <w:rPr>
                      <w:rFonts w:hint="default" w:ascii="Times New Roman" w:hAnsi="Times New Roman" w:eastAsia="仿宋" w:cs="Times New Roman"/>
                      <w:color w:val="auto"/>
                      <w:sz w:val="21"/>
                      <w:szCs w:val="21"/>
                      <w:highlight w:val="none"/>
                      <w:lang w:val="en-US" w:eastAsia="zh-CN"/>
                    </w:rPr>
                    <w:t>气公司供给。</w:t>
                  </w:r>
                </w:p>
              </w:tc>
              <w:tc>
                <w:tcPr>
                  <w:tcW w:w="414" w:type="pct"/>
                  <w:vMerge w:val="continue"/>
                  <w:noWrap w:val="0"/>
                  <w:vAlign w:val="center"/>
                </w:tcPr>
                <w:p w14:paraId="35095BFE">
                  <w:pPr>
                    <w:bidi w:val="0"/>
                    <w:jc w:val="center"/>
                    <w:rPr>
                      <w:rFonts w:hint="eastAsia"/>
                      <w:color w:val="FF0000"/>
                      <w:sz w:val="21"/>
                      <w:szCs w:val="21"/>
                    </w:rPr>
                  </w:pPr>
                </w:p>
              </w:tc>
            </w:tr>
            <w:tr w14:paraId="49250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413" w:type="pct"/>
                  <w:vMerge w:val="restart"/>
                  <w:noWrap w:val="0"/>
                  <w:vAlign w:val="center"/>
                </w:tcPr>
                <w:p w14:paraId="518D04A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环保工程</w:t>
                  </w:r>
                </w:p>
              </w:tc>
              <w:tc>
                <w:tcPr>
                  <w:tcW w:w="636" w:type="pct"/>
                  <w:noWrap w:val="0"/>
                  <w:vAlign w:val="center"/>
                </w:tcPr>
                <w:p w14:paraId="5427104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废水处理</w:t>
                  </w:r>
                </w:p>
              </w:tc>
              <w:tc>
                <w:tcPr>
                  <w:tcW w:w="3535" w:type="pct"/>
                  <w:noWrap w:val="0"/>
                  <w:vAlign w:val="center"/>
                </w:tcPr>
                <w:p w14:paraId="18C3E7A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olor w:val="auto"/>
                      <w:kern w:val="0"/>
                      <w:szCs w:val="21"/>
                      <w:highlight w:val="none"/>
                      <w:lang w:eastAsia="zh-CN"/>
                    </w:rPr>
                    <w:t>本项目病房及急诊废水排入院内污水处理站处理，生活废水经化粪池、食堂废水经隔油池预处理后排入院内污水处理站处理，均接管至金坛第一污水处理厂处理后排入丹金溧漕河。</w:t>
                  </w:r>
                </w:p>
              </w:tc>
              <w:tc>
                <w:tcPr>
                  <w:tcW w:w="414" w:type="pct"/>
                  <w:noWrap w:val="0"/>
                  <w:vAlign w:val="center"/>
                </w:tcPr>
                <w:p w14:paraId="11B0783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依托现有工程</w:t>
                  </w:r>
                </w:p>
              </w:tc>
            </w:tr>
            <w:tr w14:paraId="205EB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13" w:type="pct"/>
                  <w:vMerge w:val="continue"/>
                  <w:noWrap w:val="0"/>
                  <w:vAlign w:val="center"/>
                </w:tcPr>
                <w:p w14:paraId="434F717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p>
              </w:tc>
              <w:tc>
                <w:tcPr>
                  <w:tcW w:w="636" w:type="pct"/>
                  <w:noWrap w:val="0"/>
                  <w:vAlign w:val="center"/>
                </w:tcPr>
                <w:p w14:paraId="5150BBB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废气处理</w:t>
                  </w:r>
                </w:p>
              </w:tc>
              <w:tc>
                <w:tcPr>
                  <w:tcW w:w="3535" w:type="pct"/>
                  <w:noWrap w:val="0"/>
                  <w:vAlign w:val="center"/>
                </w:tcPr>
                <w:p w14:paraId="458A334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本项目食堂天然气燃烧废气无组织排放；污水处理站恶臭气体加盖密闭，捕集后经活性炭吸附+水喷淋去除恶臭气体后通过1根15米高排气筒排放。</w:t>
                  </w:r>
                </w:p>
              </w:tc>
              <w:tc>
                <w:tcPr>
                  <w:tcW w:w="414" w:type="pct"/>
                  <w:vMerge w:val="restart"/>
                  <w:noWrap w:val="0"/>
                  <w:vAlign w:val="center"/>
                </w:tcPr>
                <w:p w14:paraId="658FE7F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依托现有项目</w:t>
                  </w:r>
                </w:p>
              </w:tc>
            </w:tr>
            <w:tr w14:paraId="71114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13" w:type="pct"/>
                  <w:vMerge w:val="continue"/>
                  <w:noWrap w:val="0"/>
                  <w:vAlign w:val="center"/>
                </w:tcPr>
                <w:p w14:paraId="71C7B3D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p>
              </w:tc>
              <w:tc>
                <w:tcPr>
                  <w:tcW w:w="636" w:type="pct"/>
                  <w:noWrap w:val="0"/>
                  <w:vAlign w:val="center"/>
                </w:tcPr>
                <w:p w14:paraId="7205F0D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噪声处理</w:t>
                  </w:r>
                </w:p>
              </w:tc>
              <w:tc>
                <w:tcPr>
                  <w:tcW w:w="3535" w:type="pct"/>
                  <w:noWrap w:val="0"/>
                  <w:vAlign w:val="center"/>
                </w:tcPr>
                <w:p w14:paraId="66C7BC62">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选取低噪设备、合理布局；同时对高噪声设备采取消声、隔音等措施</w:t>
                  </w:r>
                  <w:r>
                    <w:rPr>
                      <w:rFonts w:hint="eastAsia" w:ascii="Times New Roman" w:hAnsi="Times New Roman" w:eastAsia="仿宋" w:cs="Times New Roman"/>
                      <w:color w:val="auto"/>
                      <w:sz w:val="21"/>
                      <w:szCs w:val="21"/>
                      <w:highlight w:val="none"/>
                      <w:lang w:val="en-US" w:eastAsia="zh-CN"/>
                    </w:rPr>
                    <w:t>。</w:t>
                  </w:r>
                </w:p>
              </w:tc>
              <w:tc>
                <w:tcPr>
                  <w:tcW w:w="414" w:type="pct"/>
                  <w:vMerge w:val="restart"/>
                  <w:noWrap w:val="0"/>
                  <w:vAlign w:val="center"/>
                </w:tcPr>
                <w:p w14:paraId="10626DC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新建</w:t>
                  </w:r>
                </w:p>
              </w:tc>
            </w:tr>
            <w:tr w14:paraId="63E3B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13" w:type="pct"/>
                  <w:vMerge w:val="continue"/>
                  <w:noWrap w:val="0"/>
                  <w:vAlign w:val="center"/>
                </w:tcPr>
                <w:p w14:paraId="22F77641">
                  <w:pPr>
                    <w:jc w:val="center"/>
                    <w:rPr>
                      <w:rFonts w:hint="default" w:ascii="Times New Roman" w:hAnsi="Times New Roman" w:cs="Times New Roman"/>
                      <w:color w:val="FF0000"/>
                    </w:rPr>
                  </w:pPr>
                </w:p>
              </w:tc>
              <w:tc>
                <w:tcPr>
                  <w:tcW w:w="636" w:type="pct"/>
                  <w:noWrap w:val="0"/>
                  <w:vAlign w:val="center"/>
                </w:tcPr>
                <w:p w14:paraId="067E4D4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固体处理</w:t>
                  </w:r>
                </w:p>
              </w:tc>
              <w:tc>
                <w:tcPr>
                  <w:tcW w:w="3535" w:type="pct"/>
                  <w:noWrap w:val="0"/>
                  <w:vAlign w:val="center"/>
                </w:tcPr>
                <w:p w14:paraId="3C95AABD">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设置垃圾桶用于生活垃圾分类收集后交环卫部门统一处理；</w:t>
                  </w:r>
                  <w:r>
                    <w:rPr>
                      <w:rFonts w:hint="eastAsia" w:eastAsia="仿宋" w:cs="Times New Roman"/>
                      <w:color w:val="auto"/>
                      <w:sz w:val="21"/>
                      <w:szCs w:val="21"/>
                      <w:highlight w:val="none"/>
                      <w:lang w:val="en-US" w:eastAsia="zh-CN"/>
                    </w:rPr>
                    <w:t>危险废物暂存于危废仓库，依托原有危废暂存间</w:t>
                  </w:r>
                  <w:r>
                    <w:rPr>
                      <w:rFonts w:hint="eastAsia" w:ascii="Times New Roman" w:hAnsi="Times New Roman" w:eastAsia="仿宋" w:cs="Times New Roman"/>
                      <w:color w:val="auto"/>
                      <w:sz w:val="21"/>
                      <w:szCs w:val="21"/>
                      <w:highlight w:val="none"/>
                      <w:lang w:val="en-US" w:eastAsia="zh-CN"/>
                    </w:rPr>
                    <w:t>。</w:t>
                  </w:r>
                </w:p>
              </w:tc>
              <w:tc>
                <w:tcPr>
                  <w:tcW w:w="414" w:type="pct"/>
                  <w:vMerge w:val="continue"/>
                  <w:noWrap w:val="0"/>
                  <w:vAlign w:val="center"/>
                </w:tcPr>
                <w:p w14:paraId="65912CAB">
                  <w:pPr>
                    <w:jc w:val="center"/>
                    <w:rPr>
                      <w:rFonts w:hint="default" w:ascii="Times New Roman" w:hAnsi="Times New Roman" w:cs="Times New Roman"/>
                      <w:color w:val="FF0000"/>
                    </w:rPr>
                  </w:pPr>
                </w:p>
              </w:tc>
            </w:tr>
            <w:tr w14:paraId="19091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413" w:type="pct"/>
                  <w:vMerge w:val="continue"/>
                  <w:noWrap w:val="0"/>
                  <w:vAlign w:val="center"/>
                </w:tcPr>
                <w:p w14:paraId="79D2685B">
                  <w:pPr>
                    <w:jc w:val="center"/>
                    <w:rPr>
                      <w:rFonts w:hint="default" w:ascii="Times New Roman" w:hAnsi="Times New Roman" w:cs="Times New Roman"/>
                      <w:color w:val="FF0000"/>
                      <w:szCs w:val="21"/>
                    </w:rPr>
                  </w:pPr>
                </w:p>
              </w:tc>
              <w:tc>
                <w:tcPr>
                  <w:tcW w:w="636" w:type="pct"/>
                  <w:noWrap w:val="0"/>
                  <w:vAlign w:val="center"/>
                </w:tcPr>
                <w:p w14:paraId="2F0D9A3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地下水、土壤</w:t>
                  </w:r>
                </w:p>
              </w:tc>
              <w:tc>
                <w:tcPr>
                  <w:tcW w:w="3535" w:type="pct"/>
                  <w:noWrap w:val="0"/>
                  <w:vAlign w:val="center"/>
                </w:tcPr>
                <w:p w14:paraId="27D7D47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源头控制及分区防渗</w:t>
                  </w:r>
                  <w:r>
                    <w:rPr>
                      <w:rFonts w:hint="eastAsia" w:eastAsia="仿宋" w:cs="Times New Roman"/>
                      <w:color w:val="auto"/>
                      <w:sz w:val="21"/>
                      <w:szCs w:val="21"/>
                      <w:highlight w:val="none"/>
                      <w:lang w:val="en-US" w:eastAsia="zh-CN"/>
                    </w:rPr>
                    <w:t>。</w:t>
                  </w:r>
                </w:p>
              </w:tc>
              <w:tc>
                <w:tcPr>
                  <w:tcW w:w="414" w:type="pct"/>
                  <w:vMerge w:val="continue"/>
                  <w:noWrap w:val="0"/>
                  <w:vAlign w:val="center"/>
                </w:tcPr>
                <w:p w14:paraId="46545CFB">
                  <w:pPr>
                    <w:jc w:val="center"/>
                    <w:rPr>
                      <w:rFonts w:hint="default" w:ascii="Times New Roman" w:hAnsi="Times New Roman" w:cs="Times New Roman"/>
                      <w:color w:val="FF0000"/>
                      <w:szCs w:val="21"/>
                    </w:rPr>
                  </w:pPr>
                </w:p>
              </w:tc>
            </w:tr>
            <w:tr w14:paraId="141E6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13" w:type="pct"/>
                  <w:vMerge w:val="continue"/>
                  <w:noWrap w:val="0"/>
                  <w:vAlign w:val="center"/>
                </w:tcPr>
                <w:p w14:paraId="4348FF72">
                  <w:pPr>
                    <w:jc w:val="center"/>
                    <w:rPr>
                      <w:rFonts w:hint="default" w:ascii="Times New Roman" w:hAnsi="Times New Roman" w:cs="Times New Roman"/>
                      <w:color w:val="FF0000"/>
                      <w:szCs w:val="21"/>
                    </w:rPr>
                  </w:pPr>
                </w:p>
              </w:tc>
              <w:tc>
                <w:tcPr>
                  <w:tcW w:w="636" w:type="pct"/>
                  <w:noWrap w:val="0"/>
                  <w:vAlign w:val="center"/>
                </w:tcPr>
                <w:p w14:paraId="44CD65E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环境风险</w:t>
                  </w:r>
                </w:p>
              </w:tc>
              <w:tc>
                <w:tcPr>
                  <w:tcW w:w="3535" w:type="pct"/>
                  <w:noWrap w:val="0"/>
                  <w:vAlign w:val="center"/>
                </w:tcPr>
                <w:p w14:paraId="57D891D5">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制定应急预案、购买消防设施、设置专项岗位</w:t>
                  </w:r>
                  <w:r>
                    <w:rPr>
                      <w:rFonts w:hint="eastAsia" w:ascii="Times New Roman" w:hAnsi="Times New Roman" w:eastAsia="仿宋" w:cs="Times New Roman"/>
                      <w:color w:val="auto"/>
                      <w:sz w:val="21"/>
                      <w:szCs w:val="21"/>
                      <w:highlight w:val="none"/>
                      <w:lang w:val="en-US" w:eastAsia="zh-CN"/>
                    </w:rPr>
                    <w:t>。</w:t>
                  </w:r>
                </w:p>
              </w:tc>
              <w:tc>
                <w:tcPr>
                  <w:tcW w:w="414" w:type="pct"/>
                  <w:vMerge w:val="continue"/>
                  <w:noWrap w:val="0"/>
                  <w:vAlign w:val="center"/>
                </w:tcPr>
                <w:p w14:paraId="1189E0C3">
                  <w:pPr>
                    <w:jc w:val="center"/>
                    <w:rPr>
                      <w:rFonts w:hint="default" w:ascii="Times New Roman" w:hAnsi="Times New Roman" w:cs="Times New Roman"/>
                      <w:color w:val="FF0000"/>
                      <w:szCs w:val="21"/>
                    </w:rPr>
                  </w:pPr>
                </w:p>
              </w:tc>
            </w:tr>
          </w:tbl>
          <w:p w14:paraId="59C78DC1">
            <w:pPr>
              <w:spacing w:line="360" w:lineRule="auto"/>
              <w:ind w:firstLine="482" w:firstLineChars="200"/>
              <w:rPr>
                <w:rFonts w:hint="default" w:ascii="Times New Roman" w:hAnsi="Times New Roman" w:eastAsia="仿宋" w:cs="Times New Roman"/>
                <w:b/>
                <w:bCs/>
                <w:color w:val="auto"/>
                <w:kern w:val="2"/>
                <w:sz w:val="24"/>
                <w:szCs w:val="24"/>
                <w:highlight w:val="none"/>
                <w:lang w:val="en-US" w:eastAsia="zh-CN" w:bidi="ar-SA"/>
              </w:rPr>
            </w:pPr>
            <w:r>
              <w:rPr>
                <w:rFonts w:hint="eastAsia" w:eastAsia="仿宋" w:cs="Times New Roman"/>
                <w:b/>
                <w:bCs/>
                <w:color w:val="auto"/>
                <w:kern w:val="2"/>
                <w:sz w:val="24"/>
                <w:szCs w:val="24"/>
                <w:highlight w:val="none"/>
                <w:lang w:val="en-US" w:eastAsia="zh-CN" w:bidi="ar-SA"/>
              </w:rPr>
              <w:t>5</w:t>
            </w:r>
            <w:r>
              <w:rPr>
                <w:rFonts w:hint="default" w:ascii="Times New Roman" w:hAnsi="Times New Roman" w:eastAsia="仿宋" w:cs="Times New Roman"/>
                <w:b/>
                <w:bCs/>
                <w:color w:val="auto"/>
                <w:kern w:val="2"/>
                <w:sz w:val="24"/>
                <w:szCs w:val="24"/>
                <w:highlight w:val="none"/>
                <w:lang w:val="en-US" w:eastAsia="zh-CN" w:bidi="ar-SA"/>
              </w:rPr>
              <w:t>、产品方案</w:t>
            </w:r>
          </w:p>
          <w:p w14:paraId="4808268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本扩建项目设计床位200张，本项目建成后住院人次可达1.3万人次/年（人均住院6天左右），急诊人数可达25万人次/年。</w:t>
            </w:r>
          </w:p>
          <w:p w14:paraId="47567EDC">
            <w:pPr>
              <w:spacing w:line="360" w:lineRule="auto"/>
              <w:ind w:firstLine="482" w:firstLineChars="200"/>
              <w:rPr>
                <w:rFonts w:hint="eastAsia" w:eastAsia="仿宋" w:cs="Times New Roman"/>
                <w:b/>
                <w:bCs/>
                <w:color w:val="auto"/>
                <w:kern w:val="2"/>
                <w:sz w:val="24"/>
                <w:szCs w:val="24"/>
                <w:highlight w:val="none"/>
                <w:lang w:val="en-US" w:eastAsia="zh-CN" w:bidi="ar-SA"/>
              </w:rPr>
            </w:pPr>
            <w:r>
              <w:rPr>
                <w:rFonts w:hint="eastAsia" w:eastAsia="仿宋" w:cs="Times New Roman"/>
                <w:b/>
                <w:bCs/>
                <w:color w:val="auto"/>
                <w:kern w:val="2"/>
                <w:sz w:val="24"/>
                <w:szCs w:val="24"/>
                <w:highlight w:val="none"/>
                <w:lang w:val="en-US" w:eastAsia="zh-CN" w:bidi="ar-SA"/>
              </w:rPr>
              <w:t>6、建设项目主要原辅材料</w:t>
            </w:r>
          </w:p>
          <w:p w14:paraId="3368F789">
            <w:pPr>
              <w:bidi w:val="0"/>
              <w:spacing w:line="360" w:lineRule="auto"/>
              <w:ind w:firstLine="480" w:firstLineChars="200"/>
              <w:rPr>
                <w:rFonts w:hint="default" w:cs="Times New Roman"/>
                <w:bCs/>
                <w:color w:val="auto"/>
                <w:sz w:val="24"/>
                <w:lang w:val="en-US" w:eastAsia="zh-CN"/>
              </w:rPr>
            </w:pPr>
            <w:r>
              <w:rPr>
                <w:rFonts w:hint="eastAsia" w:eastAsia="仿宋" w:cs="Times New Roman"/>
                <w:color w:val="auto"/>
                <w:kern w:val="0"/>
                <w:sz w:val="24"/>
                <w:szCs w:val="24"/>
                <w:highlight w:val="none"/>
                <w:lang w:val="en-US" w:eastAsia="zh-CN"/>
              </w:rPr>
              <w:t>本项目主要原辅料为药品、消毒剂等，项目所需的原辅材料情况见表2-4。</w:t>
            </w:r>
          </w:p>
          <w:p w14:paraId="4C0802A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2"/>
                <w:szCs w:val="22"/>
                <w:highlight w:val="none"/>
                <w:lang w:val="en-US" w:eastAsia="zh-CN"/>
              </w:rPr>
            </w:pPr>
            <w:r>
              <w:rPr>
                <w:rFonts w:hint="eastAsia" w:eastAsia="仿宋" w:cs="Times New Roman"/>
                <w:b/>
                <w:bCs/>
                <w:color w:val="auto"/>
                <w:kern w:val="0"/>
                <w:sz w:val="22"/>
                <w:szCs w:val="22"/>
                <w:highlight w:val="none"/>
                <w:lang w:val="en-US" w:eastAsia="zh-CN"/>
              </w:rPr>
              <w:t>表2-4 本项目原辅料一览表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554"/>
              <w:gridCol w:w="1037"/>
              <w:gridCol w:w="1652"/>
              <w:gridCol w:w="1653"/>
              <w:gridCol w:w="1675"/>
            </w:tblGrid>
            <w:tr w14:paraId="6012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04" w:type="dxa"/>
                  <w:vAlign w:val="center"/>
                </w:tcPr>
                <w:p w14:paraId="29A274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类别</w:t>
                  </w:r>
                </w:p>
              </w:tc>
              <w:tc>
                <w:tcPr>
                  <w:tcW w:w="1554" w:type="dxa"/>
                  <w:vAlign w:val="center"/>
                </w:tcPr>
                <w:p w14:paraId="4F5373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原辅材料名称</w:t>
                  </w:r>
                </w:p>
              </w:tc>
              <w:tc>
                <w:tcPr>
                  <w:tcW w:w="1037" w:type="dxa"/>
                  <w:vAlign w:val="center"/>
                </w:tcPr>
                <w:p w14:paraId="667EE7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单位</w:t>
                  </w:r>
                </w:p>
              </w:tc>
              <w:tc>
                <w:tcPr>
                  <w:tcW w:w="1652" w:type="dxa"/>
                  <w:vAlign w:val="center"/>
                </w:tcPr>
                <w:p w14:paraId="247486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现有工程</w:t>
                  </w:r>
                </w:p>
              </w:tc>
              <w:tc>
                <w:tcPr>
                  <w:tcW w:w="1653" w:type="dxa"/>
                  <w:vAlign w:val="center"/>
                </w:tcPr>
                <w:p w14:paraId="0BE6BF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扩建工程</w:t>
                  </w:r>
                </w:p>
              </w:tc>
              <w:tc>
                <w:tcPr>
                  <w:tcW w:w="1675" w:type="dxa"/>
                  <w:vAlign w:val="center"/>
                </w:tcPr>
                <w:p w14:paraId="701FA6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扩建后全院</w:t>
                  </w:r>
                </w:p>
              </w:tc>
            </w:tr>
            <w:tr w14:paraId="7C53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04" w:type="dxa"/>
                  <w:vMerge w:val="restart"/>
                  <w:vAlign w:val="center"/>
                </w:tcPr>
                <w:p w14:paraId="72EF3D7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医疗用品</w:t>
                  </w:r>
                </w:p>
              </w:tc>
              <w:tc>
                <w:tcPr>
                  <w:tcW w:w="1554" w:type="dxa"/>
                  <w:vAlign w:val="center"/>
                </w:tcPr>
                <w:p w14:paraId="1075095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各类药品</w:t>
                  </w:r>
                </w:p>
              </w:tc>
              <w:tc>
                <w:tcPr>
                  <w:tcW w:w="1037" w:type="dxa"/>
                  <w:vAlign w:val="center"/>
                </w:tcPr>
                <w:p w14:paraId="4501802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1652" w:type="dxa"/>
                  <w:vAlign w:val="center"/>
                </w:tcPr>
                <w:p w14:paraId="6C3BF70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1653" w:type="dxa"/>
                  <w:vAlign w:val="center"/>
                </w:tcPr>
                <w:p w14:paraId="55A1694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视经营情况而定</w:t>
                  </w:r>
                </w:p>
              </w:tc>
              <w:tc>
                <w:tcPr>
                  <w:tcW w:w="1675" w:type="dxa"/>
                  <w:vAlign w:val="center"/>
                </w:tcPr>
                <w:p w14:paraId="5E9B0E2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视经营情况而定</w:t>
                  </w:r>
                </w:p>
              </w:tc>
            </w:tr>
            <w:tr w14:paraId="3864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04" w:type="dxa"/>
                  <w:vMerge w:val="continue"/>
                  <w:vAlign w:val="center"/>
                </w:tcPr>
                <w:p w14:paraId="3E1B8DB5">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1554" w:type="dxa"/>
                  <w:vAlign w:val="center"/>
                </w:tcPr>
                <w:p w14:paraId="1494D05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医疗器具</w:t>
                  </w:r>
                </w:p>
              </w:tc>
              <w:tc>
                <w:tcPr>
                  <w:tcW w:w="1037" w:type="dxa"/>
                  <w:vAlign w:val="center"/>
                </w:tcPr>
                <w:p w14:paraId="5E326CC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1652" w:type="dxa"/>
                  <w:vAlign w:val="center"/>
                </w:tcPr>
                <w:p w14:paraId="319A87B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1653" w:type="dxa"/>
                  <w:vAlign w:val="center"/>
                </w:tcPr>
                <w:p w14:paraId="537303B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视经营情况而定</w:t>
                  </w:r>
                </w:p>
              </w:tc>
              <w:tc>
                <w:tcPr>
                  <w:tcW w:w="1675" w:type="dxa"/>
                  <w:vAlign w:val="center"/>
                </w:tcPr>
                <w:p w14:paraId="2BCBF59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视经营情况而定</w:t>
                  </w:r>
                </w:p>
              </w:tc>
            </w:tr>
            <w:tr w14:paraId="6A7A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04" w:type="dxa"/>
                  <w:vMerge w:val="restart"/>
                  <w:vAlign w:val="center"/>
                </w:tcPr>
                <w:p w14:paraId="1128789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能耗水耗</w:t>
                  </w:r>
                </w:p>
              </w:tc>
              <w:tc>
                <w:tcPr>
                  <w:tcW w:w="1554" w:type="dxa"/>
                  <w:vAlign w:val="center"/>
                </w:tcPr>
                <w:p w14:paraId="31329C4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新鲜水</w:t>
                  </w:r>
                </w:p>
              </w:tc>
              <w:tc>
                <w:tcPr>
                  <w:tcW w:w="1037" w:type="dxa"/>
                  <w:vAlign w:val="center"/>
                </w:tcPr>
                <w:p w14:paraId="16FFD72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万t/a</w:t>
                  </w:r>
                </w:p>
              </w:tc>
              <w:tc>
                <w:tcPr>
                  <w:tcW w:w="1652" w:type="dxa"/>
                  <w:vAlign w:val="center"/>
                </w:tcPr>
                <w:p w14:paraId="55856AE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41.25</w:t>
                  </w:r>
                </w:p>
              </w:tc>
              <w:tc>
                <w:tcPr>
                  <w:tcW w:w="1653" w:type="dxa"/>
                  <w:vAlign w:val="center"/>
                </w:tcPr>
                <w:p w14:paraId="4063DE5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9.2</w:t>
                  </w:r>
                </w:p>
              </w:tc>
              <w:tc>
                <w:tcPr>
                  <w:tcW w:w="1675" w:type="dxa"/>
                  <w:vAlign w:val="center"/>
                </w:tcPr>
                <w:p w14:paraId="11389BD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50.45</w:t>
                  </w:r>
                </w:p>
              </w:tc>
            </w:tr>
            <w:tr w14:paraId="548D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vAlign w:val="center"/>
                </w:tcPr>
                <w:p w14:paraId="28C92C9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p>
              </w:tc>
              <w:tc>
                <w:tcPr>
                  <w:tcW w:w="1554" w:type="dxa"/>
                  <w:vAlign w:val="center"/>
                </w:tcPr>
                <w:p w14:paraId="45D3F48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电</w:t>
                  </w:r>
                </w:p>
              </w:tc>
              <w:tc>
                <w:tcPr>
                  <w:tcW w:w="1037" w:type="dxa"/>
                  <w:vAlign w:val="center"/>
                </w:tcPr>
                <w:p w14:paraId="79E63F0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万kWh/a</w:t>
                  </w:r>
                </w:p>
              </w:tc>
              <w:tc>
                <w:tcPr>
                  <w:tcW w:w="1652" w:type="dxa"/>
                  <w:vAlign w:val="center"/>
                </w:tcPr>
                <w:p w14:paraId="558680E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2000</w:t>
                  </w:r>
                </w:p>
              </w:tc>
              <w:tc>
                <w:tcPr>
                  <w:tcW w:w="1653" w:type="dxa"/>
                  <w:vAlign w:val="center"/>
                </w:tcPr>
                <w:p w14:paraId="570A152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w:t>
                  </w:r>
                  <w:r>
                    <w:rPr>
                      <w:rFonts w:hint="eastAsia" w:eastAsia="仿宋" w:cs="Times New Roman"/>
                      <w:color w:val="auto"/>
                      <w:sz w:val="21"/>
                      <w:szCs w:val="21"/>
                      <w:highlight w:val="none"/>
                      <w:lang w:val="en-US" w:eastAsia="zh-CN"/>
                    </w:rPr>
                    <w:t>00</w:t>
                  </w:r>
                </w:p>
              </w:tc>
              <w:tc>
                <w:tcPr>
                  <w:tcW w:w="1675" w:type="dxa"/>
                  <w:vAlign w:val="center"/>
                </w:tcPr>
                <w:p w14:paraId="0D15C6B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2400</w:t>
                  </w:r>
                </w:p>
              </w:tc>
            </w:tr>
            <w:tr w14:paraId="2F30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vAlign w:val="center"/>
                </w:tcPr>
                <w:p w14:paraId="21FC09A7">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1554" w:type="dxa"/>
                  <w:vAlign w:val="center"/>
                </w:tcPr>
                <w:p w14:paraId="361A0F8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天然气</w:t>
                  </w:r>
                </w:p>
              </w:tc>
              <w:tc>
                <w:tcPr>
                  <w:tcW w:w="1037" w:type="dxa"/>
                  <w:vAlign w:val="center"/>
                </w:tcPr>
                <w:p w14:paraId="27E71E7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万m</w:t>
                  </w:r>
                  <w:r>
                    <w:rPr>
                      <w:rFonts w:hint="eastAsia" w:ascii="Times New Roman" w:hAnsi="Times New Roman" w:eastAsia="仿宋" w:cs="Times New Roman"/>
                      <w:color w:val="auto"/>
                      <w:sz w:val="21"/>
                      <w:szCs w:val="21"/>
                      <w:highlight w:val="none"/>
                      <w:vertAlign w:val="superscript"/>
                      <w:lang w:val="en-US" w:eastAsia="zh-CN"/>
                    </w:rPr>
                    <w:t>3</w:t>
                  </w:r>
                  <w:r>
                    <w:rPr>
                      <w:rFonts w:hint="eastAsia" w:ascii="Times New Roman" w:hAnsi="Times New Roman" w:eastAsia="仿宋" w:cs="Times New Roman"/>
                      <w:color w:val="auto"/>
                      <w:sz w:val="21"/>
                      <w:szCs w:val="21"/>
                      <w:highlight w:val="none"/>
                      <w:lang w:val="en-US" w:eastAsia="zh-CN"/>
                    </w:rPr>
                    <w:t>/a</w:t>
                  </w:r>
                </w:p>
              </w:tc>
              <w:tc>
                <w:tcPr>
                  <w:tcW w:w="1652" w:type="dxa"/>
                  <w:vAlign w:val="center"/>
                </w:tcPr>
                <w:p w14:paraId="2AE8B2F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50</w:t>
                  </w:r>
                </w:p>
              </w:tc>
              <w:tc>
                <w:tcPr>
                  <w:tcW w:w="1653" w:type="dxa"/>
                  <w:vAlign w:val="center"/>
                </w:tcPr>
                <w:p w14:paraId="17619E7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0.625</w:t>
                  </w:r>
                </w:p>
              </w:tc>
              <w:tc>
                <w:tcPr>
                  <w:tcW w:w="1675" w:type="dxa"/>
                  <w:vAlign w:val="center"/>
                </w:tcPr>
                <w:p w14:paraId="5F615E26">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50.625</w:t>
                  </w:r>
                </w:p>
              </w:tc>
            </w:tr>
          </w:tbl>
          <w:p w14:paraId="003ED0A9">
            <w:pPr>
              <w:pStyle w:val="38"/>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eastAsia" w:ascii="Times New Roman" w:eastAsia="仿宋" w:cs="Times New Roman"/>
                <w:b/>
                <w:bCs/>
                <w:color w:val="auto"/>
                <w:kern w:val="0"/>
                <w:sz w:val="22"/>
                <w:szCs w:val="22"/>
                <w:highlight w:val="none"/>
                <w:lang w:val="en-US" w:eastAsia="zh-CN" w:bidi="ar-SA"/>
              </w:rPr>
              <w:t>注：</w:t>
            </w:r>
            <w:r>
              <w:rPr>
                <w:rFonts w:hint="eastAsia" w:eastAsia="仿宋" w:cs="Times New Roman"/>
                <w:b/>
                <w:bCs/>
                <w:color w:val="auto"/>
                <w:sz w:val="21"/>
                <w:szCs w:val="21"/>
                <w:highlight w:val="none"/>
                <w:lang w:val="en-US" w:eastAsia="zh-CN"/>
              </w:rPr>
              <w:t>*种类过多，无法详细统计。</w:t>
            </w:r>
          </w:p>
          <w:p w14:paraId="7C5EDD0C">
            <w:pPr>
              <w:spacing w:line="360" w:lineRule="auto"/>
              <w:ind w:firstLine="482" w:firstLineChars="200"/>
              <w:rPr>
                <w:rFonts w:hint="default" w:eastAsia="仿宋" w:cs="Times New Roman"/>
                <w:b/>
                <w:bCs/>
                <w:color w:val="auto"/>
                <w:kern w:val="2"/>
                <w:sz w:val="24"/>
                <w:szCs w:val="24"/>
                <w:highlight w:val="none"/>
                <w:lang w:val="en-US" w:eastAsia="zh-CN" w:bidi="ar-SA"/>
              </w:rPr>
            </w:pPr>
            <w:r>
              <w:rPr>
                <w:rFonts w:hint="eastAsia" w:eastAsia="仿宋" w:cs="Times New Roman"/>
                <w:b/>
                <w:bCs/>
                <w:color w:val="auto"/>
                <w:kern w:val="2"/>
                <w:sz w:val="24"/>
                <w:szCs w:val="24"/>
                <w:highlight w:val="none"/>
                <w:lang w:val="en-US" w:eastAsia="zh-CN" w:bidi="ar-SA"/>
              </w:rPr>
              <w:t>7</w:t>
            </w:r>
            <w:r>
              <w:rPr>
                <w:rFonts w:hint="default" w:eastAsia="仿宋" w:cs="Times New Roman"/>
                <w:b/>
                <w:bCs/>
                <w:color w:val="auto"/>
                <w:kern w:val="2"/>
                <w:sz w:val="24"/>
                <w:szCs w:val="24"/>
                <w:highlight w:val="none"/>
                <w:lang w:val="en-US" w:eastAsia="zh-CN" w:bidi="ar-SA"/>
              </w:rPr>
              <w:t>、主要生产设备</w:t>
            </w:r>
          </w:p>
          <w:p w14:paraId="25EF272B">
            <w:pPr>
              <w:adjustRightInd w:val="0"/>
              <w:snapToGrid w:val="0"/>
              <w:spacing w:line="360" w:lineRule="auto"/>
              <w:ind w:firstLine="480" w:firstLineChars="200"/>
              <w:rPr>
                <w:rFonts w:hint="default"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金坛区人民医院、金坛区血站整体迁建项目环境影响报告书》中表明原项目为整体迁建项目，涉及的医疗设备数量、品种极多，且很多设备属于易损、易更换类型，但原项目设备均安置在室内，不会产生强噪声、不排放废气，涉及医用放射性设备另请专业有资质单位开展了环境影响专项评价。因此，本次评价不列出原项目详细医用设备，仅对比其配套的可能产生噪声、废气的辅助设备加以说明，现有项目主要辅助设备见表2-5，本项目扩建主要医疗设备见表2-6。</w:t>
            </w:r>
          </w:p>
          <w:p w14:paraId="6D2DA7FC">
            <w:pPr>
              <w:jc w:val="center"/>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表2-</w:t>
            </w:r>
            <w:r>
              <w:rPr>
                <w:rFonts w:hint="eastAsia" w:eastAsia="仿宋" w:cs="Times New Roman"/>
                <w:b/>
                <w:bCs/>
                <w:color w:val="auto"/>
                <w:kern w:val="0"/>
                <w:sz w:val="22"/>
                <w:szCs w:val="22"/>
                <w:highlight w:val="none"/>
                <w:lang w:val="en-US" w:eastAsia="zh-CN" w:bidi="ar-SA"/>
              </w:rPr>
              <w:t>5</w:t>
            </w:r>
            <w:r>
              <w:rPr>
                <w:rFonts w:hint="default" w:ascii="Times New Roman" w:hAnsi="Times New Roman" w:eastAsia="仿宋" w:cs="Times New Roman"/>
                <w:b/>
                <w:bCs/>
                <w:color w:val="auto"/>
                <w:kern w:val="0"/>
                <w:sz w:val="22"/>
                <w:szCs w:val="22"/>
                <w:highlight w:val="none"/>
                <w:lang w:val="en-US" w:eastAsia="zh-CN" w:bidi="ar-SA"/>
              </w:rPr>
              <w:t xml:space="preserve">  </w:t>
            </w:r>
            <w:r>
              <w:rPr>
                <w:rFonts w:hint="eastAsia" w:eastAsia="仿宋" w:cs="Times New Roman"/>
                <w:b/>
                <w:bCs/>
                <w:color w:val="auto"/>
                <w:kern w:val="0"/>
                <w:sz w:val="22"/>
                <w:szCs w:val="22"/>
                <w:highlight w:val="none"/>
                <w:lang w:val="en-US" w:eastAsia="zh-CN" w:bidi="ar-SA"/>
              </w:rPr>
              <w:t>现有项目</w:t>
            </w:r>
            <w:r>
              <w:rPr>
                <w:rFonts w:hint="default" w:ascii="Times New Roman" w:hAnsi="Times New Roman" w:eastAsia="仿宋" w:cs="Times New Roman"/>
                <w:b/>
                <w:bCs/>
                <w:color w:val="auto"/>
                <w:kern w:val="0"/>
                <w:sz w:val="22"/>
                <w:szCs w:val="22"/>
                <w:highlight w:val="none"/>
                <w:lang w:val="en-US" w:eastAsia="zh-CN" w:bidi="ar-SA"/>
              </w:rPr>
              <w:t>主要</w:t>
            </w:r>
            <w:r>
              <w:rPr>
                <w:rFonts w:hint="eastAsia" w:ascii="Times New Roman" w:hAnsi="Times New Roman" w:eastAsia="仿宋" w:cs="Times New Roman"/>
                <w:b/>
                <w:bCs/>
                <w:color w:val="auto"/>
                <w:kern w:val="0"/>
                <w:sz w:val="22"/>
                <w:szCs w:val="22"/>
                <w:highlight w:val="none"/>
                <w:lang w:val="en-US" w:eastAsia="zh-CN" w:bidi="ar-SA"/>
              </w:rPr>
              <w:t>辅助</w:t>
            </w:r>
            <w:r>
              <w:rPr>
                <w:rFonts w:hint="default" w:ascii="Times New Roman" w:hAnsi="Times New Roman" w:eastAsia="仿宋" w:cs="Times New Roman"/>
                <w:b/>
                <w:bCs/>
                <w:color w:val="auto"/>
                <w:kern w:val="0"/>
                <w:sz w:val="22"/>
                <w:szCs w:val="22"/>
                <w:highlight w:val="none"/>
                <w:lang w:val="en-US" w:eastAsia="zh-CN" w:bidi="ar-SA"/>
              </w:rPr>
              <w:t>设备一览表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2614"/>
              <w:gridCol w:w="2401"/>
              <w:gridCol w:w="1037"/>
              <w:gridCol w:w="1661"/>
            </w:tblGrid>
            <w:tr w14:paraId="69668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tcBorders>
                    <w:top w:val="single" w:color="auto" w:sz="4" w:space="0"/>
                    <w:left w:val="single" w:color="auto" w:sz="0" w:space="0"/>
                  </w:tcBorders>
                  <w:noWrap w:val="0"/>
                  <w:vAlign w:val="center"/>
                </w:tcPr>
                <w:p w14:paraId="23822411">
                  <w:pPr>
                    <w:keepNext w:val="0"/>
                    <w:keepLines w:val="0"/>
                    <w:pageBreakBefore w:val="0"/>
                    <w:kinsoku/>
                    <w:wordWrap/>
                    <w:overflowPunct/>
                    <w:topLinePunct w:val="0"/>
                    <w:autoSpaceDE w:val="0"/>
                    <w:autoSpaceDN w:val="0"/>
                    <w:bidi w:val="0"/>
                    <w:snapToGrid w:val="0"/>
                    <w:jc w:val="center"/>
                    <w:textAlignment w:val="auto"/>
                    <w:rPr>
                      <w:rFonts w:hint="eastAsia"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序号</w:t>
                  </w:r>
                </w:p>
              </w:tc>
              <w:tc>
                <w:tcPr>
                  <w:tcW w:w="1558" w:type="pct"/>
                  <w:tcBorders>
                    <w:top w:val="single" w:color="auto" w:sz="4" w:space="0"/>
                  </w:tcBorders>
                  <w:noWrap w:val="0"/>
                  <w:vAlign w:val="center"/>
                </w:tcPr>
                <w:p w14:paraId="5108468E">
                  <w:pPr>
                    <w:keepNext w:val="0"/>
                    <w:keepLines w:val="0"/>
                    <w:pageBreakBefore w:val="0"/>
                    <w:kinsoku/>
                    <w:wordWrap/>
                    <w:overflowPunct/>
                    <w:topLinePunct w:val="0"/>
                    <w:autoSpaceDE w:val="0"/>
                    <w:autoSpaceDN w:val="0"/>
                    <w:bidi w:val="0"/>
                    <w:snapToGrid w:val="0"/>
                    <w:jc w:val="center"/>
                    <w:textAlignment w:val="auto"/>
                    <w:rPr>
                      <w:rFonts w:hint="eastAsia"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设备名称</w:t>
                  </w:r>
                </w:p>
              </w:tc>
              <w:tc>
                <w:tcPr>
                  <w:tcW w:w="1431" w:type="pct"/>
                  <w:tcBorders>
                    <w:top w:val="single" w:color="auto" w:sz="4" w:space="0"/>
                  </w:tcBorders>
                  <w:noWrap w:val="0"/>
                  <w:vAlign w:val="center"/>
                </w:tcPr>
                <w:p w14:paraId="5A2CBB99">
                  <w:pPr>
                    <w:keepNext w:val="0"/>
                    <w:keepLines w:val="0"/>
                    <w:pageBreakBefore w:val="0"/>
                    <w:kinsoku/>
                    <w:wordWrap/>
                    <w:overflowPunct/>
                    <w:topLinePunct w:val="0"/>
                    <w:autoSpaceDE w:val="0"/>
                    <w:autoSpaceDN w:val="0"/>
                    <w:bidi w:val="0"/>
                    <w:snapToGrid w:val="0"/>
                    <w:jc w:val="center"/>
                    <w:textAlignment w:val="auto"/>
                    <w:rPr>
                      <w:rFonts w:hint="eastAsia"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型号/规格</w:t>
                  </w:r>
                </w:p>
              </w:tc>
              <w:tc>
                <w:tcPr>
                  <w:tcW w:w="618" w:type="pct"/>
                  <w:tcBorders>
                    <w:top w:val="single" w:color="auto" w:sz="4" w:space="0"/>
                  </w:tcBorders>
                  <w:noWrap w:val="0"/>
                  <w:vAlign w:val="center"/>
                </w:tcPr>
                <w:p w14:paraId="3D864EC2">
                  <w:pPr>
                    <w:keepNext w:val="0"/>
                    <w:keepLines w:val="0"/>
                    <w:pageBreakBefore w:val="0"/>
                    <w:kinsoku/>
                    <w:wordWrap/>
                    <w:overflowPunct/>
                    <w:topLinePunct w:val="0"/>
                    <w:autoSpaceDE w:val="0"/>
                    <w:autoSpaceDN w:val="0"/>
                    <w:bidi w:val="0"/>
                    <w:snapToGrid w:val="0"/>
                    <w:jc w:val="center"/>
                    <w:textAlignment w:val="auto"/>
                    <w:rPr>
                      <w:rFonts w:hint="eastAsia"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单位</w:t>
                  </w:r>
                </w:p>
              </w:tc>
              <w:tc>
                <w:tcPr>
                  <w:tcW w:w="990" w:type="pct"/>
                  <w:tcBorders>
                    <w:top w:val="single" w:color="auto" w:sz="4" w:space="0"/>
                    <w:right w:val="single" w:color="auto" w:sz="4" w:space="0"/>
                  </w:tcBorders>
                  <w:noWrap w:val="0"/>
                  <w:vAlign w:val="center"/>
                </w:tcPr>
                <w:p w14:paraId="65EEF17D">
                  <w:pPr>
                    <w:keepNext w:val="0"/>
                    <w:keepLines w:val="0"/>
                    <w:pageBreakBefore w:val="0"/>
                    <w:kinsoku/>
                    <w:wordWrap/>
                    <w:overflowPunct/>
                    <w:topLinePunct w:val="0"/>
                    <w:autoSpaceDE w:val="0"/>
                    <w:autoSpaceDN w:val="0"/>
                    <w:bidi w:val="0"/>
                    <w:snapToGrid w:val="0"/>
                    <w:jc w:val="center"/>
                    <w:textAlignment w:val="auto"/>
                    <w:rPr>
                      <w:rFonts w:hint="eastAsia"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现有工程</w:t>
                  </w:r>
                </w:p>
              </w:tc>
            </w:tr>
            <w:tr w14:paraId="292B4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1" w:type="pct"/>
                  <w:tcBorders>
                    <w:left w:val="single" w:color="auto" w:sz="4" w:space="0"/>
                  </w:tcBorders>
                  <w:noWrap w:val="0"/>
                  <w:vAlign w:val="center"/>
                </w:tcPr>
                <w:p w14:paraId="7628DA9E">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558" w:type="pct"/>
                  <w:noWrap w:val="0"/>
                  <w:vAlign w:val="center"/>
                </w:tcPr>
                <w:p w14:paraId="35E1ADFC">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冷却塔</w:t>
                  </w:r>
                </w:p>
              </w:tc>
              <w:tc>
                <w:tcPr>
                  <w:tcW w:w="1431" w:type="pct"/>
                  <w:noWrap w:val="0"/>
                  <w:vAlign w:val="center"/>
                </w:tcPr>
                <w:p w14:paraId="52636DC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处理水量650m</w:t>
                  </w:r>
                  <w:r>
                    <w:rPr>
                      <w:rFonts w:hint="eastAsia" w:ascii="Times New Roman" w:hAnsi="Times New Roman" w:eastAsia="仿宋" w:cs="Times New Roman"/>
                      <w:color w:val="auto"/>
                      <w:sz w:val="21"/>
                      <w:szCs w:val="21"/>
                      <w:highlight w:val="none"/>
                      <w:vertAlign w:val="superscript"/>
                      <w:lang w:val="en-US" w:eastAsia="zh-CN"/>
                    </w:rPr>
                    <w:t>3</w:t>
                  </w:r>
                  <w:r>
                    <w:rPr>
                      <w:rFonts w:hint="eastAsia" w:ascii="Times New Roman" w:hAnsi="Times New Roman" w:eastAsia="仿宋" w:cs="Times New Roman"/>
                      <w:color w:val="auto"/>
                      <w:sz w:val="21"/>
                      <w:szCs w:val="21"/>
                      <w:highlight w:val="none"/>
                      <w:lang w:val="en-US" w:eastAsia="zh-CN"/>
                    </w:rPr>
                    <w:t>/h</w:t>
                  </w:r>
                </w:p>
              </w:tc>
              <w:tc>
                <w:tcPr>
                  <w:tcW w:w="618" w:type="pct"/>
                  <w:noWrap w:val="0"/>
                  <w:vAlign w:val="center"/>
                </w:tcPr>
                <w:p w14:paraId="365F4EC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990" w:type="pct"/>
                  <w:tcBorders>
                    <w:right w:val="single" w:color="auto" w:sz="4" w:space="0"/>
                  </w:tcBorders>
                  <w:noWrap w:val="0"/>
                  <w:vAlign w:val="center"/>
                </w:tcPr>
                <w:p w14:paraId="1FF587A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w:t>
                  </w:r>
                </w:p>
              </w:tc>
            </w:tr>
            <w:tr w14:paraId="0216D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01" w:type="pct"/>
                  <w:tcBorders>
                    <w:left w:val="single" w:color="auto" w:sz="4" w:space="0"/>
                  </w:tcBorders>
                  <w:noWrap w:val="0"/>
                  <w:vAlign w:val="center"/>
                </w:tcPr>
                <w:p w14:paraId="5AE9ABBF">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c>
                <w:tcPr>
                  <w:tcW w:w="1558" w:type="pct"/>
                  <w:noWrap w:val="0"/>
                  <w:vAlign w:val="center"/>
                </w:tcPr>
                <w:p w14:paraId="7F2EE24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冷却水循环泵</w:t>
                  </w:r>
                </w:p>
              </w:tc>
              <w:tc>
                <w:tcPr>
                  <w:tcW w:w="1431" w:type="pct"/>
                  <w:noWrap w:val="0"/>
                  <w:vAlign w:val="center"/>
                </w:tcPr>
                <w:p w14:paraId="49F56D9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流量650m</w:t>
                  </w:r>
                  <w:r>
                    <w:rPr>
                      <w:rFonts w:hint="eastAsia" w:ascii="Times New Roman" w:hAnsi="Times New Roman" w:eastAsia="仿宋" w:cs="Times New Roman"/>
                      <w:color w:val="auto"/>
                      <w:sz w:val="21"/>
                      <w:szCs w:val="21"/>
                      <w:highlight w:val="none"/>
                      <w:vertAlign w:val="superscript"/>
                      <w:lang w:val="en-US" w:eastAsia="zh-CN"/>
                    </w:rPr>
                    <w:t>3</w:t>
                  </w:r>
                  <w:r>
                    <w:rPr>
                      <w:rFonts w:hint="eastAsia" w:ascii="Times New Roman" w:hAnsi="Times New Roman" w:eastAsia="仿宋" w:cs="Times New Roman"/>
                      <w:color w:val="auto"/>
                      <w:sz w:val="21"/>
                      <w:szCs w:val="21"/>
                      <w:highlight w:val="none"/>
                      <w:lang w:val="en-US" w:eastAsia="zh-CN"/>
                    </w:rPr>
                    <w:t>/h</w:t>
                  </w:r>
                </w:p>
              </w:tc>
              <w:tc>
                <w:tcPr>
                  <w:tcW w:w="618" w:type="pct"/>
                  <w:noWrap w:val="0"/>
                  <w:vAlign w:val="center"/>
                </w:tcPr>
                <w:p w14:paraId="28510497">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990" w:type="pct"/>
                  <w:tcBorders>
                    <w:right w:val="single" w:color="auto" w:sz="4" w:space="0"/>
                  </w:tcBorders>
                  <w:noWrap w:val="0"/>
                  <w:vAlign w:val="center"/>
                </w:tcPr>
                <w:p w14:paraId="1943309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w:t>
                  </w:r>
                </w:p>
              </w:tc>
            </w:tr>
            <w:tr w14:paraId="01BEF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01" w:type="pct"/>
                  <w:tcBorders>
                    <w:left w:val="single" w:color="auto" w:sz="4" w:space="0"/>
                  </w:tcBorders>
                  <w:noWrap w:val="0"/>
                  <w:vAlign w:val="center"/>
                </w:tcPr>
                <w:p w14:paraId="476B433E">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c>
                <w:tcPr>
                  <w:tcW w:w="1558" w:type="pct"/>
                  <w:noWrap w:val="0"/>
                  <w:vAlign w:val="center"/>
                </w:tcPr>
                <w:p w14:paraId="3E5EAB5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冷水机组</w:t>
                  </w:r>
                </w:p>
              </w:tc>
              <w:tc>
                <w:tcPr>
                  <w:tcW w:w="1431" w:type="pct"/>
                  <w:noWrap w:val="0"/>
                  <w:vAlign w:val="center"/>
                </w:tcPr>
                <w:p w14:paraId="79539062">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制冷量2500Kw</w:t>
                  </w:r>
                </w:p>
              </w:tc>
              <w:tc>
                <w:tcPr>
                  <w:tcW w:w="618" w:type="pct"/>
                  <w:noWrap w:val="0"/>
                  <w:vAlign w:val="center"/>
                </w:tcPr>
                <w:p w14:paraId="798A211A">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990" w:type="pct"/>
                  <w:tcBorders>
                    <w:right w:val="single" w:color="auto" w:sz="4" w:space="0"/>
                  </w:tcBorders>
                  <w:noWrap w:val="0"/>
                  <w:vAlign w:val="center"/>
                </w:tcPr>
                <w:p w14:paraId="617CA8B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w:t>
                  </w:r>
                </w:p>
              </w:tc>
            </w:tr>
            <w:tr w14:paraId="45744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tcBorders>
                    <w:left w:val="single" w:color="auto" w:sz="4" w:space="0"/>
                  </w:tcBorders>
                  <w:noWrap w:val="0"/>
                  <w:vAlign w:val="center"/>
                </w:tcPr>
                <w:p w14:paraId="6EAC201F">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w:t>
                  </w:r>
                </w:p>
              </w:tc>
              <w:tc>
                <w:tcPr>
                  <w:tcW w:w="1558" w:type="pct"/>
                  <w:noWrap w:val="0"/>
                  <w:vAlign w:val="center"/>
                </w:tcPr>
                <w:p w14:paraId="7E0F32F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冷冻水循环泵</w:t>
                  </w:r>
                </w:p>
              </w:tc>
              <w:tc>
                <w:tcPr>
                  <w:tcW w:w="1431" w:type="pct"/>
                  <w:noWrap w:val="0"/>
                  <w:vAlign w:val="center"/>
                </w:tcPr>
                <w:p w14:paraId="0C6E052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流量550m</w:t>
                  </w:r>
                  <w:r>
                    <w:rPr>
                      <w:rFonts w:hint="eastAsia" w:ascii="Times New Roman" w:hAnsi="Times New Roman" w:eastAsia="仿宋" w:cs="Times New Roman"/>
                      <w:color w:val="auto"/>
                      <w:sz w:val="21"/>
                      <w:szCs w:val="21"/>
                      <w:highlight w:val="none"/>
                      <w:vertAlign w:val="superscript"/>
                      <w:lang w:val="en-US" w:eastAsia="zh-CN"/>
                    </w:rPr>
                    <w:t>3</w:t>
                  </w:r>
                  <w:r>
                    <w:rPr>
                      <w:rFonts w:hint="eastAsia" w:ascii="Times New Roman" w:hAnsi="Times New Roman" w:eastAsia="仿宋" w:cs="Times New Roman"/>
                      <w:color w:val="auto"/>
                      <w:sz w:val="21"/>
                      <w:szCs w:val="21"/>
                      <w:highlight w:val="none"/>
                      <w:lang w:val="en-US" w:eastAsia="zh-CN"/>
                    </w:rPr>
                    <w:t>/h</w:t>
                  </w:r>
                </w:p>
              </w:tc>
              <w:tc>
                <w:tcPr>
                  <w:tcW w:w="618" w:type="pct"/>
                  <w:noWrap w:val="0"/>
                  <w:vAlign w:val="center"/>
                </w:tcPr>
                <w:p w14:paraId="64D1F2F1">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990" w:type="pct"/>
                  <w:tcBorders>
                    <w:right w:val="single" w:color="auto" w:sz="4" w:space="0"/>
                  </w:tcBorders>
                  <w:noWrap w:val="0"/>
                  <w:vAlign w:val="center"/>
                </w:tcPr>
                <w:p w14:paraId="4B9A9F0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w:t>
                  </w:r>
                </w:p>
              </w:tc>
            </w:tr>
            <w:tr w14:paraId="70A3B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tcBorders>
                    <w:left w:val="single" w:color="auto" w:sz="4" w:space="0"/>
                  </w:tcBorders>
                  <w:noWrap w:val="0"/>
                  <w:vAlign w:val="center"/>
                </w:tcPr>
                <w:p w14:paraId="64BDCFD1">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w:t>
                  </w:r>
                </w:p>
              </w:tc>
              <w:tc>
                <w:tcPr>
                  <w:tcW w:w="1558" w:type="pct"/>
                  <w:noWrap w:val="0"/>
                  <w:vAlign w:val="center"/>
                </w:tcPr>
                <w:p w14:paraId="7D31C736">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多联机组</w:t>
                  </w:r>
                </w:p>
              </w:tc>
              <w:tc>
                <w:tcPr>
                  <w:tcW w:w="1431" w:type="pct"/>
                  <w:noWrap w:val="0"/>
                  <w:vAlign w:val="center"/>
                </w:tcPr>
                <w:p w14:paraId="32720902">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制冷量200Kw</w:t>
                  </w:r>
                </w:p>
              </w:tc>
              <w:tc>
                <w:tcPr>
                  <w:tcW w:w="618" w:type="pct"/>
                  <w:noWrap w:val="0"/>
                  <w:vAlign w:val="center"/>
                </w:tcPr>
                <w:p w14:paraId="76D5FF06">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990" w:type="pct"/>
                  <w:tcBorders>
                    <w:right w:val="single" w:color="auto" w:sz="4" w:space="0"/>
                  </w:tcBorders>
                  <w:noWrap w:val="0"/>
                  <w:vAlign w:val="center"/>
                </w:tcPr>
                <w:p w14:paraId="6996411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r>
            <w:tr w14:paraId="7B5E1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01" w:type="pct"/>
                  <w:tcBorders>
                    <w:left w:val="single" w:color="auto" w:sz="4" w:space="0"/>
                  </w:tcBorders>
                  <w:noWrap w:val="0"/>
                  <w:vAlign w:val="center"/>
                </w:tcPr>
                <w:p w14:paraId="4F9C85FA">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w:t>
                  </w:r>
                </w:p>
              </w:tc>
              <w:tc>
                <w:tcPr>
                  <w:tcW w:w="1558" w:type="pct"/>
                  <w:noWrap w:val="0"/>
                  <w:vAlign w:val="center"/>
                </w:tcPr>
                <w:p w14:paraId="226C250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热水锅炉</w:t>
                  </w:r>
                </w:p>
              </w:tc>
              <w:tc>
                <w:tcPr>
                  <w:tcW w:w="1431" w:type="pct"/>
                  <w:noWrap w:val="0"/>
                  <w:vAlign w:val="center"/>
                </w:tcPr>
                <w:p w14:paraId="5CBE79E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4t/h</w:t>
                  </w:r>
                </w:p>
              </w:tc>
              <w:tc>
                <w:tcPr>
                  <w:tcW w:w="618" w:type="pct"/>
                  <w:noWrap w:val="0"/>
                  <w:vAlign w:val="center"/>
                </w:tcPr>
                <w:p w14:paraId="46A67D7A">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990" w:type="pct"/>
                  <w:tcBorders>
                    <w:right w:val="single" w:color="auto" w:sz="4" w:space="0"/>
                  </w:tcBorders>
                  <w:noWrap w:val="0"/>
                  <w:vAlign w:val="center"/>
                </w:tcPr>
                <w:p w14:paraId="3BD12B9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r>
            <w:tr w14:paraId="0545F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401" w:type="pct"/>
                  <w:tcBorders>
                    <w:left w:val="single" w:color="auto" w:sz="4" w:space="0"/>
                  </w:tcBorders>
                  <w:noWrap w:val="0"/>
                  <w:vAlign w:val="center"/>
                </w:tcPr>
                <w:p w14:paraId="3C9890C4">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7</w:t>
                  </w:r>
                </w:p>
              </w:tc>
              <w:tc>
                <w:tcPr>
                  <w:tcW w:w="1558" w:type="pct"/>
                  <w:noWrap w:val="0"/>
                  <w:vAlign w:val="center"/>
                </w:tcPr>
                <w:p w14:paraId="2EA0AB6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蒸汽锅炉</w:t>
                  </w:r>
                </w:p>
              </w:tc>
              <w:tc>
                <w:tcPr>
                  <w:tcW w:w="1431" w:type="pct"/>
                  <w:noWrap w:val="0"/>
                  <w:vAlign w:val="center"/>
                </w:tcPr>
                <w:p w14:paraId="49AA3D14">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4t/h</w:t>
                  </w:r>
                </w:p>
              </w:tc>
              <w:tc>
                <w:tcPr>
                  <w:tcW w:w="618" w:type="pct"/>
                  <w:noWrap w:val="0"/>
                  <w:vAlign w:val="center"/>
                </w:tcPr>
                <w:p w14:paraId="33E23B93">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990" w:type="pct"/>
                  <w:tcBorders>
                    <w:right w:val="single" w:color="auto" w:sz="4" w:space="0"/>
                  </w:tcBorders>
                  <w:noWrap w:val="0"/>
                  <w:vAlign w:val="center"/>
                </w:tcPr>
                <w:p w14:paraId="0B9FAB5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r>
            <w:tr w14:paraId="64C80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401" w:type="pct"/>
                  <w:tcBorders>
                    <w:left w:val="single" w:color="auto" w:sz="4" w:space="0"/>
                  </w:tcBorders>
                  <w:noWrap w:val="0"/>
                  <w:vAlign w:val="center"/>
                </w:tcPr>
                <w:p w14:paraId="4722474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8</w:t>
                  </w:r>
                </w:p>
              </w:tc>
              <w:tc>
                <w:tcPr>
                  <w:tcW w:w="1558" w:type="pct"/>
                  <w:noWrap w:val="0"/>
                  <w:vAlign w:val="center"/>
                </w:tcPr>
                <w:p w14:paraId="672FF1B6">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热水循环泵</w:t>
                  </w:r>
                </w:p>
              </w:tc>
              <w:tc>
                <w:tcPr>
                  <w:tcW w:w="1431" w:type="pct"/>
                  <w:noWrap w:val="0"/>
                  <w:vAlign w:val="center"/>
                </w:tcPr>
                <w:p w14:paraId="2607569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流量220m</w:t>
                  </w:r>
                  <w:r>
                    <w:rPr>
                      <w:rFonts w:hint="eastAsia" w:ascii="Times New Roman" w:hAnsi="Times New Roman" w:eastAsia="仿宋" w:cs="Times New Roman"/>
                      <w:color w:val="auto"/>
                      <w:sz w:val="21"/>
                      <w:szCs w:val="21"/>
                      <w:highlight w:val="none"/>
                      <w:vertAlign w:val="superscript"/>
                      <w:lang w:val="en-US" w:eastAsia="zh-CN"/>
                    </w:rPr>
                    <w:t>3</w:t>
                  </w:r>
                  <w:r>
                    <w:rPr>
                      <w:rFonts w:hint="eastAsia" w:ascii="Times New Roman" w:hAnsi="Times New Roman" w:eastAsia="仿宋" w:cs="Times New Roman"/>
                      <w:color w:val="auto"/>
                      <w:sz w:val="21"/>
                      <w:szCs w:val="21"/>
                      <w:highlight w:val="none"/>
                      <w:lang w:val="en-US" w:eastAsia="zh-CN"/>
                    </w:rPr>
                    <w:t>/h</w:t>
                  </w:r>
                </w:p>
              </w:tc>
              <w:tc>
                <w:tcPr>
                  <w:tcW w:w="618" w:type="pct"/>
                  <w:noWrap w:val="0"/>
                  <w:vAlign w:val="center"/>
                </w:tcPr>
                <w:p w14:paraId="0B932566">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990" w:type="pct"/>
                  <w:tcBorders>
                    <w:right w:val="single" w:color="auto" w:sz="4" w:space="0"/>
                  </w:tcBorders>
                  <w:noWrap w:val="0"/>
                  <w:vAlign w:val="center"/>
                </w:tcPr>
                <w:p w14:paraId="1997B5C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r>
            <w:tr w14:paraId="027DD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401" w:type="pct"/>
                  <w:tcBorders>
                    <w:left w:val="single" w:color="auto" w:sz="4" w:space="0"/>
                  </w:tcBorders>
                  <w:noWrap w:val="0"/>
                  <w:vAlign w:val="center"/>
                </w:tcPr>
                <w:p w14:paraId="144B23B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9</w:t>
                  </w:r>
                </w:p>
              </w:tc>
              <w:tc>
                <w:tcPr>
                  <w:tcW w:w="1558" w:type="pct"/>
                  <w:noWrap w:val="0"/>
                  <w:vAlign w:val="center"/>
                </w:tcPr>
                <w:p w14:paraId="22C7B8A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变压器</w:t>
                  </w:r>
                </w:p>
              </w:tc>
              <w:tc>
                <w:tcPr>
                  <w:tcW w:w="1431" w:type="pct"/>
                  <w:noWrap w:val="0"/>
                  <w:vAlign w:val="center"/>
                </w:tcPr>
                <w:p w14:paraId="748BE96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2000KVA</w:t>
                  </w:r>
                </w:p>
              </w:tc>
              <w:tc>
                <w:tcPr>
                  <w:tcW w:w="618" w:type="pct"/>
                  <w:noWrap w:val="0"/>
                  <w:vAlign w:val="center"/>
                </w:tcPr>
                <w:p w14:paraId="5C4EE96D">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990" w:type="pct"/>
                  <w:tcBorders>
                    <w:right w:val="single" w:color="auto" w:sz="4" w:space="0"/>
                  </w:tcBorders>
                  <w:noWrap w:val="0"/>
                  <w:vAlign w:val="center"/>
                </w:tcPr>
                <w:p w14:paraId="61DC4F2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r>
            <w:tr w14:paraId="292EE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401" w:type="pct"/>
                  <w:tcBorders>
                    <w:left w:val="single" w:color="auto" w:sz="4" w:space="0"/>
                  </w:tcBorders>
                  <w:noWrap w:val="0"/>
                  <w:vAlign w:val="center"/>
                </w:tcPr>
                <w:p w14:paraId="02596E7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c>
                <w:tcPr>
                  <w:tcW w:w="1558" w:type="pct"/>
                  <w:noWrap w:val="0"/>
                  <w:vAlign w:val="center"/>
                </w:tcPr>
                <w:p w14:paraId="5250ECE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变压器</w:t>
                  </w:r>
                </w:p>
              </w:tc>
              <w:tc>
                <w:tcPr>
                  <w:tcW w:w="1431" w:type="pct"/>
                  <w:noWrap w:val="0"/>
                  <w:vAlign w:val="center"/>
                </w:tcPr>
                <w:p w14:paraId="73F08B4B">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1000KVA</w:t>
                  </w:r>
                </w:p>
              </w:tc>
              <w:tc>
                <w:tcPr>
                  <w:tcW w:w="618" w:type="pct"/>
                  <w:noWrap w:val="0"/>
                  <w:vAlign w:val="center"/>
                </w:tcPr>
                <w:p w14:paraId="7A8BEF91">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990" w:type="pct"/>
                  <w:tcBorders>
                    <w:right w:val="single" w:color="auto" w:sz="4" w:space="0"/>
                  </w:tcBorders>
                  <w:noWrap w:val="0"/>
                  <w:vAlign w:val="center"/>
                </w:tcPr>
                <w:p w14:paraId="7AB7710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r>
            <w:tr w14:paraId="214C2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tcBorders>
                    <w:left w:val="single" w:color="auto" w:sz="4" w:space="0"/>
                    <w:bottom w:val="single" w:color="auto" w:sz="4" w:space="0"/>
                  </w:tcBorders>
                  <w:noWrap w:val="0"/>
                  <w:vAlign w:val="center"/>
                </w:tcPr>
                <w:p w14:paraId="173C7A16">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11</w:t>
                  </w:r>
                </w:p>
              </w:tc>
              <w:tc>
                <w:tcPr>
                  <w:tcW w:w="1558" w:type="pct"/>
                  <w:tcBorders>
                    <w:bottom w:val="single" w:color="auto" w:sz="4" w:space="0"/>
                  </w:tcBorders>
                  <w:noWrap w:val="0"/>
                  <w:vAlign w:val="center"/>
                </w:tcPr>
                <w:p w14:paraId="35D1A482">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应急柴油发电机</w:t>
                  </w:r>
                </w:p>
              </w:tc>
              <w:tc>
                <w:tcPr>
                  <w:tcW w:w="1431" w:type="pct"/>
                  <w:tcBorders>
                    <w:bottom w:val="single" w:color="auto" w:sz="4" w:space="0"/>
                  </w:tcBorders>
                  <w:noWrap w:val="0"/>
                  <w:vAlign w:val="center"/>
                </w:tcPr>
                <w:p w14:paraId="1835FB42">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1650KVA</w:t>
                  </w:r>
                </w:p>
              </w:tc>
              <w:tc>
                <w:tcPr>
                  <w:tcW w:w="618" w:type="pct"/>
                  <w:tcBorders>
                    <w:bottom w:val="single" w:color="auto" w:sz="4" w:space="0"/>
                  </w:tcBorders>
                  <w:noWrap w:val="0"/>
                  <w:vAlign w:val="center"/>
                </w:tcPr>
                <w:p w14:paraId="18838916">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990" w:type="pct"/>
                  <w:tcBorders>
                    <w:bottom w:val="single" w:color="auto" w:sz="4" w:space="0"/>
                    <w:right w:val="single" w:color="auto" w:sz="4" w:space="0"/>
                  </w:tcBorders>
                  <w:noWrap w:val="0"/>
                  <w:vAlign w:val="center"/>
                </w:tcPr>
                <w:p w14:paraId="4209616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r>
          </w:tbl>
          <w:p w14:paraId="62394A8C">
            <w:pPr>
              <w:jc w:val="center"/>
              <w:rPr>
                <w:rFonts w:hint="default" w:ascii="Times New Roman" w:hAnsi="Times New Roman" w:eastAsia="仿宋" w:cs="Times New Roman"/>
                <w:b/>
                <w:bCs/>
                <w:color w:val="auto"/>
                <w:kern w:val="0"/>
                <w:sz w:val="22"/>
                <w:szCs w:val="22"/>
                <w:highlight w:val="none"/>
                <w:lang w:val="en-US" w:eastAsia="zh-CN" w:bidi="ar-SA"/>
              </w:rPr>
            </w:pPr>
            <w:r>
              <w:rPr>
                <w:rFonts w:hint="eastAsia" w:ascii="Times New Roman" w:hAnsi="Times New Roman" w:eastAsia="仿宋" w:cs="Times New Roman"/>
                <w:b/>
                <w:bCs/>
                <w:color w:val="auto"/>
                <w:kern w:val="0"/>
                <w:sz w:val="22"/>
                <w:szCs w:val="22"/>
                <w:highlight w:val="none"/>
                <w:lang w:val="en-US" w:eastAsia="zh-CN" w:bidi="ar-SA"/>
              </w:rPr>
              <w:t>表2-</w:t>
            </w:r>
            <w:r>
              <w:rPr>
                <w:rFonts w:hint="eastAsia" w:eastAsia="仿宋" w:cs="Times New Roman"/>
                <w:b/>
                <w:bCs/>
                <w:color w:val="auto"/>
                <w:kern w:val="0"/>
                <w:sz w:val="22"/>
                <w:szCs w:val="22"/>
                <w:highlight w:val="none"/>
                <w:lang w:val="en-US" w:eastAsia="zh-CN" w:bidi="ar-SA"/>
              </w:rPr>
              <w:t>6</w:t>
            </w:r>
            <w:r>
              <w:rPr>
                <w:rFonts w:hint="eastAsia" w:ascii="Times New Roman" w:hAnsi="Times New Roman" w:eastAsia="仿宋" w:cs="Times New Roman"/>
                <w:b/>
                <w:bCs/>
                <w:color w:val="auto"/>
                <w:kern w:val="0"/>
                <w:sz w:val="22"/>
                <w:szCs w:val="22"/>
                <w:highlight w:val="none"/>
                <w:lang w:val="en-US" w:eastAsia="zh-CN" w:bidi="ar-SA"/>
              </w:rPr>
              <w:t>本项目扩建主要医疗设备</w:t>
            </w:r>
          </w:p>
          <w:tbl>
            <w:tblPr>
              <w:tblStyle w:val="32"/>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2900"/>
              <w:gridCol w:w="1205"/>
              <w:gridCol w:w="1182"/>
              <w:gridCol w:w="2174"/>
            </w:tblGrid>
            <w:tr w14:paraId="7A67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52BFE0F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序号</w:t>
                  </w:r>
                </w:p>
              </w:tc>
              <w:tc>
                <w:tcPr>
                  <w:tcW w:w="2900" w:type="dxa"/>
                  <w:vAlign w:val="center"/>
                </w:tcPr>
                <w:p w14:paraId="66EFB04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创伤大楼医疗设备</w:t>
                  </w:r>
                </w:p>
              </w:tc>
              <w:tc>
                <w:tcPr>
                  <w:tcW w:w="1205" w:type="dxa"/>
                  <w:vAlign w:val="center"/>
                </w:tcPr>
                <w:p w14:paraId="0796097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数量</w:t>
                  </w:r>
                </w:p>
              </w:tc>
              <w:tc>
                <w:tcPr>
                  <w:tcW w:w="1182" w:type="dxa"/>
                  <w:vAlign w:val="center"/>
                </w:tcPr>
                <w:p w14:paraId="38EEA82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单位</w:t>
                  </w:r>
                </w:p>
              </w:tc>
              <w:tc>
                <w:tcPr>
                  <w:tcW w:w="2174" w:type="dxa"/>
                  <w:vAlign w:val="center"/>
                </w:tcPr>
                <w:p w14:paraId="255F490D">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备注</w:t>
                  </w:r>
                </w:p>
              </w:tc>
            </w:tr>
            <w:tr w14:paraId="4717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7D6019A6">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c>
                <w:tcPr>
                  <w:tcW w:w="2900" w:type="dxa"/>
                  <w:vAlign w:val="center"/>
                </w:tcPr>
                <w:p w14:paraId="0B0A2E5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磁共振（1.5T)</w:t>
                  </w:r>
                </w:p>
              </w:tc>
              <w:tc>
                <w:tcPr>
                  <w:tcW w:w="1205" w:type="dxa"/>
                  <w:vAlign w:val="center"/>
                </w:tcPr>
                <w:p w14:paraId="44C39FC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04D7265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2ECA540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手术室</w:t>
                  </w:r>
                </w:p>
              </w:tc>
            </w:tr>
            <w:tr w14:paraId="059D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3BF1B53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w:t>
                  </w:r>
                </w:p>
              </w:tc>
              <w:tc>
                <w:tcPr>
                  <w:tcW w:w="2900" w:type="dxa"/>
                  <w:vAlign w:val="center"/>
                </w:tcPr>
                <w:p w14:paraId="0B4071F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CT（64排128层及以上）</w:t>
                  </w:r>
                </w:p>
              </w:tc>
              <w:tc>
                <w:tcPr>
                  <w:tcW w:w="1205" w:type="dxa"/>
                  <w:vAlign w:val="center"/>
                </w:tcPr>
                <w:p w14:paraId="56B11F2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5B5C1302">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7639DFC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手术室</w:t>
                  </w:r>
                </w:p>
              </w:tc>
            </w:tr>
            <w:tr w14:paraId="29DC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1A626D1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w:t>
                  </w:r>
                </w:p>
              </w:tc>
              <w:tc>
                <w:tcPr>
                  <w:tcW w:w="2900" w:type="dxa"/>
                  <w:vAlign w:val="center"/>
                </w:tcPr>
                <w:p w14:paraId="7793A90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DSA</w:t>
                  </w:r>
                </w:p>
              </w:tc>
              <w:tc>
                <w:tcPr>
                  <w:tcW w:w="1205" w:type="dxa"/>
                  <w:vAlign w:val="center"/>
                </w:tcPr>
                <w:p w14:paraId="3CF28B0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w:t>
                  </w:r>
                </w:p>
              </w:tc>
              <w:tc>
                <w:tcPr>
                  <w:tcW w:w="1182" w:type="dxa"/>
                  <w:vAlign w:val="center"/>
                </w:tcPr>
                <w:p w14:paraId="3B5130F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60C99D8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手术室</w:t>
                  </w:r>
                </w:p>
              </w:tc>
            </w:tr>
            <w:tr w14:paraId="3AC8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6148FB6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w:t>
                  </w:r>
                </w:p>
              </w:tc>
              <w:tc>
                <w:tcPr>
                  <w:tcW w:w="2900" w:type="dxa"/>
                  <w:vAlign w:val="center"/>
                </w:tcPr>
                <w:p w14:paraId="77EBC9B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麻醉外科手术塔</w:t>
                  </w:r>
                </w:p>
              </w:tc>
              <w:tc>
                <w:tcPr>
                  <w:tcW w:w="1205" w:type="dxa"/>
                  <w:vAlign w:val="center"/>
                </w:tcPr>
                <w:p w14:paraId="4612DFB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w:t>
                  </w:r>
                </w:p>
              </w:tc>
              <w:tc>
                <w:tcPr>
                  <w:tcW w:w="1182" w:type="dxa"/>
                  <w:vAlign w:val="center"/>
                </w:tcPr>
                <w:p w14:paraId="2B437F3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730E67E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手术室</w:t>
                  </w:r>
                </w:p>
              </w:tc>
            </w:tr>
            <w:tr w14:paraId="7852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1632020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w:t>
                  </w:r>
                </w:p>
              </w:tc>
              <w:tc>
                <w:tcPr>
                  <w:tcW w:w="2900" w:type="dxa"/>
                  <w:vAlign w:val="center"/>
                </w:tcPr>
                <w:p w14:paraId="347D827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麻醉机</w:t>
                  </w:r>
                </w:p>
              </w:tc>
              <w:tc>
                <w:tcPr>
                  <w:tcW w:w="1205" w:type="dxa"/>
                  <w:vAlign w:val="center"/>
                </w:tcPr>
                <w:p w14:paraId="1ECAB43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w:t>
                  </w:r>
                </w:p>
              </w:tc>
              <w:tc>
                <w:tcPr>
                  <w:tcW w:w="1182" w:type="dxa"/>
                  <w:vAlign w:val="center"/>
                </w:tcPr>
                <w:p w14:paraId="0074335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447279F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手术室</w:t>
                  </w:r>
                </w:p>
              </w:tc>
            </w:tr>
            <w:tr w14:paraId="7CB9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5EB8FC9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w:t>
                  </w:r>
                </w:p>
              </w:tc>
              <w:tc>
                <w:tcPr>
                  <w:tcW w:w="2900" w:type="dxa"/>
                  <w:vAlign w:val="center"/>
                </w:tcPr>
                <w:p w14:paraId="6AD0A34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手术无影灯</w:t>
                  </w:r>
                </w:p>
              </w:tc>
              <w:tc>
                <w:tcPr>
                  <w:tcW w:w="1205" w:type="dxa"/>
                  <w:vAlign w:val="center"/>
                </w:tcPr>
                <w:p w14:paraId="0A311B2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8</w:t>
                  </w:r>
                </w:p>
              </w:tc>
              <w:tc>
                <w:tcPr>
                  <w:tcW w:w="1182" w:type="dxa"/>
                  <w:vAlign w:val="center"/>
                </w:tcPr>
                <w:p w14:paraId="0012ABF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18C8221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手术室</w:t>
                  </w:r>
                </w:p>
              </w:tc>
            </w:tr>
            <w:tr w14:paraId="704A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546D855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w:t>
                  </w:r>
                </w:p>
              </w:tc>
              <w:tc>
                <w:tcPr>
                  <w:tcW w:w="2900" w:type="dxa"/>
                  <w:vAlign w:val="center"/>
                </w:tcPr>
                <w:p w14:paraId="030C48D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电动骨科手术床</w:t>
                  </w:r>
                </w:p>
              </w:tc>
              <w:tc>
                <w:tcPr>
                  <w:tcW w:w="1205" w:type="dxa"/>
                  <w:vAlign w:val="center"/>
                </w:tcPr>
                <w:p w14:paraId="02A0BDB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w:t>
                  </w:r>
                </w:p>
              </w:tc>
              <w:tc>
                <w:tcPr>
                  <w:tcW w:w="1182" w:type="dxa"/>
                  <w:vAlign w:val="center"/>
                </w:tcPr>
                <w:p w14:paraId="00D62946">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1C3F7A8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手术室</w:t>
                  </w:r>
                </w:p>
              </w:tc>
            </w:tr>
            <w:tr w14:paraId="42F5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04CC594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w:t>
                  </w:r>
                </w:p>
              </w:tc>
              <w:tc>
                <w:tcPr>
                  <w:tcW w:w="2900" w:type="dxa"/>
                  <w:vAlign w:val="center"/>
                </w:tcPr>
                <w:p w14:paraId="2937301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手术对接车</w:t>
                  </w:r>
                </w:p>
              </w:tc>
              <w:tc>
                <w:tcPr>
                  <w:tcW w:w="1205" w:type="dxa"/>
                  <w:vAlign w:val="center"/>
                </w:tcPr>
                <w:p w14:paraId="19B8D42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w:t>
                  </w:r>
                </w:p>
              </w:tc>
              <w:tc>
                <w:tcPr>
                  <w:tcW w:w="1182" w:type="dxa"/>
                  <w:vAlign w:val="center"/>
                </w:tcPr>
                <w:p w14:paraId="2DCE151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5A59960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手术室</w:t>
                  </w:r>
                </w:p>
              </w:tc>
            </w:tr>
            <w:tr w14:paraId="089F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67D7005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9</w:t>
                  </w:r>
                </w:p>
              </w:tc>
              <w:tc>
                <w:tcPr>
                  <w:tcW w:w="2900" w:type="dxa"/>
                  <w:vAlign w:val="center"/>
                </w:tcPr>
                <w:p w14:paraId="0A65D46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手术监护系统（一拖6）</w:t>
                  </w:r>
                </w:p>
              </w:tc>
              <w:tc>
                <w:tcPr>
                  <w:tcW w:w="1205" w:type="dxa"/>
                  <w:vAlign w:val="center"/>
                </w:tcPr>
                <w:p w14:paraId="6A5B87C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c>
                <w:tcPr>
                  <w:tcW w:w="1182" w:type="dxa"/>
                  <w:vAlign w:val="center"/>
                </w:tcPr>
                <w:p w14:paraId="575DA4B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2EAD05E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手术室</w:t>
                  </w:r>
                </w:p>
              </w:tc>
            </w:tr>
            <w:tr w14:paraId="4065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1390836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c>
                <w:tcPr>
                  <w:tcW w:w="2900" w:type="dxa"/>
                  <w:vAlign w:val="center"/>
                </w:tcPr>
                <w:p w14:paraId="48EC0AE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骨科三维C臂加术中导航系统</w:t>
                  </w:r>
                </w:p>
              </w:tc>
              <w:tc>
                <w:tcPr>
                  <w:tcW w:w="1205" w:type="dxa"/>
                  <w:vAlign w:val="center"/>
                </w:tcPr>
                <w:p w14:paraId="54E6E63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22162DB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23DC8E06">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手术室</w:t>
                  </w:r>
                </w:p>
              </w:tc>
            </w:tr>
            <w:tr w14:paraId="294D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20FC745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11</w:t>
                  </w:r>
                </w:p>
              </w:tc>
              <w:tc>
                <w:tcPr>
                  <w:tcW w:w="2900" w:type="dxa"/>
                  <w:vAlign w:val="center"/>
                </w:tcPr>
                <w:p w14:paraId="10D0945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吊塔</w:t>
                  </w:r>
                </w:p>
              </w:tc>
              <w:tc>
                <w:tcPr>
                  <w:tcW w:w="1205" w:type="dxa"/>
                  <w:vAlign w:val="center"/>
                </w:tcPr>
                <w:p w14:paraId="655957C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28</w:t>
                  </w:r>
                </w:p>
              </w:tc>
              <w:tc>
                <w:tcPr>
                  <w:tcW w:w="1182" w:type="dxa"/>
                  <w:vAlign w:val="center"/>
                </w:tcPr>
                <w:p w14:paraId="19B6069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3776208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急诊抢救</w:t>
                  </w:r>
                </w:p>
              </w:tc>
            </w:tr>
            <w:tr w14:paraId="40B2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145E3EE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12</w:t>
                  </w:r>
                </w:p>
              </w:tc>
              <w:tc>
                <w:tcPr>
                  <w:tcW w:w="2900" w:type="dxa"/>
                  <w:vAlign w:val="center"/>
                </w:tcPr>
                <w:p w14:paraId="6B932F1A">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CT（64排128层及以上）</w:t>
                  </w:r>
                </w:p>
              </w:tc>
              <w:tc>
                <w:tcPr>
                  <w:tcW w:w="1205" w:type="dxa"/>
                  <w:vAlign w:val="center"/>
                </w:tcPr>
                <w:p w14:paraId="3614B75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59BADC06">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416BEE7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急诊抢救</w:t>
                  </w:r>
                </w:p>
              </w:tc>
            </w:tr>
            <w:tr w14:paraId="73CC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0200522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13</w:t>
                  </w:r>
                </w:p>
              </w:tc>
              <w:tc>
                <w:tcPr>
                  <w:tcW w:w="2900" w:type="dxa"/>
                  <w:vAlign w:val="center"/>
                </w:tcPr>
                <w:p w14:paraId="7C0FA25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呼吸机</w:t>
                  </w:r>
                </w:p>
              </w:tc>
              <w:tc>
                <w:tcPr>
                  <w:tcW w:w="1205" w:type="dxa"/>
                  <w:vAlign w:val="center"/>
                </w:tcPr>
                <w:p w14:paraId="6661923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w:t>
                  </w:r>
                </w:p>
              </w:tc>
              <w:tc>
                <w:tcPr>
                  <w:tcW w:w="1182" w:type="dxa"/>
                  <w:vAlign w:val="center"/>
                </w:tcPr>
                <w:p w14:paraId="7DFA9C8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6C56889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急诊抢救</w:t>
                  </w:r>
                </w:p>
              </w:tc>
            </w:tr>
            <w:tr w14:paraId="083E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1C5D4C6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14</w:t>
                  </w:r>
                </w:p>
              </w:tc>
              <w:tc>
                <w:tcPr>
                  <w:tcW w:w="2900" w:type="dxa"/>
                  <w:vAlign w:val="center"/>
                </w:tcPr>
                <w:p w14:paraId="5D431EE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中央监护系统（一拖20）</w:t>
                  </w:r>
                </w:p>
              </w:tc>
              <w:tc>
                <w:tcPr>
                  <w:tcW w:w="1205" w:type="dxa"/>
                  <w:vAlign w:val="center"/>
                </w:tcPr>
                <w:p w14:paraId="084641A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49AB376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5B37914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急诊抢救</w:t>
                  </w:r>
                </w:p>
              </w:tc>
            </w:tr>
            <w:tr w14:paraId="777A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7C2EA7A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15</w:t>
                  </w:r>
                </w:p>
              </w:tc>
              <w:tc>
                <w:tcPr>
                  <w:tcW w:w="2900" w:type="dxa"/>
                  <w:vAlign w:val="center"/>
                </w:tcPr>
                <w:p w14:paraId="75366FD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除颤监护仪</w:t>
                  </w:r>
                </w:p>
              </w:tc>
              <w:tc>
                <w:tcPr>
                  <w:tcW w:w="1205" w:type="dxa"/>
                  <w:vAlign w:val="center"/>
                </w:tcPr>
                <w:p w14:paraId="5DD3EB0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w:t>
                  </w:r>
                </w:p>
              </w:tc>
              <w:tc>
                <w:tcPr>
                  <w:tcW w:w="1182" w:type="dxa"/>
                  <w:vAlign w:val="center"/>
                </w:tcPr>
                <w:p w14:paraId="03877DE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3BC5DD7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急诊抢救</w:t>
                  </w:r>
                </w:p>
              </w:tc>
            </w:tr>
            <w:tr w14:paraId="5A7D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324F0CE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16</w:t>
                  </w:r>
                </w:p>
              </w:tc>
              <w:tc>
                <w:tcPr>
                  <w:tcW w:w="2900" w:type="dxa"/>
                  <w:vAlign w:val="center"/>
                </w:tcPr>
                <w:p w14:paraId="210C390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转运呼吸机</w:t>
                  </w:r>
                </w:p>
              </w:tc>
              <w:tc>
                <w:tcPr>
                  <w:tcW w:w="1205" w:type="dxa"/>
                  <w:vAlign w:val="center"/>
                </w:tcPr>
                <w:p w14:paraId="7F8C31E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c>
                <w:tcPr>
                  <w:tcW w:w="1182" w:type="dxa"/>
                  <w:vAlign w:val="center"/>
                </w:tcPr>
                <w:p w14:paraId="7847CA1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11FAE442">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急诊抢救</w:t>
                  </w:r>
                </w:p>
              </w:tc>
            </w:tr>
            <w:tr w14:paraId="3CF0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4C04B54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17</w:t>
                  </w:r>
                </w:p>
              </w:tc>
              <w:tc>
                <w:tcPr>
                  <w:tcW w:w="2900" w:type="dxa"/>
                  <w:vAlign w:val="center"/>
                </w:tcPr>
                <w:p w14:paraId="0DA1AD1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彩超</w:t>
                  </w:r>
                </w:p>
              </w:tc>
              <w:tc>
                <w:tcPr>
                  <w:tcW w:w="1205" w:type="dxa"/>
                  <w:vAlign w:val="center"/>
                </w:tcPr>
                <w:p w14:paraId="2A2C3B0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45B4A56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17C958C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急诊抢救</w:t>
                  </w:r>
                </w:p>
              </w:tc>
            </w:tr>
            <w:tr w14:paraId="111D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0D81090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18</w:t>
                  </w:r>
                </w:p>
              </w:tc>
              <w:tc>
                <w:tcPr>
                  <w:tcW w:w="2900" w:type="dxa"/>
                  <w:vAlign w:val="center"/>
                </w:tcPr>
                <w:p w14:paraId="74A5A3F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病人抢救车</w:t>
                  </w:r>
                </w:p>
              </w:tc>
              <w:tc>
                <w:tcPr>
                  <w:tcW w:w="1205" w:type="dxa"/>
                  <w:vAlign w:val="center"/>
                </w:tcPr>
                <w:p w14:paraId="4247499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20</w:t>
                  </w:r>
                </w:p>
              </w:tc>
              <w:tc>
                <w:tcPr>
                  <w:tcW w:w="1182" w:type="dxa"/>
                  <w:vAlign w:val="center"/>
                </w:tcPr>
                <w:p w14:paraId="0B6012A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张</w:t>
                  </w:r>
                </w:p>
              </w:tc>
              <w:tc>
                <w:tcPr>
                  <w:tcW w:w="2174" w:type="dxa"/>
                  <w:vAlign w:val="center"/>
                </w:tcPr>
                <w:p w14:paraId="459FB31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急诊抢救</w:t>
                  </w:r>
                </w:p>
              </w:tc>
            </w:tr>
            <w:tr w14:paraId="5D09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4813122D">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19</w:t>
                  </w:r>
                </w:p>
              </w:tc>
              <w:tc>
                <w:tcPr>
                  <w:tcW w:w="2900" w:type="dxa"/>
                  <w:vAlign w:val="center"/>
                </w:tcPr>
                <w:p w14:paraId="00BB90B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DR（双板）</w:t>
                  </w:r>
                </w:p>
              </w:tc>
              <w:tc>
                <w:tcPr>
                  <w:tcW w:w="1205" w:type="dxa"/>
                  <w:vAlign w:val="center"/>
                </w:tcPr>
                <w:p w14:paraId="359D35C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7D4EE2B6">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749291C2">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急诊抢救</w:t>
                  </w:r>
                </w:p>
              </w:tc>
            </w:tr>
            <w:tr w14:paraId="4EF2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6F6DB9E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20</w:t>
                  </w:r>
                </w:p>
              </w:tc>
              <w:tc>
                <w:tcPr>
                  <w:tcW w:w="2900" w:type="dxa"/>
                  <w:vAlign w:val="center"/>
                </w:tcPr>
                <w:p w14:paraId="619C2B2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干湿分离吊塔</w:t>
                  </w:r>
                </w:p>
              </w:tc>
              <w:tc>
                <w:tcPr>
                  <w:tcW w:w="1205" w:type="dxa"/>
                  <w:vAlign w:val="center"/>
                </w:tcPr>
                <w:p w14:paraId="32CBF08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16</w:t>
                  </w:r>
                </w:p>
              </w:tc>
              <w:tc>
                <w:tcPr>
                  <w:tcW w:w="1182" w:type="dxa"/>
                  <w:vAlign w:val="center"/>
                </w:tcPr>
                <w:p w14:paraId="55D46CD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69613AC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EICU</w:t>
                  </w:r>
                </w:p>
              </w:tc>
            </w:tr>
            <w:tr w14:paraId="3DEE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24161772">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21</w:t>
                  </w:r>
                </w:p>
              </w:tc>
              <w:tc>
                <w:tcPr>
                  <w:tcW w:w="2900" w:type="dxa"/>
                  <w:vAlign w:val="center"/>
                </w:tcPr>
                <w:p w14:paraId="2AA2D97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呼吸机</w:t>
                  </w:r>
                </w:p>
              </w:tc>
              <w:tc>
                <w:tcPr>
                  <w:tcW w:w="1205" w:type="dxa"/>
                  <w:vAlign w:val="center"/>
                </w:tcPr>
                <w:p w14:paraId="16B4209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c>
                <w:tcPr>
                  <w:tcW w:w="1182" w:type="dxa"/>
                  <w:vAlign w:val="center"/>
                </w:tcPr>
                <w:p w14:paraId="14AFB49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7C1C38E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EICU</w:t>
                  </w:r>
                </w:p>
              </w:tc>
            </w:tr>
            <w:tr w14:paraId="6448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3873F0C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22</w:t>
                  </w:r>
                </w:p>
              </w:tc>
              <w:tc>
                <w:tcPr>
                  <w:tcW w:w="2900" w:type="dxa"/>
                  <w:vAlign w:val="center"/>
                </w:tcPr>
                <w:p w14:paraId="4471866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中央监护系统（一拖28）</w:t>
                  </w:r>
                </w:p>
              </w:tc>
              <w:tc>
                <w:tcPr>
                  <w:tcW w:w="1205" w:type="dxa"/>
                  <w:vAlign w:val="center"/>
                </w:tcPr>
                <w:p w14:paraId="08E56CB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00FF167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322FCD8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EICU</w:t>
                  </w:r>
                </w:p>
              </w:tc>
            </w:tr>
            <w:tr w14:paraId="4BDD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19E42F3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23</w:t>
                  </w:r>
                </w:p>
              </w:tc>
              <w:tc>
                <w:tcPr>
                  <w:tcW w:w="2900" w:type="dxa"/>
                  <w:vAlign w:val="center"/>
                </w:tcPr>
                <w:p w14:paraId="6FD084B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多功能电动病床</w:t>
                  </w:r>
                </w:p>
              </w:tc>
              <w:tc>
                <w:tcPr>
                  <w:tcW w:w="1205" w:type="dxa"/>
                  <w:vAlign w:val="center"/>
                </w:tcPr>
                <w:p w14:paraId="3E3D558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16</w:t>
                  </w:r>
                </w:p>
              </w:tc>
              <w:tc>
                <w:tcPr>
                  <w:tcW w:w="1182" w:type="dxa"/>
                  <w:vAlign w:val="center"/>
                </w:tcPr>
                <w:p w14:paraId="53D51B4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张</w:t>
                  </w:r>
                </w:p>
              </w:tc>
              <w:tc>
                <w:tcPr>
                  <w:tcW w:w="2174" w:type="dxa"/>
                  <w:vAlign w:val="center"/>
                </w:tcPr>
                <w:p w14:paraId="6E32120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EICU</w:t>
                  </w:r>
                </w:p>
              </w:tc>
            </w:tr>
            <w:tr w14:paraId="3085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62F9E202">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24</w:t>
                  </w:r>
                </w:p>
              </w:tc>
              <w:tc>
                <w:tcPr>
                  <w:tcW w:w="2900" w:type="dxa"/>
                  <w:vAlign w:val="center"/>
                </w:tcPr>
                <w:p w14:paraId="1FE345C8">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多通道输注系统（一拖28）</w:t>
                  </w:r>
                </w:p>
              </w:tc>
              <w:tc>
                <w:tcPr>
                  <w:tcW w:w="1205" w:type="dxa"/>
                  <w:vAlign w:val="center"/>
                </w:tcPr>
                <w:p w14:paraId="6FC6AB4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12B980F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5767170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EICU</w:t>
                  </w:r>
                </w:p>
              </w:tc>
            </w:tr>
            <w:tr w14:paraId="5825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696CAD12">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25</w:t>
                  </w:r>
                </w:p>
              </w:tc>
              <w:tc>
                <w:tcPr>
                  <w:tcW w:w="2900" w:type="dxa"/>
                  <w:vAlign w:val="center"/>
                </w:tcPr>
                <w:p w14:paraId="10BDD709">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床旁血透机</w:t>
                  </w:r>
                </w:p>
              </w:tc>
              <w:tc>
                <w:tcPr>
                  <w:tcW w:w="1205" w:type="dxa"/>
                  <w:vAlign w:val="center"/>
                </w:tcPr>
                <w:p w14:paraId="6675D24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c>
                <w:tcPr>
                  <w:tcW w:w="1182" w:type="dxa"/>
                  <w:vAlign w:val="center"/>
                </w:tcPr>
                <w:p w14:paraId="371D035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2174" w:type="dxa"/>
                  <w:vAlign w:val="center"/>
                </w:tcPr>
                <w:p w14:paraId="3F3A1E5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EICU</w:t>
                  </w:r>
                </w:p>
              </w:tc>
            </w:tr>
            <w:tr w14:paraId="5643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229C0DCE">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26</w:t>
                  </w:r>
                </w:p>
              </w:tc>
              <w:tc>
                <w:tcPr>
                  <w:tcW w:w="2900" w:type="dxa"/>
                  <w:vAlign w:val="center"/>
                </w:tcPr>
                <w:p w14:paraId="3B28B9C1">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普通病床+骨科专用床</w:t>
                  </w:r>
                </w:p>
              </w:tc>
              <w:tc>
                <w:tcPr>
                  <w:tcW w:w="1205" w:type="dxa"/>
                  <w:vAlign w:val="center"/>
                </w:tcPr>
                <w:p w14:paraId="3267A807">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200</w:t>
                  </w:r>
                </w:p>
              </w:tc>
              <w:tc>
                <w:tcPr>
                  <w:tcW w:w="1182" w:type="dxa"/>
                  <w:vAlign w:val="center"/>
                </w:tcPr>
                <w:p w14:paraId="7A692188">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张</w:t>
                  </w:r>
                </w:p>
              </w:tc>
              <w:tc>
                <w:tcPr>
                  <w:tcW w:w="2174" w:type="dxa"/>
                  <w:vAlign w:val="center"/>
                </w:tcPr>
                <w:p w14:paraId="7E05C8B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急诊、创伤中心病房</w:t>
                  </w:r>
                </w:p>
              </w:tc>
            </w:tr>
            <w:tr w14:paraId="7A21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6F8FE70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27</w:t>
                  </w:r>
                </w:p>
              </w:tc>
              <w:tc>
                <w:tcPr>
                  <w:tcW w:w="2900" w:type="dxa"/>
                  <w:vAlign w:val="center"/>
                </w:tcPr>
                <w:p w14:paraId="5E66885C">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数字化手术系统</w:t>
                  </w:r>
                </w:p>
              </w:tc>
              <w:tc>
                <w:tcPr>
                  <w:tcW w:w="1205" w:type="dxa"/>
                  <w:vAlign w:val="center"/>
                </w:tcPr>
                <w:p w14:paraId="6D43CE0D">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1C864E3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799FDD5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手术室</w:t>
                  </w:r>
                </w:p>
              </w:tc>
            </w:tr>
            <w:tr w14:paraId="6A29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118F607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28</w:t>
                  </w:r>
                </w:p>
              </w:tc>
              <w:tc>
                <w:tcPr>
                  <w:tcW w:w="2900" w:type="dxa"/>
                  <w:vAlign w:val="center"/>
                </w:tcPr>
                <w:p w14:paraId="2744FE50">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麻醉苏醒塔</w:t>
                  </w:r>
                </w:p>
              </w:tc>
              <w:tc>
                <w:tcPr>
                  <w:tcW w:w="1205" w:type="dxa"/>
                  <w:vAlign w:val="center"/>
                </w:tcPr>
                <w:p w14:paraId="2508E96D">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w:t>
                  </w:r>
                </w:p>
              </w:tc>
              <w:tc>
                <w:tcPr>
                  <w:tcW w:w="1182" w:type="dxa"/>
                  <w:vAlign w:val="center"/>
                </w:tcPr>
                <w:p w14:paraId="3FDAC0E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5D6F2CF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手术室</w:t>
                  </w:r>
                </w:p>
              </w:tc>
            </w:tr>
            <w:tr w14:paraId="36D0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7F3D2DB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29</w:t>
                  </w:r>
                </w:p>
              </w:tc>
              <w:tc>
                <w:tcPr>
                  <w:tcW w:w="2900" w:type="dxa"/>
                  <w:vAlign w:val="center"/>
                </w:tcPr>
                <w:p w14:paraId="70E4E380">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DR（双板）</w:t>
                  </w:r>
                </w:p>
              </w:tc>
              <w:tc>
                <w:tcPr>
                  <w:tcW w:w="1205" w:type="dxa"/>
                  <w:vAlign w:val="center"/>
                </w:tcPr>
                <w:p w14:paraId="5CB92625">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2BFDEB0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324FB2C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急诊抢救</w:t>
                  </w:r>
                </w:p>
              </w:tc>
            </w:tr>
            <w:tr w14:paraId="37F2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20B55FA4">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30</w:t>
                  </w:r>
                </w:p>
              </w:tc>
              <w:tc>
                <w:tcPr>
                  <w:tcW w:w="2900" w:type="dxa"/>
                  <w:vAlign w:val="center"/>
                </w:tcPr>
                <w:p w14:paraId="2B16388E">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牙科综合治疗台</w:t>
                  </w:r>
                </w:p>
              </w:tc>
              <w:tc>
                <w:tcPr>
                  <w:tcW w:w="1205" w:type="dxa"/>
                  <w:vAlign w:val="center"/>
                </w:tcPr>
                <w:p w14:paraId="116F9194">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12D3A7B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5C8B65B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门急诊</w:t>
                  </w:r>
                </w:p>
              </w:tc>
            </w:tr>
            <w:tr w14:paraId="2CF3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7CE023E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31</w:t>
                  </w:r>
                </w:p>
              </w:tc>
              <w:tc>
                <w:tcPr>
                  <w:tcW w:w="2900" w:type="dxa"/>
                  <w:vAlign w:val="center"/>
                </w:tcPr>
                <w:p w14:paraId="707B156D">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肌骨超声机</w:t>
                  </w:r>
                </w:p>
              </w:tc>
              <w:tc>
                <w:tcPr>
                  <w:tcW w:w="1205" w:type="dxa"/>
                  <w:vAlign w:val="center"/>
                </w:tcPr>
                <w:p w14:paraId="46209B36">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3278A6D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2174" w:type="dxa"/>
                  <w:vAlign w:val="center"/>
                </w:tcPr>
                <w:p w14:paraId="057DBA8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骨科</w:t>
                  </w:r>
                </w:p>
              </w:tc>
            </w:tr>
            <w:tr w14:paraId="2284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6C6BF2A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32</w:t>
                  </w:r>
                </w:p>
              </w:tc>
              <w:tc>
                <w:tcPr>
                  <w:tcW w:w="2900" w:type="dxa"/>
                  <w:vAlign w:val="center"/>
                </w:tcPr>
                <w:p w14:paraId="79441633">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射频消融机</w:t>
                  </w:r>
                </w:p>
              </w:tc>
              <w:tc>
                <w:tcPr>
                  <w:tcW w:w="1205" w:type="dxa"/>
                  <w:vAlign w:val="center"/>
                </w:tcPr>
                <w:p w14:paraId="4E06D195">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c>
                <w:tcPr>
                  <w:tcW w:w="1182" w:type="dxa"/>
                  <w:vAlign w:val="center"/>
                </w:tcPr>
                <w:p w14:paraId="50EF072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2174" w:type="dxa"/>
                  <w:vAlign w:val="center"/>
                </w:tcPr>
                <w:p w14:paraId="4279B1F6">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骨科</w:t>
                  </w:r>
                </w:p>
              </w:tc>
            </w:tr>
            <w:tr w14:paraId="2C22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400B96E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33</w:t>
                  </w:r>
                </w:p>
              </w:tc>
              <w:tc>
                <w:tcPr>
                  <w:tcW w:w="2900" w:type="dxa"/>
                  <w:vAlign w:val="center"/>
                </w:tcPr>
                <w:p w14:paraId="2210DDEA">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关节镜</w:t>
                  </w:r>
                </w:p>
              </w:tc>
              <w:tc>
                <w:tcPr>
                  <w:tcW w:w="1205" w:type="dxa"/>
                  <w:vAlign w:val="center"/>
                </w:tcPr>
                <w:p w14:paraId="32FEF583">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18F4B85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2174" w:type="dxa"/>
                  <w:vAlign w:val="center"/>
                </w:tcPr>
                <w:p w14:paraId="0B5562E6">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骨科</w:t>
                  </w:r>
                </w:p>
              </w:tc>
            </w:tr>
            <w:tr w14:paraId="1ECD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00A83515">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34</w:t>
                  </w:r>
                </w:p>
              </w:tc>
              <w:tc>
                <w:tcPr>
                  <w:tcW w:w="2900" w:type="dxa"/>
                  <w:vAlign w:val="center"/>
                </w:tcPr>
                <w:p w14:paraId="5603388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手术3D打印机</w:t>
                  </w:r>
                </w:p>
              </w:tc>
              <w:tc>
                <w:tcPr>
                  <w:tcW w:w="1205" w:type="dxa"/>
                  <w:vAlign w:val="center"/>
                </w:tcPr>
                <w:p w14:paraId="0467F2BF">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c>
                <w:tcPr>
                  <w:tcW w:w="1182" w:type="dxa"/>
                  <w:vAlign w:val="center"/>
                </w:tcPr>
                <w:p w14:paraId="5BBF63C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2174" w:type="dxa"/>
                  <w:vAlign w:val="center"/>
                </w:tcPr>
                <w:p w14:paraId="5E5472D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骨科</w:t>
                  </w:r>
                </w:p>
              </w:tc>
            </w:tr>
            <w:tr w14:paraId="4D22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22B318A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35</w:t>
                  </w:r>
                </w:p>
              </w:tc>
              <w:tc>
                <w:tcPr>
                  <w:tcW w:w="2900" w:type="dxa"/>
                  <w:vAlign w:val="center"/>
                </w:tcPr>
                <w:p w14:paraId="0F2DEAED">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超声波治疗仪</w:t>
                  </w:r>
                </w:p>
              </w:tc>
              <w:tc>
                <w:tcPr>
                  <w:tcW w:w="1205" w:type="dxa"/>
                  <w:vAlign w:val="center"/>
                </w:tcPr>
                <w:p w14:paraId="5F020632">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c>
                <w:tcPr>
                  <w:tcW w:w="1182" w:type="dxa"/>
                  <w:vAlign w:val="center"/>
                </w:tcPr>
                <w:p w14:paraId="1FFA7D7D">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2174" w:type="dxa"/>
                  <w:vAlign w:val="center"/>
                </w:tcPr>
                <w:p w14:paraId="73266399">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骨科</w:t>
                  </w:r>
                </w:p>
              </w:tc>
            </w:tr>
            <w:tr w14:paraId="37A3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10B3F8A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36</w:t>
                  </w:r>
                </w:p>
              </w:tc>
              <w:tc>
                <w:tcPr>
                  <w:tcW w:w="2900" w:type="dxa"/>
                  <w:vAlign w:val="center"/>
                </w:tcPr>
                <w:p w14:paraId="0A4F35B1">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间歇性脉冲加压抗血栓系统</w:t>
                  </w:r>
                </w:p>
              </w:tc>
              <w:tc>
                <w:tcPr>
                  <w:tcW w:w="1205" w:type="dxa"/>
                  <w:vAlign w:val="center"/>
                </w:tcPr>
                <w:p w14:paraId="69FB5E9C">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c>
                <w:tcPr>
                  <w:tcW w:w="1182" w:type="dxa"/>
                  <w:vAlign w:val="center"/>
                </w:tcPr>
                <w:p w14:paraId="5E5A69C3">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2174" w:type="dxa"/>
                  <w:vAlign w:val="center"/>
                </w:tcPr>
                <w:p w14:paraId="577CEA0D">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骨科</w:t>
                  </w:r>
                </w:p>
              </w:tc>
            </w:tr>
            <w:tr w14:paraId="3205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vAlign w:val="center"/>
                </w:tcPr>
                <w:p w14:paraId="701C0D10">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37</w:t>
                  </w:r>
                </w:p>
              </w:tc>
              <w:tc>
                <w:tcPr>
                  <w:tcW w:w="2900" w:type="dxa"/>
                  <w:vAlign w:val="center"/>
                </w:tcPr>
                <w:p w14:paraId="5EBECC75">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脊柱内镜</w:t>
                  </w:r>
                </w:p>
              </w:tc>
              <w:tc>
                <w:tcPr>
                  <w:tcW w:w="1205" w:type="dxa"/>
                  <w:vAlign w:val="center"/>
                </w:tcPr>
                <w:p w14:paraId="73C43A01">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82" w:type="dxa"/>
                  <w:vAlign w:val="center"/>
                </w:tcPr>
                <w:p w14:paraId="263A6A6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2174" w:type="dxa"/>
                  <w:vAlign w:val="center"/>
                </w:tcPr>
                <w:p w14:paraId="3BA77EF7">
                  <w:pPr>
                    <w:keepNext w:val="0"/>
                    <w:keepLines w:val="0"/>
                    <w:pageBreakBefore w:val="0"/>
                    <w:kinsoku/>
                    <w:wordWrap/>
                    <w:overflowPunct/>
                    <w:topLinePunct w:val="0"/>
                    <w:autoSpaceDE w:val="0"/>
                    <w:autoSpaceDN w:val="0"/>
                    <w:bidi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骨科</w:t>
                  </w:r>
                </w:p>
              </w:tc>
            </w:tr>
          </w:tbl>
          <w:p w14:paraId="067F1C6A">
            <w:pPr>
              <w:spacing w:line="360" w:lineRule="auto"/>
              <w:ind w:firstLine="420" w:firstLineChars="200"/>
              <w:rPr>
                <w:rFonts w:hint="default"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kern w:val="0"/>
                <w:sz w:val="21"/>
                <w:szCs w:val="21"/>
                <w:highlight w:val="none"/>
                <w:lang w:val="en-US" w:eastAsia="zh-CN" w:bidi="ar-SA"/>
              </w:rPr>
              <w:t>注：上述设备型号均需根据实际采购情况决定。</w:t>
            </w:r>
          </w:p>
          <w:p w14:paraId="00262049">
            <w:pPr>
              <w:spacing w:line="360" w:lineRule="auto"/>
              <w:ind w:firstLine="482" w:firstLineChars="200"/>
              <w:rPr>
                <w:rFonts w:hint="eastAsia" w:eastAsia="仿宋" w:cs="Times New Roman"/>
                <w:b/>
                <w:bCs/>
                <w:color w:val="auto"/>
                <w:kern w:val="2"/>
                <w:sz w:val="24"/>
                <w:szCs w:val="24"/>
                <w:highlight w:val="none"/>
                <w:lang w:val="en-US" w:eastAsia="zh-CN" w:bidi="ar-SA"/>
              </w:rPr>
            </w:pPr>
            <w:r>
              <w:rPr>
                <w:rFonts w:hint="eastAsia" w:eastAsia="仿宋" w:cs="Times New Roman"/>
                <w:b/>
                <w:bCs/>
                <w:color w:val="auto"/>
                <w:kern w:val="2"/>
                <w:sz w:val="24"/>
                <w:szCs w:val="24"/>
                <w:highlight w:val="none"/>
                <w:lang w:val="en-US" w:eastAsia="zh-CN" w:bidi="ar-SA"/>
              </w:rPr>
              <w:t>8</w:t>
            </w:r>
            <w:r>
              <w:rPr>
                <w:rFonts w:hint="default" w:eastAsia="仿宋" w:cs="Times New Roman"/>
                <w:b/>
                <w:bCs/>
                <w:color w:val="auto"/>
                <w:kern w:val="2"/>
                <w:sz w:val="24"/>
                <w:szCs w:val="24"/>
                <w:highlight w:val="none"/>
                <w:lang w:val="en-US" w:eastAsia="zh-CN" w:bidi="ar-SA"/>
              </w:rPr>
              <w:t>、</w:t>
            </w:r>
            <w:r>
              <w:rPr>
                <w:rFonts w:hint="eastAsia" w:eastAsia="仿宋" w:cs="Times New Roman"/>
                <w:b/>
                <w:bCs/>
                <w:color w:val="auto"/>
                <w:kern w:val="2"/>
                <w:sz w:val="24"/>
                <w:szCs w:val="24"/>
                <w:highlight w:val="none"/>
                <w:lang w:val="en-US" w:eastAsia="zh-CN" w:bidi="ar-SA"/>
              </w:rPr>
              <w:t>工程组成</w:t>
            </w:r>
          </w:p>
          <w:p w14:paraId="314704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kern w:val="0"/>
                <w:sz w:val="22"/>
                <w:szCs w:val="22"/>
                <w:highlight w:val="none"/>
                <w:lang w:val="en-US" w:eastAsia="zh-CN"/>
              </w:rPr>
            </w:pPr>
            <w:r>
              <w:rPr>
                <w:rFonts w:hint="default" w:ascii="Times New Roman" w:hAnsi="Times New Roman" w:eastAsia="仿宋" w:cs="Times New Roman"/>
                <w:b/>
                <w:bCs/>
                <w:color w:val="auto"/>
                <w:kern w:val="0"/>
                <w:sz w:val="22"/>
                <w:szCs w:val="22"/>
                <w:highlight w:val="none"/>
                <w:lang w:val="en-US" w:eastAsia="zh-CN"/>
              </w:rPr>
              <w:t>表2-</w:t>
            </w:r>
            <w:r>
              <w:rPr>
                <w:rFonts w:hint="eastAsia" w:ascii="Times New Roman" w:hAnsi="Times New Roman" w:eastAsia="仿宋" w:cs="Times New Roman"/>
                <w:b/>
                <w:bCs/>
                <w:color w:val="auto"/>
                <w:kern w:val="0"/>
                <w:sz w:val="22"/>
                <w:szCs w:val="22"/>
                <w:highlight w:val="none"/>
                <w:lang w:val="en-US" w:eastAsia="zh-CN"/>
              </w:rPr>
              <w:t>7</w:t>
            </w:r>
            <w:r>
              <w:rPr>
                <w:rFonts w:hint="default" w:ascii="Times New Roman" w:hAnsi="Times New Roman" w:eastAsia="仿宋" w:cs="Times New Roman"/>
                <w:b/>
                <w:bCs/>
                <w:color w:val="auto"/>
                <w:kern w:val="0"/>
                <w:sz w:val="22"/>
                <w:szCs w:val="22"/>
                <w:highlight w:val="none"/>
                <w:lang w:val="en-US" w:eastAsia="zh-CN"/>
              </w:rPr>
              <w:t xml:space="preserve"> </w:t>
            </w:r>
            <w:r>
              <w:rPr>
                <w:rFonts w:hint="eastAsia" w:ascii="Times New Roman" w:hAnsi="Times New Roman" w:eastAsia="仿宋" w:cs="Times New Roman"/>
                <w:b/>
                <w:bCs/>
                <w:color w:val="auto"/>
                <w:kern w:val="0"/>
                <w:sz w:val="22"/>
                <w:szCs w:val="22"/>
                <w:highlight w:val="none"/>
                <w:lang w:val="en-US" w:eastAsia="zh-CN"/>
              </w:rPr>
              <w:t>本项目</w:t>
            </w:r>
            <w:r>
              <w:rPr>
                <w:rFonts w:hint="default" w:ascii="Times New Roman" w:hAnsi="Times New Roman" w:eastAsia="仿宋" w:cs="Times New Roman"/>
                <w:b/>
                <w:bCs/>
                <w:color w:val="auto"/>
                <w:kern w:val="0"/>
                <w:sz w:val="22"/>
                <w:szCs w:val="22"/>
                <w:highlight w:val="none"/>
                <w:lang w:val="en-US" w:eastAsia="zh-CN"/>
              </w:rPr>
              <w:t>工程组成一览表</w:t>
            </w:r>
          </w:p>
          <w:tbl>
            <w:tblPr>
              <w:tblStyle w:val="31"/>
              <w:tblW w:w="84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675"/>
              <w:gridCol w:w="5528"/>
              <w:gridCol w:w="29"/>
            </w:tblGrid>
            <w:tr w14:paraId="7CCD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7" w:type="pct"/>
                  <w:vAlign w:val="center"/>
                </w:tcPr>
                <w:p w14:paraId="6EC4F0D2">
                  <w:pPr>
                    <w:pStyle w:val="109"/>
                    <w:keepNext w:val="0"/>
                    <w:keepLines w:val="0"/>
                    <w:pageBreakBefore w:val="0"/>
                    <w:kinsoku/>
                    <w:wordWrap/>
                    <w:overflowPunct/>
                    <w:topLinePunct w:val="0"/>
                    <w:bidi w:val="0"/>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类别</w:t>
                  </w:r>
                </w:p>
              </w:tc>
              <w:tc>
                <w:tcPr>
                  <w:tcW w:w="996" w:type="pct"/>
                  <w:vAlign w:val="center"/>
                </w:tcPr>
                <w:p w14:paraId="20E1F002">
                  <w:pPr>
                    <w:pStyle w:val="109"/>
                    <w:keepNext w:val="0"/>
                    <w:keepLines w:val="0"/>
                    <w:pageBreakBefore w:val="0"/>
                    <w:kinsoku/>
                    <w:wordWrap/>
                    <w:overflowPunct/>
                    <w:topLinePunct w:val="0"/>
                    <w:bidi w:val="0"/>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建设名称</w:t>
                  </w:r>
                </w:p>
              </w:tc>
              <w:tc>
                <w:tcPr>
                  <w:tcW w:w="3305" w:type="pct"/>
                  <w:gridSpan w:val="2"/>
                  <w:vAlign w:val="center"/>
                </w:tcPr>
                <w:p w14:paraId="6DF23900">
                  <w:pPr>
                    <w:pStyle w:val="109"/>
                    <w:keepNext w:val="0"/>
                    <w:keepLines w:val="0"/>
                    <w:pageBreakBefore w:val="0"/>
                    <w:kinsoku/>
                    <w:wordWrap/>
                    <w:overflowPunct/>
                    <w:topLinePunct w:val="0"/>
                    <w:bidi w:val="0"/>
                    <w:textAlignment w:val="auto"/>
                    <w:rPr>
                      <w:rFonts w:hint="default" w:ascii="Times New Roman" w:hAnsi="Times New Roman" w:eastAsia="仿宋" w:cs="Times New Roman"/>
                      <w:b/>
                      <w:bCs/>
                      <w:color w:val="auto"/>
                      <w:kern w:val="0"/>
                      <w:sz w:val="21"/>
                      <w:szCs w:val="21"/>
                      <w:highlight w:val="none"/>
                    </w:rPr>
                  </w:pPr>
                  <w:r>
                    <w:rPr>
                      <w:rFonts w:hint="eastAsia" w:eastAsia="仿宋" w:cs="Times New Roman"/>
                      <w:b/>
                      <w:bCs/>
                      <w:color w:val="auto"/>
                      <w:kern w:val="0"/>
                      <w:sz w:val="21"/>
                      <w:szCs w:val="21"/>
                      <w:highlight w:val="none"/>
                      <w:lang w:val="en-US" w:eastAsia="zh-CN"/>
                    </w:rPr>
                    <w:t>建设内容</w:t>
                  </w:r>
                </w:p>
              </w:tc>
            </w:tr>
            <w:tr w14:paraId="574A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7" w:type="pct"/>
                  <w:vMerge w:val="restart"/>
                  <w:vAlign w:val="center"/>
                </w:tcPr>
                <w:p w14:paraId="3E0C63B7">
                  <w:pPr>
                    <w:keepNext w:val="0"/>
                    <w:keepLines w:val="0"/>
                    <w:pageBreakBefore w:val="0"/>
                    <w:kinsoku/>
                    <w:wordWrap/>
                    <w:overflowPunct/>
                    <w:topLinePunct w:val="0"/>
                    <w:bidi w:val="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主体工程</w:t>
                  </w:r>
                </w:p>
              </w:tc>
              <w:tc>
                <w:tcPr>
                  <w:tcW w:w="996" w:type="pct"/>
                  <w:vAlign w:val="center"/>
                </w:tcPr>
                <w:p w14:paraId="28243CF9">
                  <w:pPr>
                    <w:pStyle w:val="109"/>
                    <w:keepNext w:val="0"/>
                    <w:keepLines w:val="0"/>
                    <w:pageBreakBefore w:val="0"/>
                    <w:kinsoku/>
                    <w:wordWrap/>
                    <w:overflowPunct/>
                    <w:topLinePunct w:val="0"/>
                    <w:bidi w:val="0"/>
                    <w:textAlignment w:val="auto"/>
                    <w:rPr>
                      <w:rFonts w:hint="default" w:ascii="Times New Roman" w:hAnsi="Times New Roman" w:eastAsia="仿宋" w:cs="Times New Roman"/>
                      <w:color w:val="auto"/>
                      <w:kern w:val="0"/>
                      <w:sz w:val="21"/>
                      <w:szCs w:val="21"/>
                      <w:highlight w:val="none"/>
                      <w:lang w:val="en-US"/>
                    </w:rPr>
                  </w:pPr>
                  <w:r>
                    <w:rPr>
                      <w:rFonts w:hint="eastAsia" w:eastAsia="仿宋" w:cs="Times New Roman"/>
                      <w:color w:val="auto"/>
                      <w:kern w:val="0"/>
                      <w:sz w:val="21"/>
                      <w:szCs w:val="21"/>
                      <w:highlight w:val="none"/>
                      <w:lang w:val="en-US" w:eastAsia="zh-CN"/>
                    </w:rPr>
                    <w:t>新建急诊急救中心</w:t>
                  </w:r>
                </w:p>
              </w:tc>
              <w:tc>
                <w:tcPr>
                  <w:tcW w:w="3305" w:type="pct"/>
                  <w:gridSpan w:val="2"/>
                  <w:vAlign w:val="center"/>
                </w:tcPr>
                <w:p w14:paraId="2494D1CE">
                  <w:pPr>
                    <w:pStyle w:val="109"/>
                    <w:keepNext w:val="0"/>
                    <w:keepLines w:val="0"/>
                    <w:pageBreakBefore w:val="0"/>
                    <w:kinsoku/>
                    <w:wordWrap/>
                    <w:overflowPunct/>
                    <w:topLinePunct w:val="0"/>
                    <w:bidi w:val="0"/>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包含：急诊急救分诊区、诊疗区、抢救区、检查区、手术区、会诊区、监护病房、急诊病区。</w:t>
                  </w:r>
                </w:p>
              </w:tc>
            </w:tr>
            <w:tr w14:paraId="7A11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7" w:type="pct"/>
                  <w:vMerge w:val="continue"/>
                  <w:vAlign w:val="center"/>
                </w:tcPr>
                <w:p w14:paraId="3054D2D8">
                  <w:pPr>
                    <w:pStyle w:val="109"/>
                    <w:keepNext w:val="0"/>
                    <w:keepLines w:val="0"/>
                    <w:pageBreakBefore w:val="0"/>
                    <w:kinsoku/>
                    <w:wordWrap/>
                    <w:overflowPunct/>
                    <w:topLinePunct w:val="0"/>
                    <w:bidi w:val="0"/>
                    <w:textAlignment w:val="auto"/>
                    <w:rPr>
                      <w:rFonts w:hint="default" w:ascii="Times New Roman" w:hAnsi="Times New Roman" w:eastAsia="仿宋" w:cs="Times New Roman"/>
                      <w:color w:val="auto"/>
                      <w:kern w:val="0"/>
                      <w:sz w:val="21"/>
                      <w:szCs w:val="21"/>
                      <w:highlight w:val="none"/>
                    </w:rPr>
                  </w:pPr>
                </w:p>
              </w:tc>
              <w:tc>
                <w:tcPr>
                  <w:tcW w:w="996" w:type="pct"/>
                  <w:vAlign w:val="center"/>
                </w:tcPr>
                <w:p w14:paraId="7958E9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新建骨科、创伤中心</w:t>
                  </w:r>
                </w:p>
              </w:tc>
              <w:tc>
                <w:tcPr>
                  <w:tcW w:w="3305" w:type="pct"/>
                  <w:gridSpan w:val="2"/>
                  <w:vAlign w:val="center"/>
                </w:tcPr>
                <w:p w14:paraId="39F9EBB5">
                  <w:pPr>
                    <w:keepNext w:val="0"/>
                    <w:keepLines w:val="0"/>
                    <w:pageBreakBefore w:val="0"/>
                    <w:kinsoku/>
                    <w:wordWrap/>
                    <w:overflowPunct/>
                    <w:topLinePunct w:val="0"/>
                    <w:bidi w:val="0"/>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包含：骨科、胸外科、脑外科、腹部外科、急诊重症科。</w:t>
                  </w:r>
                </w:p>
              </w:tc>
            </w:tr>
            <w:tr w14:paraId="6EED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7" w:type="pct"/>
                  <w:vMerge w:val="continue"/>
                  <w:vAlign w:val="center"/>
                </w:tcPr>
                <w:p w14:paraId="444A5A17">
                  <w:pPr>
                    <w:pStyle w:val="109"/>
                    <w:keepNext w:val="0"/>
                    <w:keepLines w:val="0"/>
                    <w:pageBreakBefore w:val="0"/>
                    <w:kinsoku/>
                    <w:wordWrap/>
                    <w:overflowPunct/>
                    <w:topLinePunct w:val="0"/>
                    <w:bidi w:val="0"/>
                    <w:textAlignment w:val="auto"/>
                    <w:rPr>
                      <w:rFonts w:hint="default" w:ascii="Times New Roman" w:hAnsi="Times New Roman" w:eastAsia="仿宋" w:cs="Times New Roman"/>
                      <w:color w:val="auto"/>
                      <w:kern w:val="0"/>
                      <w:sz w:val="21"/>
                      <w:szCs w:val="21"/>
                      <w:highlight w:val="none"/>
                    </w:rPr>
                  </w:pPr>
                </w:p>
              </w:tc>
              <w:tc>
                <w:tcPr>
                  <w:tcW w:w="996" w:type="pct"/>
                  <w:vAlign w:val="center"/>
                </w:tcPr>
                <w:p w14:paraId="391270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新建120调度指挥及院前急救中心</w:t>
                  </w:r>
                </w:p>
              </w:tc>
              <w:tc>
                <w:tcPr>
                  <w:tcW w:w="3305" w:type="pct"/>
                  <w:gridSpan w:val="2"/>
                  <w:vAlign w:val="center"/>
                </w:tcPr>
                <w:p w14:paraId="2EDBB395">
                  <w:pPr>
                    <w:keepNext w:val="0"/>
                    <w:keepLines w:val="0"/>
                    <w:pageBreakBefore w:val="0"/>
                    <w:kinsoku/>
                    <w:wordWrap/>
                    <w:overflowPunct/>
                    <w:topLinePunct w:val="0"/>
                    <w:bidi w:val="0"/>
                    <w:jc w:val="center"/>
                    <w:textAlignment w:val="auto"/>
                    <w:rPr>
                      <w:rFonts w:hint="eastAsia" w:ascii="Times New Roman" w:hAnsi="Times New Roman" w:eastAsia="仿宋" w:cs="Times New Roman"/>
                      <w:color w:val="auto"/>
                      <w:kern w:val="0"/>
                      <w:sz w:val="21"/>
                      <w:szCs w:val="21"/>
                      <w:highlight w:val="none"/>
                      <w:lang w:eastAsia="zh-CN"/>
                    </w:rPr>
                  </w:pPr>
                  <w:r>
                    <w:rPr>
                      <w:rFonts w:hint="eastAsia" w:eastAsia="仿宋" w:cs="Times New Roman"/>
                      <w:color w:val="auto"/>
                      <w:kern w:val="0"/>
                      <w:sz w:val="21"/>
                      <w:szCs w:val="21"/>
                      <w:highlight w:val="none"/>
                      <w:lang w:val="en-US" w:eastAsia="zh-CN"/>
                    </w:rPr>
                    <w:t>包含：</w:t>
                  </w:r>
                  <w:r>
                    <w:rPr>
                      <w:rFonts w:hint="default" w:ascii="Times New Roman" w:hAnsi="Times New Roman" w:eastAsia="仿宋" w:cs="Times New Roman"/>
                      <w:color w:val="auto"/>
                      <w:kern w:val="0"/>
                      <w:sz w:val="21"/>
                      <w:szCs w:val="21"/>
                      <w:highlight w:val="none"/>
                    </w:rPr>
                    <w:t>调度室、突发公共卫生事件讨论室、救护车停放中心、设备设施放置中心、急救中心配套人员工作室</w:t>
                  </w:r>
                  <w:r>
                    <w:rPr>
                      <w:rFonts w:hint="eastAsia"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调度员、驾驶员、担架员、医护人员等</w:t>
                  </w:r>
                  <w:r>
                    <w:rPr>
                      <w:rFonts w:hint="eastAsia"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，中心机房等</w:t>
                  </w:r>
                  <w:r>
                    <w:rPr>
                      <w:rFonts w:hint="eastAsia" w:eastAsia="仿宋" w:cs="Times New Roman"/>
                      <w:color w:val="auto"/>
                      <w:kern w:val="0"/>
                      <w:sz w:val="21"/>
                      <w:szCs w:val="21"/>
                      <w:highlight w:val="none"/>
                      <w:lang w:eastAsia="zh-CN"/>
                    </w:rPr>
                    <w:t>。</w:t>
                  </w:r>
                </w:p>
              </w:tc>
            </w:tr>
            <w:tr w14:paraId="2938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7" w:type="pct"/>
                  <w:vMerge w:val="continue"/>
                  <w:vAlign w:val="center"/>
                </w:tcPr>
                <w:p w14:paraId="0241EAF2">
                  <w:pPr>
                    <w:pStyle w:val="109"/>
                    <w:keepNext w:val="0"/>
                    <w:keepLines w:val="0"/>
                    <w:pageBreakBefore w:val="0"/>
                    <w:kinsoku/>
                    <w:wordWrap/>
                    <w:overflowPunct/>
                    <w:topLinePunct w:val="0"/>
                    <w:bidi w:val="0"/>
                    <w:textAlignment w:val="auto"/>
                    <w:rPr>
                      <w:rFonts w:hint="default" w:ascii="Times New Roman" w:hAnsi="Times New Roman" w:eastAsia="仿宋" w:cs="Times New Roman"/>
                      <w:color w:val="auto"/>
                      <w:kern w:val="0"/>
                      <w:sz w:val="21"/>
                      <w:szCs w:val="21"/>
                      <w:highlight w:val="none"/>
                    </w:rPr>
                  </w:pPr>
                </w:p>
              </w:tc>
              <w:tc>
                <w:tcPr>
                  <w:tcW w:w="996" w:type="pct"/>
                  <w:vAlign w:val="center"/>
                </w:tcPr>
                <w:p w14:paraId="40A536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新建室外附属</w:t>
                  </w:r>
                </w:p>
              </w:tc>
              <w:tc>
                <w:tcPr>
                  <w:tcW w:w="3305" w:type="pct"/>
                  <w:gridSpan w:val="2"/>
                  <w:vAlign w:val="center"/>
                </w:tcPr>
                <w:p w14:paraId="7C940B9B">
                  <w:pPr>
                    <w:keepNext w:val="0"/>
                    <w:keepLines w:val="0"/>
                    <w:pageBreakBefore w:val="0"/>
                    <w:kinsoku/>
                    <w:wordWrap/>
                    <w:overflowPunct/>
                    <w:topLinePunct w:val="0"/>
                    <w:bidi w:val="0"/>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包含：道路场地改造（景观、铺装）、市政综合管线、变电及变压装置等。</w:t>
                  </w:r>
                </w:p>
              </w:tc>
            </w:tr>
            <w:tr w14:paraId="422F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7" w:type="pct"/>
                  <w:vMerge w:val="continue"/>
                  <w:vAlign w:val="center"/>
                </w:tcPr>
                <w:p w14:paraId="3F118F73">
                  <w:pPr>
                    <w:pStyle w:val="109"/>
                    <w:keepNext w:val="0"/>
                    <w:keepLines w:val="0"/>
                    <w:pageBreakBefore w:val="0"/>
                    <w:kinsoku/>
                    <w:wordWrap/>
                    <w:overflowPunct/>
                    <w:topLinePunct w:val="0"/>
                    <w:bidi w:val="0"/>
                    <w:textAlignment w:val="auto"/>
                    <w:rPr>
                      <w:rFonts w:hint="default" w:ascii="Times New Roman" w:hAnsi="Times New Roman" w:eastAsia="仿宋" w:cs="Times New Roman"/>
                      <w:color w:val="auto"/>
                      <w:kern w:val="0"/>
                      <w:sz w:val="21"/>
                      <w:szCs w:val="21"/>
                      <w:highlight w:val="none"/>
                    </w:rPr>
                  </w:pPr>
                </w:p>
              </w:tc>
              <w:tc>
                <w:tcPr>
                  <w:tcW w:w="996" w:type="pct"/>
                  <w:vAlign w:val="center"/>
                </w:tcPr>
                <w:p w14:paraId="726AA3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新建医疗专项及医疗设备</w:t>
                  </w:r>
                </w:p>
              </w:tc>
              <w:tc>
                <w:tcPr>
                  <w:tcW w:w="3305" w:type="pct"/>
                  <w:gridSpan w:val="2"/>
                  <w:vAlign w:val="center"/>
                </w:tcPr>
                <w:p w14:paraId="53F8DDE4">
                  <w:pPr>
                    <w:keepNext w:val="0"/>
                    <w:keepLines w:val="0"/>
                    <w:pageBreakBefore w:val="0"/>
                    <w:kinsoku/>
                    <w:wordWrap/>
                    <w:overflowPunct/>
                    <w:topLinePunct w:val="0"/>
                    <w:bidi w:val="0"/>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包含：专业手术室净化装修、医疗物流系统（物流机器人）、医用气体系统、净化空调系统、放射防护及磁屏蔽系统。</w:t>
                  </w:r>
                </w:p>
              </w:tc>
            </w:tr>
            <w:tr w14:paraId="75B2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7" w:type="pct"/>
                  <w:vMerge w:val="restart"/>
                  <w:vAlign w:val="center"/>
                </w:tcPr>
                <w:p w14:paraId="638006B0">
                  <w:pPr>
                    <w:pStyle w:val="109"/>
                    <w:keepNext w:val="0"/>
                    <w:keepLines w:val="0"/>
                    <w:pageBreakBefore w:val="0"/>
                    <w:kinsoku/>
                    <w:wordWrap/>
                    <w:overflowPunct/>
                    <w:topLinePunct w:val="0"/>
                    <w:bidi w:val="0"/>
                    <w:textAlignment w:val="auto"/>
                    <w:rPr>
                      <w:rFonts w:hint="default" w:ascii="Times New Roman" w:hAnsi="Times New Roman" w:eastAsia="仿宋" w:cs="Times New Roman"/>
                      <w:color w:val="FF0000"/>
                      <w:kern w:val="0"/>
                      <w:sz w:val="21"/>
                      <w:szCs w:val="21"/>
                      <w:highlight w:val="none"/>
                    </w:rPr>
                  </w:pPr>
                  <w:r>
                    <w:rPr>
                      <w:rFonts w:hint="default" w:ascii="Times New Roman" w:hAnsi="Times New Roman" w:eastAsia="仿宋" w:cs="Times New Roman"/>
                      <w:color w:val="auto"/>
                      <w:kern w:val="0"/>
                      <w:sz w:val="21"/>
                      <w:szCs w:val="21"/>
                      <w:highlight w:val="none"/>
                    </w:rPr>
                    <w:t>公用工程</w:t>
                  </w:r>
                </w:p>
              </w:tc>
              <w:tc>
                <w:tcPr>
                  <w:tcW w:w="996" w:type="pct"/>
                  <w:vAlign w:val="center"/>
                </w:tcPr>
                <w:p w14:paraId="5FCD9A35">
                  <w:pPr>
                    <w:pStyle w:val="109"/>
                    <w:keepNext w:val="0"/>
                    <w:keepLines w:val="0"/>
                    <w:pageBreakBefore w:val="0"/>
                    <w:kinsoku/>
                    <w:wordWrap/>
                    <w:overflowPunct/>
                    <w:topLinePunct w:val="0"/>
                    <w:bidi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给水</w:t>
                  </w:r>
                </w:p>
              </w:tc>
              <w:tc>
                <w:tcPr>
                  <w:tcW w:w="3305" w:type="pct"/>
                  <w:gridSpan w:val="2"/>
                  <w:vAlign w:val="center"/>
                </w:tcPr>
                <w:p w14:paraId="733A69C7">
                  <w:pPr>
                    <w:pStyle w:val="109"/>
                    <w:keepNext w:val="0"/>
                    <w:keepLines w:val="0"/>
                    <w:pageBreakBefore w:val="0"/>
                    <w:kinsoku/>
                    <w:wordWrap/>
                    <w:overflowPunct/>
                    <w:topLinePunct w:val="0"/>
                    <w:bidi w:val="0"/>
                    <w:textAlignment w:val="auto"/>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本项目用水量</w:t>
                  </w:r>
                  <w:r>
                    <w:rPr>
                      <w:rFonts w:hint="eastAsia" w:eastAsia="仿宋" w:cs="Times New Roman"/>
                      <w:color w:val="auto"/>
                      <w:kern w:val="0"/>
                      <w:sz w:val="21"/>
                      <w:szCs w:val="21"/>
                      <w:highlight w:val="none"/>
                      <w:lang w:val="en-US" w:eastAsia="zh-CN"/>
                    </w:rPr>
                    <w:t>9.2万</w:t>
                  </w:r>
                  <w:r>
                    <w:rPr>
                      <w:rFonts w:hint="default" w:ascii="Times New Roman" w:hAnsi="Times New Roman" w:eastAsia="仿宋" w:cs="Times New Roman"/>
                      <w:color w:val="auto"/>
                      <w:kern w:val="0"/>
                      <w:sz w:val="21"/>
                      <w:szCs w:val="21"/>
                      <w:highlight w:val="none"/>
                    </w:rPr>
                    <w:t>m</w:t>
                  </w:r>
                  <w:r>
                    <w:rPr>
                      <w:rFonts w:hint="default" w:ascii="Times New Roman" w:hAnsi="Times New Roman" w:eastAsia="仿宋" w:cs="Times New Roman"/>
                      <w:color w:val="auto"/>
                      <w:kern w:val="0"/>
                      <w:sz w:val="21"/>
                      <w:szCs w:val="21"/>
                      <w:highlight w:val="none"/>
                      <w:vertAlign w:val="superscript"/>
                    </w:rPr>
                    <w:t>3</w:t>
                  </w:r>
                  <w:r>
                    <w:rPr>
                      <w:rFonts w:hint="default" w:ascii="Times New Roman" w:hAnsi="Times New Roman" w:eastAsia="仿宋" w:cs="Times New Roman"/>
                      <w:color w:val="auto"/>
                      <w:kern w:val="0"/>
                      <w:sz w:val="21"/>
                      <w:szCs w:val="21"/>
                      <w:highlight w:val="none"/>
                    </w:rPr>
                    <w:t>/a，由所在区域市政管网提供</w:t>
                  </w:r>
                  <w:r>
                    <w:rPr>
                      <w:rFonts w:hint="eastAsia" w:eastAsia="仿宋" w:cs="Times New Roman"/>
                      <w:color w:val="auto"/>
                      <w:kern w:val="0"/>
                      <w:sz w:val="21"/>
                      <w:szCs w:val="21"/>
                      <w:highlight w:val="none"/>
                      <w:lang w:eastAsia="zh-CN"/>
                    </w:rPr>
                    <w:t>。</w:t>
                  </w:r>
                </w:p>
              </w:tc>
            </w:tr>
            <w:tr w14:paraId="3085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7" w:type="pct"/>
                  <w:vMerge w:val="continue"/>
                  <w:vAlign w:val="center"/>
                </w:tcPr>
                <w:p w14:paraId="536CAFD9">
                  <w:pPr>
                    <w:keepNext w:val="0"/>
                    <w:keepLines w:val="0"/>
                    <w:pageBreakBefore w:val="0"/>
                    <w:widowControl/>
                    <w:kinsoku/>
                    <w:wordWrap/>
                    <w:overflowPunct/>
                    <w:topLinePunct w:val="0"/>
                    <w:bidi w:val="0"/>
                    <w:jc w:val="center"/>
                    <w:textAlignment w:val="auto"/>
                    <w:rPr>
                      <w:rFonts w:hint="default" w:ascii="Times New Roman" w:hAnsi="Times New Roman" w:eastAsia="仿宋" w:cs="Times New Roman"/>
                      <w:color w:val="FF0000"/>
                      <w:kern w:val="0"/>
                      <w:sz w:val="21"/>
                      <w:szCs w:val="21"/>
                      <w:highlight w:val="none"/>
                    </w:rPr>
                  </w:pPr>
                </w:p>
              </w:tc>
              <w:tc>
                <w:tcPr>
                  <w:tcW w:w="996" w:type="pct"/>
                  <w:vAlign w:val="center"/>
                </w:tcPr>
                <w:p w14:paraId="394CE83C">
                  <w:pPr>
                    <w:pStyle w:val="109"/>
                    <w:keepNext w:val="0"/>
                    <w:keepLines w:val="0"/>
                    <w:pageBreakBefore w:val="0"/>
                    <w:kinsoku/>
                    <w:wordWrap/>
                    <w:overflowPunct/>
                    <w:topLinePunct w:val="0"/>
                    <w:bidi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排水</w:t>
                  </w:r>
                </w:p>
              </w:tc>
              <w:tc>
                <w:tcPr>
                  <w:tcW w:w="3305" w:type="pct"/>
                  <w:gridSpan w:val="2"/>
                  <w:vAlign w:val="center"/>
                </w:tcPr>
                <w:p w14:paraId="7DCFA4D9">
                  <w:pPr>
                    <w:pStyle w:val="109"/>
                    <w:keepNext w:val="0"/>
                    <w:keepLines w:val="0"/>
                    <w:pageBreakBefore w:val="0"/>
                    <w:kinsoku/>
                    <w:wordWrap/>
                    <w:overflowPunct/>
                    <w:topLinePunct w:val="0"/>
                    <w:bidi w:val="0"/>
                    <w:textAlignment w:val="auto"/>
                    <w:rPr>
                      <w:rFonts w:hint="eastAsia" w:ascii="Times New Roman" w:hAnsi="Times New Roman" w:eastAsia="仿宋" w:cs="Times New Roman"/>
                      <w:color w:val="auto"/>
                      <w:kern w:val="0"/>
                      <w:sz w:val="21"/>
                      <w:szCs w:val="21"/>
                      <w:highlight w:val="none"/>
                      <w:lang w:eastAsia="zh-CN"/>
                    </w:rPr>
                  </w:pPr>
                  <w:r>
                    <w:rPr>
                      <w:rFonts w:hint="eastAsia" w:eastAsia="仿宋" w:cs="Times New Roman"/>
                      <w:color w:val="auto"/>
                      <w:kern w:val="0"/>
                      <w:sz w:val="21"/>
                      <w:szCs w:val="21"/>
                      <w:highlight w:val="none"/>
                      <w:lang w:eastAsia="zh-CN"/>
                    </w:rPr>
                    <w:t>本项目病房及急诊废水排入院内污水处理站处理，生活废水经化粪池、食堂废水经隔油池预处理后排入院内污水处理站处理，均接管至金坛第一污水处理厂处理后排入丹金溧漕河。</w:t>
                  </w:r>
                </w:p>
              </w:tc>
            </w:tr>
            <w:tr w14:paraId="3435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7" w:type="pct"/>
                  <w:vMerge w:val="continue"/>
                  <w:vAlign w:val="center"/>
                </w:tcPr>
                <w:p w14:paraId="5C847127">
                  <w:pPr>
                    <w:keepNext w:val="0"/>
                    <w:keepLines w:val="0"/>
                    <w:pageBreakBefore w:val="0"/>
                    <w:widowControl/>
                    <w:kinsoku/>
                    <w:wordWrap/>
                    <w:overflowPunct/>
                    <w:topLinePunct w:val="0"/>
                    <w:bidi w:val="0"/>
                    <w:jc w:val="center"/>
                    <w:textAlignment w:val="auto"/>
                    <w:rPr>
                      <w:rFonts w:hint="default" w:ascii="Times New Roman" w:hAnsi="Times New Roman" w:eastAsia="仿宋" w:cs="Times New Roman"/>
                      <w:color w:val="FF0000"/>
                      <w:kern w:val="0"/>
                      <w:sz w:val="21"/>
                      <w:szCs w:val="21"/>
                      <w:highlight w:val="none"/>
                    </w:rPr>
                  </w:pPr>
                </w:p>
              </w:tc>
              <w:tc>
                <w:tcPr>
                  <w:tcW w:w="996" w:type="pct"/>
                  <w:vAlign w:val="center"/>
                </w:tcPr>
                <w:p w14:paraId="36C9CEDB">
                  <w:pPr>
                    <w:pStyle w:val="109"/>
                    <w:keepNext w:val="0"/>
                    <w:keepLines w:val="0"/>
                    <w:pageBreakBefore w:val="0"/>
                    <w:kinsoku/>
                    <w:wordWrap/>
                    <w:overflowPunct/>
                    <w:topLinePunct w:val="0"/>
                    <w:bidi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供电</w:t>
                  </w:r>
                </w:p>
              </w:tc>
              <w:tc>
                <w:tcPr>
                  <w:tcW w:w="3305" w:type="pct"/>
                  <w:gridSpan w:val="2"/>
                  <w:vAlign w:val="center"/>
                </w:tcPr>
                <w:p w14:paraId="1CE18673">
                  <w:pPr>
                    <w:pStyle w:val="109"/>
                    <w:keepNext w:val="0"/>
                    <w:keepLines w:val="0"/>
                    <w:pageBreakBefore w:val="0"/>
                    <w:kinsoku/>
                    <w:wordWrap/>
                    <w:overflowPunct/>
                    <w:topLinePunct w:val="0"/>
                    <w:bidi w:val="0"/>
                    <w:textAlignment w:val="auto"/>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本项目用电量</w:t>
                  </w:r>
                  <w:r>
                    <w:rPr>
                      <w:rFonts w:hint="eastAsia" w:eastAsia="仿宋" w:cs="Times New Roman"/>
                      <w:color w:val="auto"/>
                      <w:kern w:val="0"/>
                      <w:sz w:val="21"/>
                      <w:szCs w:val="21"/>
                      <w:highlight w:val="none"/>
                      <w:lang w:val="en-US" w:eastAsia="zh-CN"/>
                    </w:rPr>
                    <w:t>400</w:t>
                  </w:r>
                  <w:r>
                    <w:rPr>
                      <w:rFonts w:hint="default" w:ascii="Times New Roman" w:hAnsi="Times New Roman" w:eastAsia="仿宋" w:cs="Times New Roman"/>
                      <w:color w:val="auto"/>
                      <w:kern w:val="0"/>
                      <w:sz w:val="21"/>
                      <w:szCs w:val="21"/>
                      <w:highlight w:val="none"/>
                    </w:rPr>
                    <w:t>万kWh/a，由金坛区市政电网提供，合理配置配电室以满足项目日常需求</w:t>
                  </w:r>
                  <w:r>
                    <w:rPr>
                      <w:rFonts w:hint="eastAsia" w:eastAsia="仿宋" w:cs="Times New Roman"/>
                      <w:color w:val="auto"/>
                      <w:kern w:val="0"/>
                      <w:sz w:val="21"/>
                      <w:szCs w:val="21"/>
                      <w:highlight w:val="none"/>
                      <w:lang w:eastAsia="zh-CN"/>
                    </w:rPr>
                    <w:t>。</w:t>
                  </w:r>
                </w:p>
              </w:tc>
            </w:tr>
            <w:tr w14:paraId="4F8C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7" w:type="pct"/>
                  <w:vMerge w:val="continue"/>
                  <w:vAlign w:val="center"/>
                </w:tcPr>
                <w:p w14:paraId="0DD33326">
                  <w:pPr>
                    <w:keepNext w:val="0"/>
                    <w:keepLines w:val="0"/>
                    <w:pageBreakBefore w:val="0"/>
                    <w:widowControl/>
                    <w:kinsoku/>
                    <w:wordWrap/>
                    <w:overflowPunct/>
                    <w:topLinePunct w:val="0"/>
                    <w:bidi w:val="0"/>
                    <w:jc w:val="center"/>
                    <w:textAlignment w:val="auto"/>
                    <w:rPr>
                      <w:rFonts w:hint="default" w:ascii="Times New Roman" w:hAnsi="Times New Roman" w:eastAsia="仿宋" w:cs="Times New Roman"/>
                      <w:color w:val="FF0000"/>
                      <w:kern w:val="0"/>
                      <w:sz w:val="21"/>
                      <w:szCs w:val="21"/>
                      <w:highlight w:val="none"/>
                    </w:rPr>
                  </w:pPr>
                </w:p>
              </w:tc>
              <w:tc>
                <w:tcPr>
                  <w:tcW w:w="996" w:type="pct"/>
                  <w:vAlign w:val="center"/>
                </w:tcPr>
                <w:p w14:paraId="4A9D8C45">
                  <w:pPr>
                    <w:pStyle w:val="109"/>
                    <w:keepNext w:val="0"/>
                    <w:keepLines w:val="0"/>
                    <w:pageBreakBefore w:val="0"/>
                    <w:kinsoku/>
                    <w:wordWrap/>
                    <w:overflowPunct/>
                    <w:topLinePunct w:val="0"/>
                    <w:bidi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供气</w:t>
                  </w:r>
                </w:p>
              </w:tc>
              <w:tc>
                <w:tcPr>
                  <w:tcW w:w="3305" w:type="pct"/>
                  <w:gridSpan w:val="2"/>
                  <w:vAlign w:val="center"/>
                </w:tcPr>
                <w:p w14:paraId="5D41A236">
                  <w:pPr>
                    <w:pStyle w:val="109"/>
                    <w:keepNext w:val="0"/>
                    <w:keepLines w:val="0"/>
                    <w:pageBreakBefore w:val="0"/>
                    <w:kinsoku/>
                    <w:wordWrap/>
                    <w:overflowPunct/>
                    <w:topLinePunct w:val="0"/>
                    <w:bidi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Cs/>
                      <w:color w:val="auto"/>
                      <w:kern w:val="0"/>
                      <w:sz w:val="21"/>
                      <w:szCs w:val="21"/>
                      <w:highlight w:val="none"/>
                    </w:rPr>
                    <w:t>项目用气量</w:t>
                  </w:r>
                  <w:r>
                    <w:rPr>
                      <w:rFonts w:hint="eastAsia" w:eastAsia="仿宋" w:cs="Times New Roman"/>
                      <w:bCs/>
                      <w:color w:val="auto"/>
                      <w:kern w:val="0"/>
                      <w:sz w:val="21"/>
                      <w:szCs w:val="21"/>
                      <w:highlight w:val="none"/>
                      <w:lang w:val="en-US" w:eastAsia="zh-CN"/>
                    </w:rPr>
                    <w:t>0.625</w:t>
                  </w:r>
                  <w:r>
                    <w:rPr>
                      <w:rFonts w:hint="default" w:ascii="Times New Roman" w:hAnsi="Times New Roman" w:eastAsia="仿宋" w:cs="Times New Roman"/>
                      <w:bCs/>
                      <w:color w:val="auto"/>
                      <w:sz w:val="21"/>
                      <w:szCs w:val="21"/>
                      <w:highlight w:val="none"/>
                    </w:rPr>
                    <w:t>万</w:t>
                  </w:r>
                  <w:r>
                    <w:rPr>
                      <w:rFonts w:hint="default" w:ascii="Times New Roman" w:hAnsi="Times New Roman" w:eastAsia="仿宋" w:cs="Times New Roman"/>
                      <w:bCs/>
                      <w:color w:val="auto"/>
                      <w:kern w:val="0"/>
                      <w:sz w:val="21"/>
                      <w:szCs w:val="21"/>
                      <w:highlight w:val="none"/>
                    </w:rPr>
                    <w:t>立方米/年，由市政</w:t>
                  </w:r>
                  <w:r>
                    <w:rPr>
                      <w:rFonts w:hint="eastAsia" w:eastAsia="仿宋" w:cs="Times New Roman"/>
                      <w:bCs/>
                      <w:color w:val="auto"/>
                      <w:kern w:val="0"/>
                      <w:sz w:val="21"/>
                      <w:szCs w:val="21"/>
                      <w:highlight w:val="none"/>
                      <w:lang w:eastAsia="zh-CN"/>
                    </w:rPr>
                    <w:t>天然气</w:t>
                  </w:r>
                  <w:r>
                    <w:rPr>
                      <w:rFonts w:hint="default" w:ascii="Times New Roman" w:hAnsi="Times New Roman" w:eastAsia="仿宋" w:cs="Times New Roman"/>
                      <w:bCs/>
                      <w:color w:val="auto"/>
                      <w:kern w:val="0"/>
                      <w:sz w:val="21"/>
                      <w:szCs w:val="21"/>
                      <w:highlight w:val="none"/>
                    </w:rPr>
                    <w:t>公司供给。</w:t>
                  </w:r>
                </w:p>
              </w:tc>
            </w:tr>
            <w:tr w14:paraId="024F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23" w:hRule="atLeast"/>
              </w:trPr>
              <w:tc>
                <w:tcPr>
                  <w:tcW w:w="697" w:type="pct"/>
                  <w:vMerge w:val="restart"/>
                  <w:vAlign w:val="center"/>
                </w:tcPr>
                <w:p w14:paraId="431DE17B">
                  <w:pPr>
                    <w:pStyle w:val="109"/>
                    <w:keepNext w:val="0"/>
                    <w:keepLines w:val="0"/>
                    <w:pageBreakBefore w:val="0"/>
                    <w:kinsoku/>
                    <w:wordWrap/>
                    <w:overflowPunct/>
                    <w:topLinePunct w:val="0"/>
                    <w:bidi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环保工程</w:t>
                  </w:r>
                </w:p>
              </w:tc>
              <w:tc>
                <w:tcPr>
                  <w:tcW w:w="996" w:type="pct"/>
                  <w:vAlign w:val="center"/>
                </w:tcPr>
                <w:p w14:paraId="09509996">
                  <w:pPr>
                    <w:pStyle w:val="109"/>
                    <w:keepNext w:val="0"/>
                    <w:keepLines w:val="0"/>
                    <w:pageBreakBefore w:val="0"/>
                    <w:kinsoku/>
                    <w:wordWrap/>
                    <w:overflowPunct/>
                    <w:topLinePunct w:val="0"/>
                    <w:bidi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废水治理</w:t>
                  </w:r>
                </w:p>
              </w:tc>
              <w:tc>
                <w:tcPr>
                  <w:tcW w:w="3288" w:type="pct"/>
                  <w:vAlign w:val="center"/>
                </w:tcPr>
                <w:p w14:paraId="7E14DD0A">
                  <w:pPr>
                    <w:pStyle w:val="109"/>
                    <w:keepNext w:val="0"/>
                    <w:keepLines w:val="0"/>
                    <w:pageBreakBefore w:val="0"/>
                    <w:kinsoku/>
                    <w:wordWrap/>
                    <w:overflowPunct/>
                    <w:topLinePunct w:val="0"/>
                    <w:bidi w:val="0"/>
                    <w:textAlignment w:val="auto"/>
                    <w:rPr>
                      <w:rFonts w:hint="eastAsia" w:ascii="Times New Roman" w:hAnsi="Times New Roman" w:eastAsia="仿宋" w:cs="Times New Roman"/>
                      <w:color w:val="auto"/>
                      <w:kern w:val="0"/>
                      <w:sz w:val="21"/>
                      <w:szCs w:val="21"/>
                      <w:highlight w:val="none"/>
                      <w:lang w:eastAsia="zh-CN"/>
                    </w:rPr>
                  </w:pPr>
                  <w:r>
                    <w:rPr>
                      <w:rFonts w:hint="eastAsia" w:eastAsia="仿宋" w:cs="Times New Roman"/>
                      <w:color w:val="auto"/>
                      <w:kern w:val="0"/>
                      <w:sz w:val="21"/>
                      <w:szCs w:val="21"/>
                      <w:highlight w:val="none"/>
                      <w:lang w:eastAsia="zh-CN"/>
                    </w:rPr>
                    <w:t>本项目病房及急诊废水排入院内污水处理站处理，生活废水经化粪池、食堂废水经隔油池预处理后排入院内污水处理站处理，均接管至金坛第一污水处理厂处理后排入丹金溧漕河。</w:t>
                  </w:r>
                </w:p>
              </w:tc>
            </w:tr>
            <w:tr w14:paraId="77BA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23" w:hRule="atLeast"/>
              </w:trPr>
              <w:tc>
                <w:tcPr>
                  <w:tcW w:w="697" w:type="pct"/>
                  <w:vMerge w:val="continue"/>
                  <w:vAlign w:val="center"/>
                </w:tcPr>
                <w:p w14:paraId="2073206A">
                  <w:pPr>
                    <w:keepNext w:val="0"/>
                    <w:keepLines w:val="0"/>
                    <w:pageBreakBefore w:val="0"/>
                    <w:widowControl/>
                    <w:kinsoku/>
                    <w:wordWrap/>
                    <w:overflowPunct/>
                    <w:topLinePunct w:val="0"/>
                    <w:bidi w:val="0"/>
                    <w:jc w:val="center"/>
                    <w:textAlignment w:val="auto"/>
                    <w:rPr>
                      <w:rFonts w:hint="default" w:ascii="Times New Roman" w:hAnsi="Times New Roman" w:eastAsia="仿宋" w:cs="Times New Roman"/>
                      <w:bCs/>
                      <w:snapToGrid w:val="0"/>
                      <w:color w:val="auto"/>
                      <w:kern w:val="0"/>
                      <w:sz w:val="21"/>
                      <w:szCs w:val="21"/>
                      <w:highlight w:val="none"/>
                      <w:lang w:val="en-US" w:eastAsia="zh-CN" w:bidi="ar-SA"/>
                    </w:rPr>
                  </w:pPr>
                </w:p>
              </w:tc>
              <w:tc>
                <w:tcPr>
                  <w:tcW w:w="996" w:type="pct"/>
                  <w:vAlign w:val="center"/>
                </w:tcPr>
                <w:p w14:paraId="20032204">
                  <w:pPr>
                    <w:pStyle w:val="109"/>
                    <w:keepNext w:val="0"/>
                    <w:keepLines w:val="0"/>
                    <w:pageBreakBefore w:val="0"/>
                    <w:kinsoku/>
                    <w:wordWrap/>
                    <w:overflowPunct/>
                    <w:topLinePunct w:val="0"/>
                    <w:bidi w:val="0"/>
                    <w:textAlignment w:val="auto"/>
                    <w:rPr>
                      <w:rFonts w:hint="default" w:ascii="Times New Roman" w:hAnsi="Times New Roman" w:eastAsia="仿宋" w:cs="Times New Roman"/>
                      <w:bCs/>
                      <w:snapToGrid w:val="0"/>
                      <w:color w:val="auto"/>
                      <w:kern w:val="0"/>
                      <w:sz w:val="21"/>
                      <w:szCs w:val="21"/>
                      <w:highlight w:val="none"/>
                      <w:lang w:val="en-US" w:eastAsia="zh-CN" w:bidi="ar-SA"/>
                    </w:rPr>
                  </w:pPr>
                  <w:r>
                    <w:rPr>
                      <w:rFonts w:hint="default" w:ascii="Times New Roman" w:hAnsi="Times New Roman" w:eastAsia="仿宋" w:cs="Times New Roman"/>
                      <w:bCs/>
                      <w:snapToGrid w:val="0"/>
                      <w:color w:val="auto"/>
                      <w:kern w:val="0"/>
                      <w:sz w:val="21"/>
                      <w:szCs w:val="21"/>
                      <w:highlight w:val="none"/>
                      <w:lang w:val="en-US" w:eastAsia="zh-CN" w:bidi="ar-SA"/>
                    </w:rPr>
                    <w:t>废气治理</w:t>
                  </w:r>
                </w:p>
              </w:tc>
              <w:tc>
                <w:tcPr>
                  <w:tcW w:w="3288" w:type="pct"/>
                  <w:vAlign w:val="center"/>
                </w:tcPr>
                <w:p w14:paraId="124132F7">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bCs/>
                      <w:snapToGrid w:val="0"/>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本项目食堂天然气燃烧废气无组织排放；污水处理站恶臭气体加盖密闭，捕集后经活性炭吸附+水喷淋去除恶臭气体后通过1根15米高排气筒排放。</w:t>
                  </w:r>
                </w:p>
              </w:tc>
            </w:tr>
            <w:tr w14:paraId="0515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23" w:hRule="atLeast"/>
              </w:trPr>
              <w:tc>
                <w:tcPr>
                  <w:tcW w:w="697" w:type="pct"/>
                  <w:vMerge w:val="continue"/>
                  <w:vAlign w:val="center"/>
                </w:tcPr>
                <w:p w14:paraId="0C54C3C4">
                  <w:pPr>
                    <w:keepNext w:val="0"/>
                    <w:keepLines w:val="0"/>
                    <w:pageBreakBefore w:val="0"/>
                    <w:widowControl/>
                    <w:kinsoku/>
                    <w:wordWrap/>
                    <w:overflowPunct/>
                    <w:topLinePunct w:val="0"/>
                    <w:bidi w:val="0"/>
                    <w:jc w:val="center"/>
                    <w:textAlignment w:val="auto"/>
                    <w:rPr>
                      <w:rFonts w:hint="default" w:ascii="Times New Roman" w:hAnsi="Times New Roman" w:eastAsia="仿宋" w:cs="Times New Roman"/>
                      <w:bCs/>
                      <w:snapToGrid w:val="0"/>
                      <w:color w:val="auto"/>
                      <w:kern w:val="0"/>
                      <w:sz w:val="21"/>
                      <w:szCs w:val="21"/>
                      <w:highlight w:val="none"/>
                      <w:lang w:val="en-US" w:eastAsia="zh-CN" w:bidi="ar-SA"/>
                    </w:rPr>
                  </w:pPr>
                </w:p>
              </w:tc>
              <w:tc>
                <w:tcPr>
                  <w:tcW w:w="996" w:type="pct"/>
                  <w:vAlign w:val="center"/>
                </w:tcPr>
                <w:p w14:paraId="13CFCE53">
                  <w:pPr>
                    <w:pStyle w:val="109"/>
                    <w:keepNext w:val="0"/>
                    <w:keepLines w:val="0"/>
                    <w:pageBreakBefore w:val="0"/>
                    <w:kinsoku/>
                    <w:wordWrap/>
                    <w:overflowPunct/>
                    <w:topLinePunct w:val="0"/>
                    <w:bidi w:val="0"/>
                    <w:textAlignment w:val="auto"/>
                    <w:rPr>
                      <w:rFonts w:hint="default" w:ascii="Times New Roman" w:hAnsi="Times New Roman" w:eastAsia="仿宋" w:cs="Times New Roman"/>
                      <w:bCs/>
                      <w:snapToGrid w:val="0"/>
                      <w:color w:val="auto"/>
                      <w:kern w:val="0"/>
                      <w:sz w:val="21"/>
                      <w:szCs w:val="21"/>
                      <w:highlight w:val="none"/>
                      <w:lang w:val="en-US" w:eastAsia="zh-CN" w:bidi="ar-SA"/>
                    </w:rPr>
                  </w:pPr>
                  <w:r>
                    <w:rPr>
                      <w:rFonts w:hint="default" w:ascii="Times New Roman" w:hAnsi="Times New Roman" w:eastAsia="仿宋" w:cs="Times New Roman"/>
                      <w:bCs/>
                      <w:snapToGrid w:val="0"/>
                      <w:color w:val="auto"/>
                      <w:kern w:val="0"/>
                      <w:sz w:val="21"/>
                      <w:szCs w:val="21"/>
                      <w:highlight w:val="none"/>
                      <w:lang w:val="en-US" w:eastAsia="zh-CN" w:bidi="ar-SA"/>
                    </w:rPr>
                    <w:t>噪声</w:t>
                  </w:r>
                </w:p>
              </w:tc>
              <w:tc>
                <w:tcPr>
                  <w:tcW w:w="3288" w:type="pct"/>
                  <w:vAlign w:val="center"/>
                </w:tcPr>
                <w:p w14:paraId="0406421B">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bCs/>
                      <w:snapToGrid w:val="0"/>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选取低噪设备、合理布局；同时对高噪声设备采取消声、隔音等措施</w:t>
                  </w:r>
                  <w:r>
                    <w:rPr>
                      <w:rFonts w:hint="eastAsia" w:ascii="Times New Roman" w:hAnsi="Times New Roman" w:eastAsia="仿宋" w:cs="Times New Roman"/>
                      <w:color w:val="auto"/>
                      <w:sz w:val="21"/>
                      <w:szCs w:val="21"/>
                      <w:highlight w:val="none"/>
                      <w:lang w:val="en-US" w:eastAsia="zh-CN"/>
                    </w:rPr>
                    <w:t>。</w:t>
                  </w:r>
                </w:p>
              </w:tc>
            </w:tr>
            <w:tr w14:paraId="68D3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23" w:hRule="atLeast"/>
              </w:trPr>
              <w:tc>
                <w:tcPr>
                  <w:tcW w:w="697" w:type="pct"/>
                  <w:vMerge w:val="continue"/>
                  <w:vAlign w:val="center"/>
                </w:tcPr>
                <w:p w14:paraId="6B19FE6B">
                  <w:pPr>
                    <w:keepNext w:val="0"/>
                    <w:keepLines w:val="0"/>
                    <w:pageBreakBefore w:val="0"/>
                    <w:widowControl/>
                    <w:kinsoku/>
                    <w:wordWrap/>
                    <w:overflowPunct/>
                    <w:topLinePunct w:val="0"/>
                    <w:bidi w:val="0"/>
                    <w:jc w:val="center"/>
                    <w:textAlignment w:val="auto"/>
                    <w:rPr>
                      <w:rFonts w:hint="default" w:ascii="Times New Roman" w:hAnsi="Times New Roman" w:eastAsia="仿宋" w:cs="Times New Roman"/>
                      <w:bCs/>
                      <w:snapToGrid w:val="0"/>
                      <w:color w:val="auto"/>
                      <w:kern w:val="0"/>
                      <w:sz w:val="21"/>
                      <w:szCs w:val="21"/>
                      <w:highlight w:val="none"/>
                      <w:lang w:val="en-US" w:eastAsia="zh-CN" w:bidi="ar-SA"/>
                    </w:rPr>
                  </w:pPr>
                </w:p>
              </w:tc>
              <w:tc>
                <w:tcPr>
                  <w:tcW w:w="996" w:type="pct"/>
                  <w:vAlign w:val="center"/>
                </w:tcPr>
                <w:p w14:paraId="5328C0FE">
                  <w:pPr>
                    <w:pStyle w:val="109"/>
                    <w:keepNext w:val="0"/>
                    <w:keepLines w:val="0"/>
                    <w:pageBreakBefore w:val="0"/>
                    <w:kinsoku/>
                    <w:wordWrap/>
                    <w:overflowPunct/>
                    <w:topLinePunct w:val="0"/>
                    <w:bidi w:val="0"/>
                    <w:textAlignment w:val="auto"/>
                    <w:rPr>
                      <w:rFonts w:hint="default" w:ascii="Times New Roman" w:hAnsi="Times New Roman" w:eastAsia="仿宋" w:cs="Times New Roman"/>
                      <w:bCs/>
                      <w:snapToGrid w:val="0"/>
                      <w:color w:val="auto"/>
                      <w:kern w:val="0"/>
                      <w:sz w:val="21"/>
                      <w:szCs w:val="21"/>
                      <w:highlight w:val="none"/>
                      <w:lang w:val="en-US" w:eastAsia="zh-CN" w:bidi="ar-SA"/>
                    </w:rPr>
                  </w:pPr>
                  <w:r>
                    <w:rPr>
                      <w:rFonts w:hint="default" w:ascii="Times New Roman" w:hAnsi="Times New Roman" w:eastAsia="仿宋" w:cs="Times New Roman"/>
                      <w:bCs/>
                      <w:snapToGrid w:val="0"/>
                      <w:color w:val="auto"/>
                      <w:kern w:val="0"/>
                      <w:sz w:val="21"/>
                      <w:szCs w:val="21"/>
                      <w:highlight w:val="none"/>
                      <w:lang w:val="en-US" w:eastAsia="zh-CN" w:bidi="ar-SA"/>
                    </w:rPr>
                    <w:t>固废</w:t>
                  </w:r>
                </w:p>
              </w:tc>
              <w:tc>
                <w:tcPr>
                  <w:tcW w:w="3288" w:type="pct"/>
                  <w:vAlign w:val="center"/>
                </w:tcPr>
                <w:p w14:paraId="3226426E">
                  <w:pPr>
                    <w:keepNext w:val="0"/>
                    <w:keepLines w:val="0"/>
                    <w:pageBreakBefore w:val="0"/>
                    <w:kinsoku/>
                    <w:wordWrap/>
                    <w:overflowPunct/>
                    <w:topLinePunct w:val="0"/>
                    <w:autoSpaceDE w:val="0"/>
                    <w:autoSpaceDN w:val="0"/>
                    <w:bidi w:val="0"/>
                    <w:snapToGrid w:val="0"/>
                    <w:jc w:val="center"/>
                    <w:textAlignment w:val="auto"/>
                    <w:rPr>
                      <w:rFonts w:hint="default" w:ascii="Times New Roman" w:hAnsi="Times New Roman" w:eastAsia="仿宋" w:cs="Times New Roman"/>
                      <w:bCs/>
                      <w:snapToGrid w:val="0"/>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设置垃圾桶用于生活垃圾分类收集后交环卫部门统一处理；危险废物暂存于危废仓库，依托原有危废暂存间</w:t>
                  </w:r>
                  <w:r>
                    <w:rPr>
                      <w:rFonts w:hint="eastAsia" w:ascii="Times New Roman" w:hAnsi="Times New Roman" w:eastAsia="仿宋" w:cs="Times New Roman"/>
                      <w:color w:val="auto"/>
                      <w:sz w:val="21"/>
                      <w:szCs w:val="21"/>
                      <w:highlight w:val="none"/>
                      <w:lang w:val="en-US" w:eastAsia="zh-CN"/>
                    </w:rPr>
                    <w:t>。</w:t>
                  </w:r>
                </w:p>
              </w:tc>
            </w:tr>
          </w:tbl>
          <w:p w14:paraId="33C829AF">
            <w:pPr>
              <w:spacing w:line="360" w:lineRule="auto"/>
              <w:ind w:firstLine="482" w:firstLineChars="200"/>
              <w:rPr>
                <w:rFonts w:hint="default" w:eastAsia="仿宋" w:cs="Times New Roman"/>
                <w:b/>
                <w:bCs/>
                <w:color w:val="auto"/>
                <w:kern w:val="2"/>
                <w:sz w:val="24"/>
                <w:szCs w:val="24"/>
                <w:highlight w:val="none"/>
                <w:lang w:val="en-US" w:eastAsia="zh-CN" w:bidi="ar-SA"/>
              </w:rPr>
            </w:pPr>
            <w:r>
              <w:rPr>
                <w:rFonts w:hint="eastAsia" w:eastAsia="仿宋" w:cs="Times New Roman"/>
                <w:b/>
                <w:bCs/>
                <w:color w:val="auto"/>
                <w:kern w:val="2"/>
                <w:sz w:val="24"/>
                <w:szCs w:val="24"/>
                <w:highlight w:val="none"/>
                <w:lang w:val="en-US" w:eastAsia="zh-CN" w:bidi="ar-SA"/>
              </w:rPr>
              <w:t>9</w:t>
            </w:r>
            <w:r>
              <w:rPr>
                <w:rFonts w:hint="default" w:eastAsia="仿宋" w:cs="Times New Roman"/>
                <w:b/>
                <w:bCs/>
                <w:color w:val="auto"/>
                <w:kern w:val="2"/>
                <w:sz w:val="24"/>
                <w:szCs w:val="24"/>
                <w:highlight w:val="none"/>
                <w:lang w:val="en-US" w:eastAsia="zh-CN" w:bidi="ar-SA"/>
              </w:rPr>
              <w:t>、劳动定员及工作制度</w:t>
            </w:r>
          </w:p>
          <w:p w14:paraId="4ED436AA">
            <w:pPr>
              <w:adjustRightInd w:val="0"/>
              <w:snapToGrid w:val="0"/>
              <w:spacing w:line="360" w:lineRule="auto"/>
              <w:ind w:firstLine="480" w:firstLineChars="200"/>
              <w:rPr>
                <w:rFonts w:hint="default" w:eastAsia="仿宋" w:cs="Times New Roman"/>
                <w:color w:val="auto"/>
                <w:kern w:val="0"/>
                <w:sz w:val="24"/>
                <w:szCs w:val="24"/>
                <w:highlight w:val="none"/>
                <w:lang w:val="en-US" w:eastAsia="zh-CN"/>
              </w:rPr>
            </w:pPr>
            <w:r>
              <w:rPr>
                <w:rFonts w:hint="default" w:eastAsia="仿宋" w:cs="Times New Roman"/>
                <w:color w:val="auto"/>
                <w:kern w:val="0"/>
                <w:sz w:val="24"/>
                <w:szCs w:val="24"/>
                <w:highlight w:val="none"/>
                <w:lang w:val="en-US" w:eastAsia="zh-CN"/>
              </w:rPr>
              <w:t>劳动定员：医院现有</w:t>
            </w:r>
            <w:r>
              <w:rPr>
                <w:rFonts w:hint="eastAsia" w:eastAsia="仿宋" w:cs="Times New Roman"/>
                <w:color w:val="auto"/>
                <w:kern w:val="0"/>
                <w:sz w:val="24"/>
                <w:szCs w:val="24"/>
                <w:highlight w:val="none"/>
                <w:lang w:val="en-US" w:eastAsia="zh-CN"/>
              </w:rPr>
              <w:t>工程</w:t>
            </w:r>
            <w:r>
              <w:rPr>
                <w:rFonts w:hint="default" w:eastAsia="仿宋" w:cs="Times New Roman"/>
                <w:color w:val="auto"/>
                <w:kern w:val="0"/>
                <w:sz w:val="24"/>
                <w:szCs w:val="24"/>
                <w:highlight w:val="none"/>
                <w:lang w:val="en-US" w:eastAsia="zh-CN"/>
              </w:rPr>
              <w:t>劳动定员为</w:t>
            </w:r>
            <w:r>
              <w:rPr>
                <w:rFonts w:hint="eastAsia" w:eastAsia="仿宋" w:cs="Times New Roman"/>
                <w:color w:val="auto"/>
                <w:kern w:val="0"/>
                <w:sz w:val="24"/>
                <w:szCs w:val="24"/>
                <w:highlight w:val="none"/>
                <w:lang w:val="en-US" w:eastAsia="zh-CN"/>
              </w:rPr>
              <w:t>829</w:t>
            </w:r>
            <w:r>
              <w:rPr>
                <w:rFonts w:hint="default" w:eastAsia="仿宋" w:cs="Times New Roman"/>
                <w:color w:val="auto"/>
                <w:kern w:val="0"/>
                <w:sz w:val="24"/>
                <w:szCs w:val="24"/>
                <w:highlight w:val="none"/>
                <w:lang w:val="en-US" w:eastAsia="zh-CN"/>
              </w:rPr>
              <w:t>人，本扩建</w:t>
            </w:r>
            <w:r>
              <w:rPr>
                <w:rFonts w:hint="eastAsia" w:eastAsia="仿宋" w:cs="Times New Roman"/>
                <w:color w:val="auto"/>
                <w:kern w:val="0"/>
                <w:sz w:val="24"/>
                <w:szCs w:val="24"/>
                <w:highlight w:val="none"/>
                <w:lang w:val="en-US" w:eastAsia="zh-CN"/>
              </w:rPr>
              <w:t>工程</w:t>
            </w:r>
            <w:r>
              <w:rPr>
                <w:rFonts w:hint="default" w:eastAsia="仿宋" w:cs="Times New Roman"/>
                <w:color w:val="auto"/>
                <w:kern w:val="0"/>
                <w:sz w:val="24"/>
                <w:szCs w:val="24"/>
                <w:highlight w:val="none"/>
                <w:lang w:val="en-US" w:eastAsia="zh-CN"/>
              </w:rPr>
              <w:t>项目</w:t>
            </w:r>
            <w:r>
              <w:rPr>
                <w:rFonts w:hint="eastAsia" w:eastAsia="仿宋" w:cs="Times New Roman"/>
                <w:color w:val="auto"/>
                <w:kern w:val="0"/>
                <w:sz w:val="24"/>
                <w:szCs w:val="24"/>
                <w:highlight w:val="none"/>
                <w:lang w:val="en-US" w:eastAsia="zh-CN"/>
              </w:rPr>
              <w:t>新增</w:t>
            </w:r>
            <w:r>
              <w:rPr>
                <w:rFonts w:hint="default" w:eastAsia="仿宋" w:cs="Times New Roman"/>
                <w:color w:val="auto"/>
                <w:kern w:val="0"/>
                <w:sz w:val="24"/>
                <w:szCs w:val="24"/>
                <w:highlight w:val="none"/>
                <w:lang w:val="en-US" w:eastAsia="zh-CN"/>
              </w:rPr>
              <w:t>员工</w:t>
            </w:r>
            <w:r>
              <w:rPr>
                <w:rFonts w:hint="eastAsia" w:eastAsia="仿宋" w:cs="Times New Roman"/>
                <w:color w:val="auto"/>
                <w:kern w:val="0"/>
                <w:sz w:val="24"/>
                <w:szCs w:val="24"/>
                <w:highlight w:val="none"/>
                <w:lang w:val="en-US" w:eastAsia="zh-CN"/>
              </w:rPr>
              <w:t>534人，</w:t>
            </w:r>
            <w:r>
              <w:rPr>
                <w:rFonts w:hint="default" w:eastAsia="仿宋" w:cs="Times New Roman"/>
                <w:color w:val="auto"/>
                <w:kern w:val="0"/>
                <w:sz w:val="24"/>
                <w:szCs w:val="24"/>
                <w:highlight w:val="none"/>
                <w:lang w:val="en-US" w:eastAsia="zh-CN"/>
              </w:rPr>
              <w:t>医院</w:t>
            </w:r>
            <w:r>
              <w:rPr>
                <w:rFonts w:hint="eastAsia" w:eastAsia="仿宋" w:cs="Times New Roman"/>
                <w:color w:val="auto"/>
                <w:kern w:val="0"/>
                <w:sz w:val="24"/>
                <w:szCs w:val="24"/>
                <w:highlight w:val="none"/>
                <w:lang w:val="en-US" w:eastAsia="zh-CN"/>
              </w:rPr>
              <w:t>现</w:t>
            </w:r>
            <w:r>
              <w:rPr>
                <w:rFonts w:hint="default" w:eastAsia="仿宋" w:cs="Times New Roman"/>
                <w:color w:val="auto"/>
                <w:kern w:val="0"/>
                <w:sz w:val="24"/>
                <w:szCs w:val="24"/>
                <w:highlight w:val="none"/>
                <w:lang w:val="en-US" w:eastAsia="zh-CN"/>
              </w:rPr>
              <w:t>设有食堂。</w:t>
            </w:r>
          </w:p>
          <w:p w14:paraId="08EC51E8">
            <w:pPr>
              <w:adjustRightInd w:val="0"/>
              <w:snapToGrid w:val="0"/>
              <w:spacing w:line="360" w:lineRule="auto"/>
              <w:ind w:firstLine="480" w:firstLineChars="200"/>
              <w:rPr>
                <w:rFonts w:hint="default" w:ascii="Times New Roman" w:hAnsi="Times New Roman" w:eastAsia="仿宋" w:cs="Times New Roman"/>
                <w:b/>
                <w:bCs/>
                <w:color w:val="FF0000"/>
                <w:kern w:val="0"/>
                <w:sz w:val="24"/>
                <w:szCs w:val="24"/>
                <w:highlight w:val="none"/>
                <w:lang w:val="en-US" w:eastAsia="zh-CN"/>
              </w:rPr>
            </w:pPr>
            <w:r>
              <w:rPr>
                <w:rFonts w:hint="default" w:eastAsia="仿宋" w:cs="Times New Roman"/>
                <w:color w:val="auto"/>
                <w:kern w:val="0"/>
                <w:sz w:val="24"/>
                <w:szCs w:val="24"/>
                <w:highlight w:val="none"/>
                <w:lang w:val="en-US" w:eastAsia="zh-CN"/>
              </w:rPr>
              <w:t>工作制度：本项目年工作日为</w:t>
            </w:r>
            <w:r>
              <w:rPr>
                <w:rFonts w:hint="eastAsia" w:eastAsia="仿宋" w:cs="Times New Roman"/>
                <w:color w:val="auto"/>
                <w:kern w:val="0"/>
                <w:sz w:val="24"/>
                <w:szCs w:val="24"/>
                <w:highlight w:val="none"/>
                <w:lang w:val="en-US" w:eastAsia="zh-CN"/>
              </w:rPr>
              <w:t>365天</w:t>
            </w:r>
            <w:r>
              <w:rPr>
                <w:rFonts w:hint="default" w:eastAsia="仿宋" w:cs="Times New Roman"/>
                <w:color w:val="auto"/>
                <w:kern w:val="0"/>
                <w:sz w:val="24"/>
                <w:szCs w:val="24"/>
                <w:highlight w:val="none"/>
                <w:lang w:val="en-US" w:eastAsia="zh-CN"/>
              </w:rPr>
              <w:t>，</w:t>
            </w:r>
            <w:r>
              <w:rPr>
                <w:rFonts w:hint="eastAsia" w:eastAsia="仿宋" w:cs="Times New Roman"/>
                <w:color w:val="auto"/>
                <w:kern w:val="0"/>
                <w:sz w:val="24"/>
                <w:szCs w:val="24"/>
                <w:highlight w:val="none"/>
                <w:lang w:val="en-US" w:eastAsia="zh-CN"/>
              </w:rPr>
              <w:t>24小时营业</w:t>
            </w:r>
            <w:r>
              <w:rPr>
                <w:rFonts w:hint="default" w:eastAsia="仿宋" w:cs="Times New Roman"/>
                <w:color w:val="auto"/>
                <w:kern w:val="0"/>
                <w:sz w:val="24"/>
                <w:szCs w:val="24"/>
                <w:highlight w:val="none"/>
                <w:lang w:val="en-US" w:eastAsia="zh-CN"/>
              </w:rPr>
              <w:t>，总工作时间</w:t>
            </w:r>
            <w:r>
              <w:rPr>
                <w:rFonts w:hint="eastAsia" w:eastAsia="仿宋" w:cs="Times New Roman"/>
                <w:color w:val="auto"/>
                <w:kern w:val="0"/>
                <w:sz w:val="24"/>
                <w:szCs w:val="24"/>
                <w:highlight w:val="none"/>
                <w:lang w:val="en-US" w:eastAsia="zh-CN"/>
              </w:rPr>
              <w:t>8760</w:t>
            </w:r>
            <w:r>
              <w:rPr>
                <w:rFonts w:hint="default" w:eastAsia="仿宋" w:cs="Times New Roman"/>
                <w:color w:val="auto"/>
                <w:kern w:val="0"/>
                <w:sz w:val="24"/>
                <w:szCs w:val="24"/>
                <w:highlight w:val="none"/>
                <w:lang w:val="en-US" w:eastAsia="zh-CN"/>
              </w:rPr>
              <w:t>小时</w:t>
            </w:r>
            <w:r>
              <w:rPr>
                <w:rFonts w:hint="eastAsia" w:eastAsia="仿宋" w:cs="Times New Roman"/>
                <w:color w:val="auto"/>
                <w:kern w:val="0"/>
                <w:sz w:val="24"/>
                <w:szCs w:val="24"/>
                <w:highlight w:val="none"/>
                <w:lang w:val="en-US" w:eastAsia="zh-CN"/>
              </w:rPr>
              <w:t>。</w:t>
            </w:r>
          </w:p>
        </w:tc>
      </w:tr>
    </w:tbl>
    <w:p w14:paraId="1F3F5819">
      <w:pPr>
        <w:rPr>
          <w:rFonts w:hint="default" w:ascii="Times New Roman" w:hAnsi="Times New Roman" w:cs="Times New Roman"/>
          <w:color w:val="FF0000"/>
        </w:rPr>
        <w:sectPr>
          <w:pgSz w:w="11906" w:h="16838"/>
          <w:pgMar w:top="1701" w:right="1531" w:bottom="1418" w:left="1531" w:header="851" w:footer="1038" w:gutter="0"/>
          <w:pgBorders>
            <w:top w:val="none" w:sz="0" w:space="0"/>
            <w:left w:val="none" w:sz="0" w:space="0"/>
            <w:bottom w:val="none" w:sz="0" w:space="0"/>
            <w:right w:val="none" w:sz="0" w:space="0"/>
          </w:pgBorders>
          <w:cols w:space="720" w:num="1"/>
          <w:docGrid w:linePitch="312" w:charSpace="0"/>
        </w:sectPr>
      </w:pPr>
    </w:p>
    <w:tbl>
      <w:tblPr>
        <w:tblStyle w:val="31"/>
        <w:tblW w:w="9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8621"/>
      </w:tblGrid>
      <w:tr w14:paraId="2D0ED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dxa"/>
            <w:vAlign w:val="center"/>
          </w:tcPr>
          <w:p w14:paraId="078E5F25">
            <w:pPr>
              <w:pStyle w:val="27"/>
              <w:adjustRightInd w:val="0"/>
              <w:snapToGrid w:val="0"/>
              <w:spacing w:before="0" w:beforeAutospacing="0" w:after="0" w:afterAutospacing="0" w:line="360" w:lineRule="auto"/>
              <w:jc w:val="center"/>
              <w:rPr>
                <w:rFonts w:hint="default" w:ascii="Times New Roman" w:hAnsi="Times New Roman" w:cs="Times New Roman"/>
                <w:b/>
                <w:bCs/>
                <w:color w:val="FF0000"/>
                <w:szCs w:val="24"/>
              </w:rPr>
            </w:pPr>
            <w:r>
              <w:rPr>
                <w:rFonts w:hint="default" w:ascii="Times New Roman" w:hAnsi="Times New Roman" w:eastAsia="仿宋" w:cs="Times New Roman"/>
                <w:color w:val="auto"/>
                <w:kern w:val="0"/>
                <w:sz w:val="24"/>
                <w:szCs w:val="24"/>
                <w:highlight w:val="none"/>
                <w:lang w:val="en-US" w:eastAsia="zh-CN" w:bidi="ar-SA"/>
              </w:rPr>
              <w:t>工</w:t>
            </w:r>
            <w:r>
              <w:rPr>
                <w:rFonts w:hint="default" w:ascii="Times New Roman" w:hAnsi="Times New Roman" w:eastAsia="仿宋" w:cs="Times New Roman"/>
                <w:color w:val="auto"/>
                <w:sz w:val="24"/>
                <w:szCs w:val="24"/>
                <w:highlight w:val="none"/>
                <w:lang w:val="en-US" w:eastAsia="zh-CN"/>
              </w:rPr>
              <w:t>艺流程和产排污环节</w:t>
            </w:r>
          </w:p>
        </w:tc>
        <w:tc>
          <w:tcPr>
            <w:tcW w:w="8592" w:type="dxa"/>
          </w:tcPr>
          <w:p w14:paraId="3F704D5D">
            <w:pPr>
              <w:autoSpaceDE w:val="0"/>
              <w:autoSpaceDN w:val="0"/>
              <w:spacing w:line="440" w:lineRule="exact"/>
              <w:rPr>
                <w:rFonts w:hint="eastAsia" w:ascii="Times New Roman" w:hAnsi="Times New Roman" w:eastAsia="仿宋" w:cs="Times New Roman"/>
                <w:b/>
                <w:bCs/>
                <w:color w:val="auto"/>
                <w:kern w:val="0"/>
                <w:sz w:val="24"/>
                <w:szCs w:val="24"/>
                <w:highlight w:val="none"/>
                <w:lang w:eastAsia="zh-CN"/>
              </w:rPr>
            </w:pPr>
            <w:r>
              <w:rPr>
                <w:rFonts w:hint="default" w:ascii="Times New Roman" w:hAnsi="Times New Roman" w:eastAsia="仿宋" w:cs="Times New Roman"/>
                <w:b/>
                <w:bCs/>
                <w:color w:val="auto"/>
                <w:kern w:val="0"/>
                <w:sz w:val="24"/>
                <w:szCs w:val="24"/>
                <w:highlight w:val="none"/>
              </w:rPr>
              <w:t>一、</w:t>
            </w:r>
            <w:r>
              <w:rPr>
                <w:rFonts w:hint="eastAsia" w:ascii="Times New Roman" w:hAnsi="Times New Roman" w:eastAsia="仿宋" w:cs="Times New Roman"/>
                <w:b/>
                <w:bCs/>
                <w:color w:val="auto"/>
                <w:kern w:val="0"/>
                <w:sz w:val="24"/>
                <w:szCs w:val="24"/>
                <w:highlight w:val="none"/>
                <w:lang w:val="en-US" w:eastAsia="zh-CN"/>
              </w:rPr>
              <w:t>施工期</w:t>
            </w:r>
          </w:p>
          <w:p w14:paraId="7B6CEBC4">
            <w:pPr>
              <w:spacing w:line="360" w:lineRule="auto"/>
              <w:ind w:firstLine="482" w:firstLineChars="200"/>
              <w:rPr>
                <w:rFonts w:hint="default" w:eastAsia="仿宋" w:cs="Times New Roman"/>
                <w:b/>
                <w:bCs/>
                <w:color w:val="auto"/>
                <w:kern w:val="2"/>
                <w:sz w:val="24"/>
                <w:szCs w:val="24"/>
                <w:highlight w:val="none"/>
                <w:lang w:val="en-US" w:eastAsia="zh-CN" w:bidi="ar-SA"/>
              </w:rPr>
            </w:pPr>
            <w:r>
              <w:rPr>
                <w:rFonts w:hint="default" w:eastAsia="仿宋" w:cs="Times New Roman"/>
                <w:b/>
                <w:bCs/>
                <w:color w:val="auto"/>
                <w:kern w:val="2"/>
                <w:sz w:val="24"/>
                <w:szCs w:val="24"/>
                <w:highlight w:val="none"/>
                <w:lang w:val="en-US" w:eastAsia="zh-CN" w:bidi="ar-SA"/>
              </w:rPr>
              <w:t>1、施工期工艺流程：</w:t>
            </w:r>
          </w:p>
          <w:p w14:paraId="591095E6">
            <w:pPr>
              <w:adjustRightInd w:val="0"/>
              <w:snapToGrid w:val="0"/>
              <w:spacing w:line="360" w:lineRule="auto"/>
              <w:ind w:firstLine="480" w:firstLineChars="200"/>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本扩建工程项目在现有项目北部空地上进行项目建设。本扩建工程项目施工期主要环境污染工序包括：基础工程、主体工程、装饰工程等工序产生的施工机械噪声、车辆运输噪声、扬尘、施工机械柴油燃烧废气、装修废气、建筑垃圾、施工废水、施工人员生活垃圾、施工人员生活污水及土地开挖造成水土流失等，施工期工艺流程及产污环节见图2-1。</w:t>
            </w:r>
          </w:p>
          <w:p w14:paraId="339CC295">
            <w:pPr>
              <w:spacing w:line="360" w:lineRule="auto"/>
              <w:jc w:val="center"/>
              <w:rPr>
                <w:rFonts w:hint="default" w:ascii="Times New Roman" w:hAnsi="Times New Roman" w:cs="Times New Roman"/>
                <w:b/>
                <w:color w:val="FF0000"/>
                <w:kern w:val="10"/>
                <w:sz w:val="24"/>
              </w:rPr>
            </w:pPr>
            <w:r>
              <w:rPr>
                <w:rFonts w:hint="default" w:ascii="Times New Roman" w:hAnsi="Times New Roman" w:eastAsia="仿宋" w:cs="Times New Roman"/>
                <w:color w:val="auto"/>
                <w:sz w:val="24"/>
                <w:szCs w:val="24"/>
                <w:highlight w:val="none"/>
              </w:rPr>
              <w:object>
                <v:shape id="_x0000_i1025" o:spt="75" type="#_x0000_t75" style="height:296.75pt;width:201.6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14:paraId="6E480E0D">
            <w:pPr>
              <w:autoSpaceDE w:val="0"/>
              <w:autoSpaceDN w:val="0"/>
              <w:spacing w:line="44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图</w:t>
            </w:r>
            <w:r>
              <w:rPr>
                <w:rFonts w:hint="eastAsia" w:ascii="Times New Roman" w:hAnsi="Times New Roman" w:eastAsia="仿宋" w:cs="Times New Roman"/>
                <w:b/>
                <w:bCs/>
                <w:color w:val="auto"/>
                <w:kern w:val="0"/>
                <w:sz w:val="24"/>
                <w:szCs w:val="24"/>
                <w:highlight w:val="none"/>
              </w:rPr>
              <w:t>2-</w:t>
            </w:r>
            <w:r>
              <w:rPr>
                <w:rFonts w:hint="eastAsia" w:eastAsia="仿宋" w:cs="Times New Roman"/>
                <w:b/>
                <w:bCs/>
                <w:color w:val="auto"/>
                <w:kern w:val="0"/>
                <w:sz w:val="24"/>
                <w:szCs w:val="24"/>
                <w:highlight w:val="none"/>
                <w:lang w:val="en-US" w:eastAsia="zh-CN"/>
              </w:rPr>
              <w:t>1</w:t>
            </w:r>
            <w:r>
              <w:rPr>
                <w:rFonts w:hint="eastAsia" w:ascii="Times New Roman" w:hAnsi="Times New Roman" w:eastAsia="仿宋" w:cs="Times New Roman"/>
                <w:b/>
                <w:bCs/>
                <w:color w:val="auto"/>
                <w:kern w:val="0"/>
                <w:sz w:val="24"/>
                <w:szCs w:val="24"/>
                <w:highlight w:val="none"/>
                <w:lang w:val="en-US" w:eastAsia="zh-CN"/>
              </w:rPr>
              <w:t xml:space="preserve">  </w:t>
            </w:r>
            <w:r>
              <w:rPr>
                <w:rFonts w:hint="default" w:ascii="Times New Roman" w:hAnsi="Times New Roman" w:eastAsia="仿宋" w:cs="Times New Roman"/>
                <w:b/>
                <w:bCs/>
                <w:color w:val="auto"/>
                <w:kern w:val="0"/>
                <w:sz w:val="24"/>
                <w:szCs w:val="24"/>
                <w:highlight w:val="none"/>
              </w:rPr>
              <w:t>施工期工艺流程及产污环节</w:t>
            </w:r>
            <w:r>
              <w:rPr>
                <w:rFonts w:hint="eastAsia" w:ascii="Times New Roman" w:hAnsi="Times New Roman" w:eastAsia="仿宋" w:cs="Times New Roman"/>
                <w:b/>
                <w:bCs/>
                <w:color w:val="auto"/>
                <w:kern w:val="0"/>
                <w:sz w:val="24"/>
                <w:szCs w:val="24"/>
                <w:highlight w:val="none"/>
              </w:rPr>
              <w:t>图</w:t>
            </w:r>
          </w:p>
          <w:p w14:paraId="67A85013">
            <w:pPr>
              <w:autoSpaceDE w:val="0"/>
              <w:autoSpaceDN w:val="0"/>
              <w:spacing w:line="360" w:lineRule="auto"/>
              <w:ind w:firstLine="480" w:firstLineChars="20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施工工艺流程简述：</w:t>
            </w:r>
          </w:p>
          <w:p w14:paraId="2BDB6D50">
            <w:pPr>
              <w:autoSpaceDE w:val="0"/>
              <w:autoSpaceDN w:val="0"/>
              <w:spacing w:line="360" w:lineRule="auto"/>
              <w:ind w:firstLine="480" w:firstLineChars="200"/>
              <w:rPr>
                <w:rFonts w:hint="default" w:ascii="Times New Roman" w:hAnsi="Times New Roman" w:eastAsia="仿宋" w:cs="Times New Roman"/>
                <w:color w:val="auto"/>
                <w:kern w:val="0"/>
                <w:sz w:val="24"/>
                <w:szCs w:val="24"/>
                <w:highlight w:val="none"/>
              </w:rPr>
            </w:pPr>
            <w:r>
              <w:rPr>
                <w:rFonts w:hint="eastAsia" w:eastAsia="仿宋" w:cs="Times New Roman"/>
                <w:color w:val="auto"/>
                <w:kern w:val="0"/>
                <w:sz w:val="24"/>
                <w:szCs w:val="24"/>
                <w:highlight w:val="none"/>
                <w:lang w:val="en-US" w:eastAsia="zh-CN"/>
              </w:rPr>
              <w:t>1、</w:t>
            </w:r>
            <w:r>
              <w:rPr>
                <w:rFonts w:hint="default" w:ascii="Times New Roman" w:hAnsi="Times New Roman" w:eastAsia="仿宋" w:cs="Times New Roman"/>
                <w:color w:val="auto"/>
                <w:kern w:val="0"/>
                <w:sz w:val="24"/>
                <w:szCs w:val="24"/>
                <w:highlight w:val="none"/>
              </w:rPr>
              <w:t>基础工程</w:t>
            </w:r>
          </w:p>
          <w:p w14:paraId="291C74C3">
            <w:pPr>
              <w:pStyle w:val="38"/>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建设项目基础工程主要为场地平整、土方开挖等。建筑工人利用挖掘机、推土机等设备施工，基础施工会产生大量的扬尘、建筑垃圾和噪声污染。由于作业时间较短，粉尘和噪声只是对周围局部环境影响，从整个施工期来看，对周围环境影响较小。</w:t>
            </w:r>
          </w:p>
          <w:p w14:paraId="502108A4">
            <w:pPr>
              <w:pStyle w:val="38"/>
              <w:spacing w:line="360" w:lineRule="auto"/>
              <w:ind w:firstLine="480" w:firstLineChars="200"/>
              <w:rPr>
                <w:rFonts w:hint="default"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、主体工程</w:t>
            </w:r>
          </w:p>
          <w:p w14:paraId="09812E4A">
            <w:pPr>
              <w:pStyle w:val="38"/>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建设项目主体工程</w:t>
            </w:r>
            <w:r>
              <w:rPr>
                <w:rFonts w:hint="eastAsia" w:ascii="Times New Roman" w:hAnsi="Times New Roman" w:eastAsia="仿宋" w:cs="Times New Roman"/>
                <w:color w:val="auto"/>
                <w:sz w:val="24"/>
                <w:szCs w:val="24"/>
                <w:highlight w:val="none"/>
                <w:lang w:val="en-US" w:eastAsia="zh-CN"/>
              </w:rPr>
              <w:t>主要为建设</w:t>
            </w:r>
            <w:r>
              <w:rPr>
                <w:rFonts w:hint="eastAsia" w:ascii="Times New Roman" w:eastAsia="仿宋" w:cs="Times New Roman"/>
                <w:color w:val="auto"/>
                <w:sz w:val="24"/>
                <w:szCs w:val="24"/>
                <w:highlight w:val="none"/>
                <w:lang w:val="en-US" w:eastAsia="zh-CN"/>
              </w:rPr>
              <w:t>金坛第一人民医院急救创伤大楼</w:t>
            </w:r>
            <w:r>
              <w:rPr>
                <w:rFonts w:hint="eastAsia" w:ascii="Times New Roman" w:hAnsi="Times New Roman" w:eastAsia="仿宋" w:cs="Times New Roman"/>
                <w:color w:val="auto"/>
                <w:sz w:val="24"/>
                <w:szCs w:val="24"/>
                <w:highlight w:val="none"/>
                <w:lang w:val="en-US" w:eastAsia="zh-CN"/>
              </w:rPr>
              <w:t>等配套设施，</w:t>
            </w:r>
            <w:r>
              <w:rPr>
                <w:rFonts w:hint="eastAsia" w:ascii="Times New Roman" w:eastAsia="仿宋" w:cs="Times New Roman"/>
                <w:color w:val="auto"/>
                <w:sz w:val="24"/>
                <w:szCs w:val="24"/>
                <w:highlight w:val="none"/>
                <w:lang w:val="en-US" w:eastAsia="zh-CN"/>
              </w:rPr>
              <w:t>主要包含急诊急救中心、骨伤科中心、骨伤科科研中心、创伤中心、120调度指挥及院前急救中心、室外附属等方面的基础建设和设备设施的购买与安装。</w:t>
            </w:r>
            <w:r>
              <w:rPr>
                <w:rFonts w:hint="eastAsia" w:ascii="Times New Roman" w:hAnsi="Times New Roman" w:eastAsia="仿宋" w:cs="Times New Roman"/>
                <w:color w:val="auto"/>
                <w:sz w:val="24"/>
                <w:szCs w:val="24"/>
                <w:highlight w:val="none"/>
                <w:lang w:val="en-US" w:eastAsia="zh-CN"/>
              </w:rPr>
              <w:t>其建筑工程</w:t>
            </w:r>
            <w:r>
              <w:rPr>
                <w:rFonts w:hint="default" w:ascii="Times New Roman" w:hAnsi="Times New Roman" w:eastAsia="仿宋" w:cs="Times New Roman"/>
                <w:color w:val="auto"/>
                <w:sz w:val="24"/>
                <w:szCs w:val="24"/>
                <w:highlight w:val="none"/>
              </w:rPr>
              <w:t>主要为钻孔灌注，线浇钢砼柱、梁</w:t>
            </w:r>
            <w:r>
              <w:rPr>
                <w:rFonts w:hint="eastAsia" w:asci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砖墙砌筑。利用钻孔设备进行钻孔设备进行钻孔后，用钢筋混凝土浇灌，浇灌时注入预先搅拌均匀的混凝土，随灌随振，振捣均匀，防止混凝土不实和素浆止浮。然后根据施工图纸，进行钢筋的配料和加工，安装于架好的模板之处，及时连续灌注混凝土，并捣实使混凝土成型，建设项目在砖墙砌筑时，首先进行水泥砂浆的调配，然后再挂线砌筑。该工期较长，主要污染物为搅拌机产生噪声、尾气，搅拌砂浆时的砂浆水，砖碎和废砂等固废。</w:t>
            </w:r>
          </w:p>
          <w:p w14:paraId="6C8B78E9">
            <w:pPr>
              <w:pStyle w:val="38"/>
              <w:spacing w:line="360" w:lineRule="auto"/>
              <w:ind w:firstLine="480" w:firstLineChars="200"/>
              <w:rPr>
                <w:rFonts w:hint="default"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rPr>
              <w:t>、装饰工程</w:t>
            </w:r>
          </w:p>
          <w:p w14:paraId="24EB267B">
            <w:pPr>
              <w:pStyle w:val="38"/>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利用各种加工机械对木材、型钢等按图进行加工，同时进行屋面制作，然后采用浅色环保型高级涂料和浅灰色仿石涂料喷刷，最后对外露的铁件</w:t>
            </w:r>
            <w:r>
              <w:rPr>
                <w:rFonts w:hint="eastAsia" w:ascii="Times New Roman" w:eastAsia="仿宋" w:cs="Times New Roman"/>
                <w:color w:val="auto"/>
                <w:sz w:val="24"/>
                <w:szCs w:val="24"/>
                <w:highlight w:val="none"/>
                <w:lang w:val="en-US" w:eastAsia="zh-CN"/>
              </w:rPr>
              <w:t>进行</w:t>
            </w:r>
            <w:r>
              <w:rPr>
                <w:rFonts w:hint="default" w:ascii="Times New Roman" w:hAnsi="Times New Roman" w:eastAsia="仿宋" w:cs="Times New Roman"/>
                <w:color w:val="auto"/>
                <w:sz w:val="24"/>
                <w:szCs w:val="24"/>
                <w:highlight w:val="none"/>
              </w:rPr>
              <w:t>油漆施工，本工段时间较短，且油漆使用量较少，挥发的有机废气量小，对周围环境的影响是暂时和局部的。</w:t>
            </w:r>
          </w:p>
          <w:p w14:paraId="0B34613D">
            <w:pPr>
              <w:pStyle w:val="38"/>
              <w:spacing w:line="360" w:lineRule="auto"/>
              <w:ind w:firstLine="480" w:firstLineChars="200"/>
              <w:rPr>
                <w:rFonts w:hint="default"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rPr>
              <w:t>、辅助工程</w:t>
            </w:r>
          </w:p>
          <w:p w14:paraId="3CD5816D">
            <w:pPr>
              <w:pStyle w:val="38"/>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辅助工程</w:t>
            </w:r>
            <w:r>
              <w:rPr>
                <w:rFonts w:hint="eastAsia" w:ascii="Times New Roman" w:hAnsi="Times New Roman" w:eastAsia="仿宋" w:cs="Times New Roman"/>
                <w:color w:val="auto"/>
                <w:sz w:val="24"/>
                <w:szCs w:val="24"/>
                <w:highlight w:val="none"/>
                <w:lang w:val="en-US" w:eastAsia="zh-CN"/>
              </w:rPr>
              <w:t>主要</w:t>
            </w:r>
            <w:r>
              <w:rPr>
                <w:rFonts w:hint="default" w:ascii="Times New Roman" w:hAnsi="Times New Roman" w:eastAsia="仿宋" w:cs="Times New Roman"/>
                <w:color w:val="auto"/>
                <w:sz w:val="24"/>
                <w:szCs w:val="24"/>
                <w:highlight w:val="none"/>
              </w:rPr>
              <w:t>包括强弱电、给水、道路、雨污管网铺设、绿化工程、消防、电梯等辅助工程施工，主要污染物是施工机械产生的噪声、尾气及建筑垃圾等。</w:t>
            </w:r>
          </w:p>
          <w:p w14:paraId="1D288798">
            <w:pPr>
              <w:pStyle w:val="38"/>
              <w:spacing w:line="360" w:lineRule="auto"/>
              <w:ind w:left="0" w:leftChars="0" w:firstLine="0" w:firstLineChars="0"/>
              <w:rPr>
                <w:rFonts w:hint="default" w:ascii="Times New Roman" w:hAnsi="Times New Roman" w:eastAsia="仿宋" w:cs="Times New Roman"/>
                <w:b/>
                <w:bCs/>
                <w:color w:val="auto"/>
                <w:sz w:val="24"/>
                <w:szCs w:val="24"/>
                <w:highlight w:val="none"/>
              </w:rPr>
            </w:pPr>
            <w:r>
              <w:rPr>
                <w:rFonts w:hint="eastAsia" w:ascii="Times New Roman" w:eastAsia="仿宋" w:cs="Times New Roman"/>
                <w:b/>
                <w:bCs/>
                <w:color w:val="auto"/>
                <w:sz w:val="24"/>
                <w:szCs w:val="24"/>
                <w:highlight w:val="none"/>
                <w:lang w:val="en-US" w:eastAsia="zh-CN"/>
              </w:rPr>
              <w:t>二</w:t>
            </w:r>
            <w:r>
              <w:rPr>
                <w:rFonts w:hint="default" w:ascii="Times New Roman" w:hAnsi="Times New Roman" w:eastAsia="仿宋" w:cs="Times New Roman"/>
                <w:b/>
                <w:bCs/>
                <w:color w:val="auto"/>
                <w:sz w:val="24"/>
                <w:szCs w:val="24"/>
                <w:highlight w:val="none"/>
              </w:rPr>
              <w:t>、营运期工艺流程</w:t>
            </w:r>
          </w:p>
          <w:p w14:paraId="29CE42AB">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项目运营期间无生产性项目。本项目属于社会服务机构</w:t>
            </w:r>
            <w:r>
              <w:rPr>
                <w:rFonts w:hint="eastAsia" w:ascii="Times New Roman" w:hAnsi="Times New Roman" w:eastAsia="仿宋" w:cs="Times New Roman"/>
                <w:color w:val="auto"/>
                <w:kern w:val="2"/>
                <w:sz w:val="24"/>
                <w:szCs w:val="24"/>
                <w:highlight w:val="none"/>
                <w:lang w:val="en-US" w:eastAsia="zh-CN" w:bidi="ar-SA"/>
              </w:rPr>
              <w:t>。</w:t>
            </w:r>
            <w:r>
              <w:rPr>
                <w:rFonts w:hint="default" w:ascii="Times New Roman" w:hAnsi="Times New Roman" w:eastAsia="仿宋" w:cs="Times New Roman"/>
                <w:color w:val="auto"/>
                <w:kern w:val="2"/>
                <w:sz w:val="24"/>
                <w:szCs w:val="24"/>
                <w:highlight w:val="none"/>
                <w:lang w:val="en-US" w:eastAsia="zh-CN" w:bidi="ar-SA"/>
              </w:rPr>
              <w:t>项目工艺流程及产污环节见图2-</w:t>
            </w:r>
            <w:r>
              <w:rPr>
                <w:rFonts w:hint="eastAsia" w:eastAsia="仿宋" w:cs="Times New Roman"/>
                <w:color w:val="auto"/>
                <w:kern w:val="2"/>
                <w:sz w:val="24"/>
                <w:szCs w:val="24"/>
                <w:highlight w:val="none"/>
                <w:lang w:val="en-US" w:eastAsia="zh-CN" w:bidi="ar-SA"/>
              </w:rPr>
              <w:t>2</w:t>
            </w:r>
            <w:r>
              <w:rPr>
                <w:rFonts w:hint="default" w:ascii="Times New Roman" w:hAnsi="Times New Roman" w:eastAsia="仿宋" w:cs="Times New Roman"/>
                <w:color w:val="auto"/>
                <w:kern w:val="2"/>
                <w:sz w:val="24"/>
                <w:szCs w:val="24"/>
                <w:highlight w:val="none"/>
                <w:lang w:val="en-US" w:eastAsia="zh-CN" w:bidi="ar-SA"/>
              </w:rPr>
              <w:t>：</w:t>
            </w:r>
          </w:p>
          <w:p w14:paraId="0D4C4575">
            <w:pPr>
              <w:bidi w:val="0"/>
              <w:spacing w:line="360" w:lineRule="auto"/>
              <w:jc w:val="center"/>
              <w:rPr>
                <w:rFonts w:hint="default"/>
                <w:b/>
                <w:bCs/>
                <w:color w:val="FF0000"/>
                <w:lang w:val="en-US" w:eastAsia="zh-CN"/>
              </w:rPr>
            </w:pPr>
            <w:r>
              <w:rPr>
                <w:color w:val="FF0000"/>
              </w:rPr>
              <w:object>
                <v:shape id="_x0000_i1026" o:spt="75" type="#_x0000_t75" style="height:252.95pt;width:279.75pt;" o:ole="t" filled="f" o:preferrelative="t" stroked="f" coordsize="21600,21600">
                  <v:path/>
                  <v:fill on="f" focussize="0,0"/>
                  <v:stroke on="f"/>
                  <v:imagedata r:id="rId16" o:title=""/>
                  <o:lock v:ext="edit" aspectratio="f"/>
                  <w10:wrap type="none"/>
                  <w10:anchorlock/>
                </v:shape>
                <o:OLEObject Type="Embed" ProgID="Visio.Drawing.11" ShapeID="_x0000_i1026" DrawAspect="Content" ObjectID="_1468075726" r:id="rId15">
                  <o:LockedField>false</o:LockedField>
                </o:OLEObject>
              </w:object>
            </w:r>
          </w:p>
          <w:p w14:paraId="79A8F686">
            <w:pPr>
              <w:autoSpaceDE w:val="0"/>
              <w:autoSpaceDN w:val="0"/>
              <w:spacing w:line="440" w:lineRule="exact"/>
              <w:jc w:val="center"/>
              <w:rPr>
                <w:rFonts w:hint="default" w:ascii="Times New Roman" w:hAnsi="Times New Roman" w:eastAsia="仿宋" w:cs="Times New Roman"/>
                <w:b/>
                <w:bCs/>
                <w:color w:val="auto"/>
                <w:kern w:val="0"/>
                <w:sz w:val="24"/>
                <w:szCs w:val="24"/>
                <w:highlight w:val="none"/>
                <w:lang w:val="en-US" w:eastAsia="zh-CN"/>
              </w:rPr>
            </w:pPr>
            <w:r>
              <w:rPr>
                <w:rFonts w:hint="default" w:ascii="Times New Roman" w:hAnsi="Times New Roman" w:eastAsia="仿宋" w:cs="Times New Roman"/>
                <w:b/>
                <w:bCs/>
                <w:color w:val="auto"/>
                <w:kern w:val="0"/>
                <w:sz w:val="24"/>
                <w:szCs w:val="24"/>
                <w:highlight w:val="none"/>
                <w:lang w:val="en-US" w:eastAsia="zh-CN"/>
              </w:rPr>
              <w:t>图2-</w:t>
            </w:r>
            <w:r>
              <w:rPr>
                <w:rFonts w:hint="eastAsia" w:ascii="Times New Roman" w:hAnsi="Times New Roman" w:eastAsia="仿宋" w:cs="Times New Roman"/>
                <w:b/>
                <w:bCs/>
                <w:color w:val="auto"/>
                <w:kern w:val="0"/>
                <w:sz w:val="24"/>
                <w:szCs w:val="24"/>
                <w:highlight w:val="none"/>
                <w:lang w:val="en-US" w:eastAsia="zh-CN"/>
              </w:rPr>
              <w:t>2  项目</w:t>
            </w:r>
            <w:r>
              <w:rPr>
                <w:rFonts w:hint="default" w:ascii="Times New Roman" w:hAnsi="Times New Roman" w:eastAsia="仿宋" w:cs="Times New Roman"/>
                <w:b/>
                <w:bCs/>
                <w:color w:val="auto"/>
                <w:kern w:val="0"/>
                <w:sz w:val="24"/>
                <w:szCs w:val="24"/>
                <w:highlight w:val="none"/>
                <w:lang w:val="en-US" w:eastAsia="zh-CN"/>
              </w:rPr>
              <w:t>工艺流程及产污环节图</w:t>
            </w:r>
          </w:p>
          <w:p w14:paraId="65C6FA21">
            <w:pPr>
              <w:pStyle w:val="30"/>
              <w:keepNext w:val="0"/>
              <w:keepLines w:val="0"/>
              <w:pageBreakBefore w:val="0"/>
              <w:widowControl/>
              <w:kinsoku/>
              <w:wordWrap/>
              <w:overflowPunct/>
              <w:topLinePunct w:val="0"/>
              <w:autoSpaceDE/>
              <w:autoSpaceDN/>
              <w:bidi w:val="0"/>
              <w:adjustRightInd/>
              <w:snapToGrid/>
              <w:spacing w:before="0" w:after="0" w:line="360" w:lineRule="auto"/>
              <w:ind w:left="0" w:leftChars="0" w:right="0" w:rightChars="0" w:firstLine="482" w:firstLineChars="200"/>
              <w:jc w:val="both"/>
              <w:textAlignment w:val="baseline"/>
              <w:rPr>
                <w:rFonts w:hint="default" w:ascii="Times New Roman" w:hAnsi="Times New Roman" w:eastAsia="仿宋" w:cs="Times New Roman"/>
                <w:b/>
                <w:bCs/>
                <w:color w:val="auto"/>
                <w:kern w:val="2"/>
                <w:sz w:val="24"/>
                <w:szCs w:val="24"/>
                <w:highlight w:val="none"/>
                <w:lang w:val="en-US" w:eastAsia="zh-CN" w:bidi="ar-SA"/>
              </w:rPr>
            </w:pPr>
            <w:r>
              <w:rPr>
                <w:rFonts w:hint="default" w:ascii="Times New Roman" w:hAnsi="Times New Roman" w:eastAsia="仿宋" w:cs="Times New Roman"/>
                <w:b/>
                <w:bCs/>
                <w:color w:val="auto"/>
                <w:kern w:val="2"/>
                <w:sz w:val="24"/>
                <w:szCs w:val="24"/>
                <w:highlight w:val="none"/>
                <w:lang w:val="en-US" w:eastAsia="zh-CN" w:bidi="ar-SA"/>
              </w:rPr>
              <w:t>项目工艺流程简述：</w:t>
            </w:r>
          </w:p>
          <w:p w14:paraId="11B784E2">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本项目主要为患者提供检查、治疗、住院的空间，患者于门诊前台先进行挂号，并于候诊厅等待。之后由医生进行接诊诊断，部分患者在门诊接受治疗当天自行回家，少部分患者诊断后需要在病房内进行多天观察并治疗疗养，康复后即可出院。医疗过程中产生的污染物包括各科室医务活动过程中产生的医疗废水、生活污水、医疗废物、生活垃圾、噪声等。</w:t>
            </w:r>
          </w:p>
          <w:p w14:paraId="693950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b/>
                <w:bCs/>
                <w:color w:val="auto"/>
                <w:kern w:val="0"/>
                <w:sz w:val="22"/>
                <w:szCs w:val="22"/>
                <w:highlight w:val="none"/>
                <w:lang w:val="en-US" w:eastAsia="zh-CN"/>
              </w:rPr>
            </w:pPr>
            <w:r>
              <w:rPr>
                <w:rFonts w:hint="default" w:ascii="Times New Roman" w:hAnsi="Times New Roman" w:eastAsia="仿宋" w:cs="Times New Roman"/>
                <w:b/>
                <w:bCs/>
                <w:color w:val="auto"/>
                <w:kern w:val="0"/>
                <w:sz w:val="22"/>
                <w:szCs w:val="22"/>
                <w:highlight w:val="none"/>
                <w:lang w:val="en-US" w:eastAsia="zh-CN"/>
              </w:rPr>
              <w:t>表2-</w:t>
            </w:r>
            <w:r>
              <w:rPr>
                <w:rFonts w:hint="eastAsia" w:ascii="Times New Roman" w:hAnsi="Times New Roman" w:eastAsia="仿宋" w:cs="Times New Roman"/>
                <w:b/>
                <w:bCs/>
                <w:color w:val="auto"/>
                <w:kern w:val="0"/>
                <w:sz w:val="22"/>
                <w:szCs w:val="22"/>
                <w:highlight w:val="none"/>
                <w:lang w:val="en-US" w:eastAsia="zh-CN"/>
              </w:rPr>
              <w:t>8</w:t>
            </w:r>
            <w:r>
              <w:rPr>
                <w:rFonts w:hint="default" w:ascii="Times New Roman" w:hAnsi="Times New Roman" w:eastAsia="仿宋" w:cs="Times New Roman"/>
                <w:b/>
                <w:bCs/>
                <w:color w:val="auto"/>
                <w:kern w:val="0"/>
                <w:sz w:val="22"/>
                <w:szCs w:val="22"/>
                <w:highlight w:val="none"/>
                <w:lang w:val="en-US" w:eastAsia="zh-CN"/>
              </w:rPr>
              <w:t xml:space="preserve"> 本项目产污一览表</w:t>
            </w:r>
          </w:p>
          <w:tbl>
            <w:tblPr>
              <w:tblStyle w:val="32"/>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945"/>
              <w:gridCol w:w="1199"/>
              <w:gridCol w:w="2155"/>
              <w:gridCol w:w="3178"/>
            </w:tblGrid>
            <w:tr w14:paraId="32AD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tcBorders>
                    <w:tl2br w:val="nil"/>
                    <w:tr2bl w:val="nil"/>
                  </w:tcBorders>
                  <w:vAlign w:val="center"/>
                </w:tcPr>
                <w:p w14:paraId="5B909B7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项目</w:t>
                  </w:r>
                </w:p>
              </w:tc>
              <w:tc>
                <w:tcPr>
                  <w:tcW w:w="1277" w:type="pct"/>
                  <w:gridSpan w:val="2"/>
                  <w:tcBorders>
                    <w:tl2br w:val="nil"/>
                    <w:tr2bl w:val="nil"/>
                  </w:tcBorders>
                  <w:vAlign w:val="center"/>
                </w:tcPr>
                <w:p w14:paraId="6202B8D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产污工序</w:t>
                  </w:r>
                </w:p>
              </w:tc>
              <w:tc>
                <w:tcPr>
                  <w:tcW w:w="1284" w:type="pct"/>
                  <w:tcBorders>
                    <w:tl2br w:val="nil"/>
                    <w:tr2bl w:val="nil"/>
                  </w:tcBorders>
                  <w:vAlign w:val="center"/>
                </w:tcPr>
                <w:p w14:paraId="7A60422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污染物</w:t>
                  </w:r>
                </w:p>
              </w:tc>
              <w:tc>
                <w:tcPr>
                  <w:tcW w:w="1893" w:type="pct"/>
                  <w:tcBorders>
                    <w:tl2br w:val="nil"/>
                    <w:tr2bl w:val="nil"/>
                  </w:tcBorders>
                  <w:vAlign w:val="center"/>
                </w:tcPr>
                <w:p w14:paraId="0D41C2F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主要污染因子</w:t>
                  </w:r>
                </w:p>
              </w:tc>
            </w:tr>
            <w:tr w14:paraId="128E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Merge w:val="restart"/>
                  <w:tcBorders>
                    <w:tl2br w:val="nil"/>
                    <w:tr2bl w:val="nil"/>
                  </w:tcBorders>
                  <w:vAlign w:val="center"/>
                </w:tcPr>
                <w:p w14:paraId="3695100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废气</w:t>
                  </w:r>
                </w:p>
              </w:tc>
              <w:tc>
                <w:tcPr>
                  <w:tcW w:w="563" w:type="pct"/>
                  <w:vMerge w:val="restart"/>
                  <w:tcBorders>
                    <w:tl2br w:val="nil"/>
                    <w:tr2bl w:val="nil"/>
                  </w:tcBorders>
                  <w:vAlign w:val="center"/>
                </w:tcPr>
                <w:p w14:paraId="3A273AF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施工期</w:t>
                  </w:r>
                </w:p>
              </w:tc>
              <w:tc>
                <w:tcPr>
                  <w:tcW w:w="714" w:type="pct"/>
                  <w:tcBorders>
                    <w:tl2br w:val="nil"/>
                    <w:tr2bl w:val="nil"/>
                  </w:tcBorders>
                  <w:vAlign w:val="center"/>
                </w:tcPr>
                <w:p w14:paraId="796A745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基础工程</w:t>
                  </w:r>
                </w:p>
              </w:tc>
              <w:tc>
                <w:tcPr>
                  <w:tcW w:w="1284" w:type="pct"/>
                  <w:tcBorders>
                    <w:tl2br w:val="nil"/>
                    <w:tr2bl w:val="nil"/>
                  </w:tcBorders>
                  <w:vAlign w:val="center"/>
                </w:tcPr>
                <w:p w14:paraId="6879228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扬尘、汽车尾气</w:t>
                  </w:r>
                </w:p>
              </w:tc>
              <w:tc>
                <w:tcPr>
                  <w:tcW w:w="1893" w:type="pct"/>
                  <w:tcBorders>
                    <w:tl2br w:val="nil"/>
                    <w:tr2bl w:val="nil"/>
                  </w:tcBorders>
                  <w:vAlign w:val="center"/>
                </w:tcPr>
                <w:p w14:paraId="76FDA75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颗粒物</w:t>
                  </w:r>
                </w:p>
              </w:tc>
            </w:tr>
            <w:tr w14:paraId="4D81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544" w:type="pct"/>
                  <w:vMerge w:val="continue"/>
                  <w:tcBorders>
                    <w:tl2br w:val="nil"/>
                    <w:tr2bl w:val="nil"/>
                  </w:tcBorders>
                  <w:vAlign w:val="center"/>
                </w:tcPr>
                <w:p w14:paraId="11A6C3D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563" w:type="pct"/>
                  <w:vMerge w:val="continue"/>
                  <w:tcBorders>
                    <w:tl2br w:val="nil"/>
                    <w:tr2bl w:val="nil"/>
                  </w:tcBorders>
                  <w:vAlign w:val="center"/>
                </w:tcPr>
                <w:p w14:paraId="5F6C074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4" w:type="pct"/>
                  <w:tcBorders>
                    <w:tl2br w:val="nil"/>
                    <w:tr2bl w:val="nil"/>
                  </w:tcBorders>
                  <w:vAlign w:val="center"/>
                </w:tcPr>
                <w:p w14:paraId="2026AF9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主体工程</w:t>
                  </w:r>
                </w:p>
              </w:tc>
              <w:tc>
                <w:tcPr>
                  <w:tcW w:w="1284" w:type="pct"/>
                  <w:tcBorders>
                    <w:tl2br w:val="nil"/>
                    <w:tr2bl w:val="nil"/>
                  </w:tcBorders>
                  <w:vAlign w:val="center"/>
                </w:tcPr>
                <w:p w14:paraId="45D2B44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扬尘、汽车尾气</w:t>
                  </w:r>
                </w:p>
              </w:tc>
              <w:tc>
                <w:tcPr>
                  <w:tcW w:w="1893" w:type="pct"/>
                  <w:tcBorders>
                    <w:tl2br w:val="nil"/>
                    <w:tr2bl w:val="nil"/>
                  </w:tcBorders>
                  <w:vAlign w:val="center"/>
                </w:tcPr>
                <w:p w14:paraId="3CD56B5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颗粒物</w:t>
                  </w:r>
                </w:p>
              </w:tc>
            </w:tr>
            <w:tr w14:paraId="041C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544" w:type="pct"/>
                  <w:vMerge w:val="continue"/>
                  <w:tcBorders>
                    <w:tl2br w:val="nil"/>
                    <w:tr2bl w:val="nil"/>
                  </w:tcBorders>
                  <w:vAlign w:val="center"/>
                </w:tcPr>
                <w:p w14:paraId="596F602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563" w:type="pct"/>
                  <w:vMerge w:val="continue"/>
                  <w:tcBorders>
                    <w:tl2br w:val="nil"/>
                    <w:tr2bl w:val="nil"/>
                  </w:tcBorders>
                  <w:vAlign w:val="center"/>
                </w:tcPr>
                <w:p w14:paraId="2F8105D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4" w:type="pct"/>
                  <w:tcBorders>
                    <w:tl2br w:val="nil"/>
                    <w:tr2bl w:val="nil"/>
                  </w:tcBorders>
                  <w:vAlign w:val="center"/>
                </w:tcPr>
                <w:p w14:paraId="05B0605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装饰工程</w:t>
                  </w:r>
                </w:p>
              </w:tc>
              <w:tc>
                <w:tcPr>
                  <w:tcW w:w="1284" w:type="pct"/>
                  <w:tcBorders>
                    <w:tl2br w:val="nil"/>
                    <w:tr2bl w:val="nil"/>
                  </w:tcBorders>
                  <w:vAlign w:val="center"/>
                </w:tcPr>
                <w:p w14:paraId="201784C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废气、汽车尾气</w:t>
                  </w:r>
                </w:p>
              </w:tc>
              <w:tc>
                <w:tcPr>
                  <w:tcW w:w="1893" w:type="pct"/>
                  <w:tcBorders>
                    <w:tl2br w:val="nil"/>
                    <w:tr2bl w:val="nil"/>
                  </w:tcBorders>
                  <w:vAlign w:val="center"/>
                </w:tcPr>
                <w:p w14:paraId="277A92C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NOx、CO、SO</w:t>
                  </w:r>
                  <w:r>
                    <w:rPr>
                      <w:rFonts w:hint="default" w:ascii="Times New Roman" w:hAnsi="Times New Roman" w:eastAsia="仿宋" w:cs="Times New Roman"/>
                      <w:color w:val="auto"/>
                      <w:kern w:val="0"/>
                      <w:sz w:val="21"/>
                      <w:szCs w:val="21"/>
                      <w:highlight w:val="none"/>
                      <w:vertAlign w:val="subscript"/>
                    </w:rPr>
                    <w:t>2</w:t>
                  </w:r>
                  <w:r>
                    <w:rPr>
                      <w:rFonts w:hint="default" w:ascii="Times New Roman" w:hAnsi="Times New Roman" w:eastAsia="仿宋" w:cs="Times New Roman"/>
                      <w:color w:val="auto"/>
                      <w:kern w:val="0"/>
                      <w:sz w:val="21"/>
                      <w:szCs w:val="21"/>
                      <w:highlight w:val="none"/>
                    </w:rPr>
                    <w:t>等</w:t>
                  </w:r>
                </w:p>
              </w:tc>
            </w:tr>
            <w:tr w14:paraId="6A87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544" w:type="pct"/>
                  <w:vMerge w:val="continue"/>
                  <w:tcBorders>
                    <w:tl2br w:val="nil"/>
                    <w:tr2bl w:val="nil"/>
                  </w:tcBorders>
                  <w:vAlign w:val="center"/>
                </w:tcPr>
                <w:p w14:paraId="0E3AEE3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563" w:type="pct"/>
                  <w:vMerge w:val="continue"/>
                  <w:tcBorders>
                    <w:tl2br w:val="nil"/>
                    <w:tr2bl w:val="nil"/>
                  </w:tcBorders>
                  <w:vAlign w:val="center"/>
                </w:tcPr>
                <w:p w14:paraId="071937E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4" w:type="pct"/>
                  <w:tcBorders>
                    <w:tl2br w:val="nil"/>
                    <w:tr2bl w:val="nil"/>
                  </w:tcBorders>
                  <w:vAlign w:val="center"/>
                </w:tcPr>
                <w:p w14:paraId="1C12430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辅助工程</w:t>
                  </w:r>
                </w:p>
              </w:tc>
              <w:tc>
                <w:tcPr>
                  <w:tcW w:w="1284" w:type="pct"/>
                  <w:tcBorders>
                    <w:tl2br w:val="nil"/>
                    <w:tr2bl w:val="nil"/>
                  </w:tcBorders>
                  <w:vAlign w:val="center"/>
                </w:tcPr>
                <w:p w14:paraId="2011008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废气、汽车尾气</w:t>
                  </w:r>
                </w:p>
              </w:tc>
              <w:tc>
                <w:tcPr>
                  <w:tcW w:w="1893" w:type="pct"/>
                  <w:tcBorders>
                    <w:tl2br w:val="nil"/>
                    <w:tr2bl w:val="nil"/>
                  </w:tcBorders>
                  <w:vAlign w:val="center"/>
                </w:tcPr>
                <w:p w14:paraId="5917D06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NOx、CO、SO</w:t>
                  </w:r>
                  <w:r>
                    <w:rPr>
                      <w:rFonts w:hint="default" w:ascii="Times New Roman" w:hAnsi="Times New Roman" w:eastAsia="仿宋" w:cs="Times New Roman"/>
                      <w:color w:val="auto"/>
                      <w:kern w:val="0"/>
                      <w:sz w:val="21"/>
                      <w:szCs w:val="21"/>
                      <w:highlight w:val="none"/>
                      <w:vertAlign w:val="subscript"/>
                    </w:rPr>
                    <w:t>2</w:t>
                  </w:r>
                  <w:r>
                    <w:rPr>
                      <w:rFonts w:hint="default" w:ascii="Times New Roman" w:hAnsi="Times New Roman" w:eastAsia="仿宋" w:cs="Times New Roman"/>
                      <w:color w:val="auto"/>
                      <w:kern w:val="0"/>
                      <w:sz w:val="21"/>
                      <w:szCs w:val="21"/>
                      <w:highlight w:val="none"/>
                    </w:rPr>
                    <w:t>等</w:t>
                  </w:r>
                </w:p>
              </w:tc>
            </w:tr>
            <w:tr w14:paraId="1679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544" w:type="pct"/>
                  <w:vMerge w:val="continue"/>
                  <w:tcBorders>
                    <w:tl2br w:val="nil"/>
                    <w:tr2bl w:val="nil"/>
                  </w:tcBorders>
                  <w:vAlign w:val="center"/>
                </w:tcPr>
                <w:p w14:paraId="6DDC4FA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563" w:type="pct"/>
                  <w:tcBorders>
                    <w:tl2br w:val="nil"/>
                    <w:tr2bl w:val="nil"/>
                  </w:tcBorders>
                  <w:vAlign w:val="center"/>
                </w:tcPr>
                <w:p w14:paraId="53ECF27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运营期</w:t>
                  </w:r>
                </w:p>
              </w:tc>
              <w:tc>
                <w:tcPr>
                  <w:tcW w:w="714" w:type="pct"/>
                  <w:tcBorders>
                    <w:tl2br w:val="nil"/>
                    <w:tr2bl w:val="nil"/>
                  </w:tcBorders>
                  <w:vAlign w:val="center"/>
                </w:tcPr>
                <w:p w14:paraId="4CE80E0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污水处理</w:t>
                  </w:r>
                </w:p>
              </w:tc>
              <w:tc>
                <w:tcPr>
                  <w:tcW w:w="1284" w:type="pct"/>
                  <w:tcBorders>
                    <w:tl2br w:val="nil"/>
                    <w:tr2bl w:val="nil"/>
                  </w:tcBorders>
                  <w:vAlign w:val="center"/>
                </w:tcPr>
                <w:p w14:paraId="2EB1B51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恶臭气体</w:t>
                  </w:r>
                </w:p>
              </w:tc>
              <w:tc>
                <w:tcPr>
                  <w:tcW w:w="1893" w:type="pct"/>
                  <w:tcBorders>
                    <w:tl2br w:val="nil"/>
                    <w:tr2bl w:val="nil"/>
                  </w:tcBorders>
                  <w:vAlign w:val="center"/>
                </w:tcPr>
                <w:p w14:paraId="5193C2A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氨、硫化氢</w:t>
                  </w:r>
                </w:p>
              </w:tc>
            </w:tr>
            <w:tr w14:paraId="5F45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44" w:type="pct"/>
                  <w:vMerge w:val="restart"/>
                  <w:tcBorders>
                    <w:tl2br w:val="nil"/>
                    <w:tr2bl w:val="nil"/>
                  </w:tcBorders>
                  <w:vAlign w:val="center"/>
                </w:tcPr>
                <w:p w14:paraId="472B8D5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废水</w:t>
                  </w:r>
                </w:p>
              </w:tc>
              <w:tc>
                <w:tcPr>
                  <w:tcW w:w="1277" w:type="pct"/>
                  <w:gridSpan w:val="2"/>
                  <w:vMerge w:val="restart"/>
                  <w:tcBorders>
                    <w:tl2br w:val="nil"/>
                    <w:tr2bl w:val="nil"/>
                  </w:tcBorders>
                  <w:vAlign w:val="center"/>
                </w:tcPr>
                <w:p w14:paraId="2666DF1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施工期</w:t>
                  </w:r>
                </w:p>
              </w:tc>
              <w:tc>
                <w:tcPr>
                  <w:tcW w:w="1284" w:type="pct"/>
                  <w:tcBorders>
                    <w:tl2br w:val="nil"/>
                    <w:tr2bl w:val="nil"/>
                  </w:tcBorders>
                  <w:vAlign w:val="center"/>
                </w:tcPr>
                <w:p w14:paraId="5754192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施工废水</w:t>
                  </w:r>
                </w:p>
              </w:tc>
              <w:tc>
                <w:tcPr>
                  <w:tcW w:w="1893" w:type="pct"/>
                  <w:tcBorders>
                    <w:tl2br w:val="nil"/>
                    <w:tr2bl w:val="nil"/>
                  </w:tcBorders>
                  <w:vAlign w:val="center"/>
                </w:tcPr>
                <w:p w14:paraId="07E6C3E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COD、SS、石油类</w:t>
                  </w:r>
                </w:p>
              </w:tc>
            </w:tr>
            <w:tr w14:paraId="7E83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544" w:type="pct"/>
                  <w:vMerge w:val="continue"/>
                  <w:tcBorders>
                    <w:tl2br w:val="nil"/>
                    <w:tr2bl w:val="nil"/>
                  </w:tcBorders>
                  <w:vAlign w:val="center"/>
                </w:tcPr>
                <w:p w14:paraId="2379587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p>
              </w:tc>
              <w:tc>
                <w:tcPr>
                  <w:tcW w:w="1277" w:type="pct"/>
                  <w:gridSpan w:val="2"/>
                  <w:vMerge w:val="continue"/>
                  <w:tcBorders>
                    <w:tl2br w:val="nil"/>
                    <w:tr2bl w:val="nil"/>
                  </w:tcBorders>
                  <w:vAlign w:val="center"/>
                </w:tcPr>
                <w:p w14:paraId="0A9AB34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p>
              </w:tc>
              <w:tc>
                <w:tcPr>
                  <w:tcW w:w="1284" w:type="pct"/>
                  <w:tcBorders>
                    <w:tl2br w:val="nil"/>
                    <w:tr2bl w:val="nil"/>
                  </w:tcBorders>
                  <w:vAlign w:val="center"/>
                </w:tcPr>
                <w:p w14:paraId="1072EB1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施工人员生活污水</w:t>
                  </w:r>
                </w:p>
              </w:tc>
              <w:tc>
                <w:tcPr>
                  <w:tcW w:w="1893" w:type="pct"/>
                  <w:tcBorders>
                    <w:tl2br w:val="nil"/>
                    <w:tr2bl w:val="nil"/>
                  </w:tcBorders>
                  <w:vAlign w:val="center"/>
                </w:tcPr>
                <w:p w14:paraId="4AF2EFD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COD、SS、NH</w:t>
                  </w:r>
                  <w:r>
                    <w:rPr>
                      <w:rFonts w:hint="default" w:ascii="Times New Roman" w:hAnsi="Times New Roman" w:eastAsia="仿宋" w:cs="Times New Roman"/>
                      <w:color w:val="auto"/>
                      <w:kern w:val="0"/>
                      <w:sz w:val="21"/>
                      <w:szCs w:val="21"/>
                      <w:highlight w:val="none"/>
                      <w:vertAlign w:val="subscript"/>
                    </w:rPr>
                    <w:t>3</w:t>
                  </w:r>
                  <w:r>
                    <w:rPr>
                      <w:rFonts w:hint="default" w:ascii="Times New Roman" w:hAnsi="Times New Roman" w:eastAsia="仿宋" w:cs="Times New Roman"/>
                      <w:color w:val="auto"/>
                      <w:kern w:val="0"/>
                      <w:sz w:val="21"/>
                      <w:szCs w:val="21"/>
                      <w:highlight w:val="none"/>
                    </w:rPr>
                    <w:t>-N、TN、TP</w:t>
                  </w:r>
                </w:p>
              </w:tc>
            </w:tr>
            <w:tr w14:paraId="6B84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544" w:type="pct"/>
                  <w:vMerge w:val="continue"/>
                  <w:tcBorders>
                    <w:tl2br w:val="nil"/>
                    <w:tr2bl w:val="nil"/>
                  </w:tcBorders>
                  <w:vAlign w:val="center"/>
                </w:tcPr>
                <w:p w14:paraId="631FF2E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p>
              </w:tc>
              <w:tc>
                <w:tcPr>
                  <w:tcW w:w="1277" w:type="pct"/>
                  <w:gridSpan w:val="2"/>
                  <w:vMerge w:val="restart"/>
                  <w:tcBorders>
                    <w:tl2br w:val="nil"/>
                    <w:tr2bl w:val="nil"/>
                  </w:tcBorders>
                  <w:vAlign w:val="center"/>
                </w:tcPr>
                <w:p w14:paraId="5CA84ED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营运期</w:t>
                  </w:r>
                </w:p>
              </w:tc>
              <w:tc>
                <w:tcPr>
                  <w:tcW w:w="1284" w:type="pct"/>
                  <w:tcBorders>
                    <w:tl2br w:val="nil"/>
                    <w:tr2bl w:val="nil"/>
                  </w:tcBorders>
                  <w:vAlign w:val="center"/>
                </w:tcPr>
                <w:p w14:paraId="7AA2825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生活污水、食堂污水</w:t>
                  </w:r>
                </w:p>
              </w:tc>
              <w:tc>
                <w:tcPr>
                  <w:tcW w:w="1893" w:type="pct"/>
                  <w:tcBorders>
                    <w:tl2br w:val="nil"/>
                    <w:tr2bl w:val="nil"/>
                  </w:tcBorders>
                  <w:vAlign w:val="center"/>
                </w:tcPr>
                <w:p w14:paraId="7A266DD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COD、SS、NH</w:t>
                  </w:r>
                  <w:r>
                    <w:rPr>
                      <w:rFonts w:hint="default" w:ascii="Times New Roman" w:hAnsi="Times New Roman" w:eastAsia="仿宋" w:cs="Times New Roman"/>
                      <w:color w:val="auto"/>
                      <w:kern w:val="0"/>
                      <w:sz w:val="21"/>
                      <w:szCs w:val="21"/>
                      <w:highlight w:val="none"/>
                      <w:vertAlign w:val="subscript"/>
                    </w:rPr>
                    <w:t>3</w:t>
                  </w:r>
                  <w:r>
                    <w:rPr>
                      <w:rFonts w:hint="default" w:ascii="Times New Roman" w:hAnsi="Times New Roman" w:eastAsia="仿宋" w:cs="Times New Roman"/>
                      <w:color w:val="auto"/>
                      <w:kern w:val="0"/>
                      <w:sz w:val="21"/>
                      <w:szCs w:val="21"/>
                      <w:highlight w:val="none"/>
                    </w:rPr>
                    <w:t>-N、TN、TP</w:t>
                  </w:r>
                  <w:r>
                    <w:rPr>
                      <w:rFonts w:hint="eastAsia" w:ascii="Times New Roman" w:hAnsi="Times New Roman" w:eastAsia="仿宋" w:cs="Times New Roman"/>
                      <w:color w:val="auto"/>
                      <w:kern w:val="0"/>
                      <w:sz w:val="21"/>
                      <w:szCs w:val="21"/>
                      <w:highlight w:val="none"/>
                      <w:lang w:eastAsia="zh-CN"/>
                    </w:rPr>
                    <w:t>、</w:t>
                  </w:r>
                  <w:r>
                    <w:rPr>
                      <w:rFonts w:hint="eastAsia" w:ascii="Times New Roman" w:hAnsi="Times New Roman" w:eastAsia="仿宋" w:cs="Times New Roman"/>
                      <w:color w:val="auto"/>
                      <w:kern w:val="0"/>
                      <w:sz w:val="21"/>
                      <w:szCs w:val="21"/>
                      <w:highlight w:val="none"/>
                      <w:lang w:val="en-US" w:eastAsia="zh-CN"/>
                    </w:rPr>
                    <w:t>动植物油</w:t>
                  </w:r>
                </w:p>
              </w:tc>
            </w:tr>
            <w:tr w14:paraId="5B10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544" w:type="pct"/>
                  <w:vMerge w:val="continue"/>
                  <w:tcBorders>
                    <w:tl2br w:val="nil"/>
                    <w:tr2bl w:val="nil"/>
                  </w:tcBorders>
                  <w:vAlign w:val="center"/>
                </w:tcPr>
                <w:p w14:paraId="36DCEEA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p>
              </w:tc>
              <w:tc>
                <w:tcPr>
                  <w:tcW w:w="1277" w:type="pct"/>
                  <w:gridSpan w:val="2"/>
                  <w:vMerge w:val="continue"/>
                  <w:tcBorders>
                    <w:tl2br w:val="nil"/>
                    <w:tr2bl w:val="nil"/>
                  </w:tcBorders>
                  <w:vAlign w:val="center"/>
                </w:tcPr>
                <w:p w14:paraId="709BACC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p>
              </w:tc>
              <w:tc>
                <w:tcPr>
                  <w:tcW w:w="1284" w:type="pct"/>
                  <w:tcBorders>
                    <w:tl2br w:val="nil"/>
                    <w:tr2bl w:val="nil"/>
                  </w:tcBorders>
                  <w:vAlign w:val="center"/>
                </w:tcPr>
                <w:p w14:paraId="490730F6">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医疗废水</w:t>
                  </w:r>
                </w:p>
              </w:tc>
              <w:tc>
                <w:tcPr>
                  <w:tcW w:w="1893" w:type="pct"/>
                  <w:tcBorders>
                    <w:tl2br w:val="nil"/>
                    <w:tr2bl w:val="nil"/>
                  </w:tcBorders>
                  <w:vAlign w:val="center"/>
                </w:tcPr>
                <w:p w14:paraId="358DCF49">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COD、SS、动植物油、粪大肠菌群数、总余氯</w:t>
                  </w:r>
                </w:p>
              </w:tc>
            </w:tr>
            <w:tr w14:paraId="51B6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544" w:type="pct"/>
                  <w:vMerge w:val="restart"/>
                  <w:tcBorders>
                    <w:tl2br w:val="nil"/>
                    <w:tr2bl w:val="nil"/>
                  </w:tcBorders>
                  <w:vAlign w:val="center"/>
                </w:tcPr>
                <w:p w14:paraId="2D2DFAC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固废</w:t>
                  </w:r>
                </w:p>
              </w:tc>
              <w:tc>
                <w:tcPr>
                  <w:tcW w:w="1277" w:type="pct"/>
                  <w:gridSpan w:val="2"/>
                  <w:vMerge w:val="restart"/>
                  <w:tcBorders>
                    <w:tl2br w:val="nil"/>
                    <w:tr2bl w:val="nil"/>
                  </w:tcBorders>
                  <w:vAlign w:val="center"/>
                </w:tcPr>
                <w:p w14:paraId="0E83089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施工期</w:t>
                  </w:r>
                </w:p>
              </w:tc>
              <w:tc>
                <w:tcPr>
                  <w:tcW w:w="1284" w:type="pct"/>
                  <w:tcBorders>
                    <w:tl2br w:val="nil"/>
                    <w:tr2bl w:val="nil"/>
                  </w:tcBorders>
                  <w:vAlign w:val="center"/>
                </w:tcPr>
                <w:p w14:paraId="6A7EDDA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废弃建筑垃圾</w:t>
                  </w:r>
                </w:p>
              </w:tc>
              <w:tc>
                <w:tcPr>
                  <w:tcW w:w="1893" w:type="pct"/>
                  <w:tcBorders>
                    <w:tl2br w:val="nil"/>
                    <w:tr2bl w:val="nil"/>
                  </w:tcBorders>
                  <w:vAlign w:val="center"/>
                </w:tcPr>
                <w:p w14:paraId="7168CF0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土石、砖瓦等</w:t>
                  </w:r>
                </w:p>
              </w:tc>
            </w:tr>
            <w:tr w14:paraId="48C3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544" w:type="pct"/>
                  <w:vMerge w:val="continue"/>
                  <w:tcBorders>
                    <w:tl2br w:val="nil"/>
                    <w:tr2bl w:val="nil"/>
                  </w:tcBorders>
                  <w:vAlign w:val="center"/>
                </w:tcPr>
                <w:p w14:paraId="1E653B2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p>
              </w:tc>
              <w:tc>
                <w:tcPr>
                  <w:tcW w:w="1277" w:type="pct"/>
                  <w:gridSpan w:val="2"/>
                  <w:vMerge w:val="continue"/>
                  <w:tcBorders>
                    <w:tl2br w:val="nil"/>
                    <w:tr2bl w:val="nil"/>
                  </w:tcBorders>
                  <w:vAlign w:val="center"/>
                </w:tcPr>
                <w:p w14:paraId="0F9F8C2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p>
              </w:tc>
              <w:tc>
                <w:tcPr>
                  <w:tcW w:w="1284" w:type="pct"/>
                  <w:tcBorders>
                    <w:tl2br w:val="nil"/>
                    <w:tr2bl w:val="nil"/>
                  </w:tcBorders>
                  <w:vAlign w:val="center"/>
                </w:tcPr>
                <w:p w14:paraId="4ABAF24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生活垃圾</w:t>
                  </w:r>
                </w:p>
              </w:tc>
              <w:tc>
                <w:tcPr>
                  <w:tcW w:w="1893" w:type="pct"/>
                  <w:tcBorders>
                    <w:tl2br w:val="nil"/>
                    <w:tr2bl w:val="nil"/>
                  </w:tcBorders>
                  <w:vAlign w:val="center"/>
                </w:tcPr>
                <w:p w14:paraId="1F20E60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r>
            <w:tr w14:paraId="2995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544" w:type="pct"/>
                  <w:vMerge w:val="continue"/>
                  <w:tcBorders>
                    <w:tl2br w:val="nil"/>
                    <w:tr2bl w:val="nil"/>
                  </w:tcBorders>
                  <w:vAlign w:val="center"/>
                </w:tcPr>
                <w:p w14:paraId="4F9DB1D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p>
              </w:tc>
              <w:tc>
                <w:tcPr>
                  <w:tcW w:w="1277" w:type="pct"/>
                  <w:gridSpan w:val="2"/>
                  <w:vMerge w:val="restart"/>
                  <w:tcBorders>
                    <w:tl2br w:val="nil"/>
                    <w:tr2bl w:val="nil"/>
                  </w:tcBorders>
                  <w:vAlign w:val="center"/>
                </w:tcPr>
                <w:p w14:paraId="78D329A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营运期</w:t>
                  </w:r>
                </w:p>
              </w:tc>
              <w:tc>
                <w:tcPr>
                  <w:tcW w:w="1284" w:type="pct"/>
                  <w:tcBorders>
                    <w:tl2br w:val="nil"/>
                    <w:tr2bl w:val="nil"/>
                  </w:tcBorders>
                  <w:vAlign w:val="center"/>
                </w:tcPr>
                <w:p w14:paraId="4D52C64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生活垃圾</w:t>
                  </w:r>
                </w:p>
              </w:tc>
              <w:tc>
                <w:tcPr>
                  <w:tcW w:w="1893" w:type="pct"/>
                  <w:tcBorders>
                    <w:tl2br w:val="nil"/>
                    <w:tr2bl w:val="nil"/>
                  </w:tcBorders>
                  <w:vAlign w:val="center"/>
                </w:tcPr>
                <w:p w14:paraId="3A35DD4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w:t>
                  </w:r>
                </w:p>
              </w:tc>
            </w:tr>
            <w:tr w14:paraId="23BB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544" w:type="pct"/>
                  <w:vMerge w:val="continue"/>
                  <w:tcBorders>
                    <w:tl2br w:val="nil"/>
                    <w:tr2bl w:val="nil"/>
                  </w:tcBorders>
                  <w:vAlign w:val="center"/>
                </w:tcPr>
                <w:p w14:paraId="394B3F8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p>
              </w:tc>
              <w:tc>
                <w:tcPr>
                  <w:tcW w:w="1277" w:type="pct"/>
                  <w:gridSpan w:val="2"/>
                  <w:vMerge w:val="continue"/>
                  <w:tcBorders>
                    <w:tl2br w:val="nil"/>
                    <w:tr2bl w:val="nil"/>
                  </w:tcBorders>
                  <w:vAlign w:val="center"/>
                </w:tcPr>
                <w:p w14:paraId="10498F2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p>
              </w:tc>
              <w:tc>
                <w:tcPr>
                  <w:tcW w:w="1284" w:type="pct"/>
                  <w:tcBorders>
                    <w:tl2br w:val="nil"/>
                    <w:tr2bl w:val="nil"/>
                  </w:tcBorders>
                  <w:vAlign w:val="center"/>
                </w:tcPr>
                <w:p w14:paraId="60CFAA9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医疗废物</w:t>
                  </w:r>
                </w:p>
              </w:tc>
              <w:tc>
                <w:tcPr>
                  <w:tcW w:w="1893" w:type="pct"/>
                  <w:tcBorders>
                    <w:tl2br w:val="nil"/>
                    <w:tr2bl w:val="nil"/>
                  </w:tcBorders>
                  <w:vAlign w:val="center"/>
                </w:tcPr>
                <w:p w14:paraId="213D391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r>
            <w:tr w14:paraId="7B21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544" w:type="pct"/>
                  <w:vMerge w:val="continue"/>
                  <w:tcBorders>
                    <w:tl2br w:val="nil"/>
                    <w:tr2bl w:val="nil"/>
                  </w:tcBorders>
                  <w:vAlign w:val="center"/>
                </w:tcPr>
                <w:p w14:paraId="01DA656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1277" w:type="pct"/>
                  <w:gridSpan w:val="2"/>
                  <w:vMerge w:val="continue"/>
                  <w:tcBorders>
                    <w:tl2br w:val="nil"/>
                    <w:tr2bl w:val="nil"/>
                  </w:tcBorders>
                  <w:vAlign w:val="center"/>
                </w:tcPr>
                <w:p w14:paraId="4543391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1284" w:type="pct"/>
                  <w:tcBorders>
                    <w:tl2br w:val="nil"/>
                    <w:tr2bl w:val="nil"/>
                  </w:tcBorders>
                  <w:vAlign w:val="center"/>
                </w:tcPr>
                <w:p w14:paraId="79EA714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污泥</w:t>
                  </w:r>
                </w:p>
              </w:tc>
              <w:tc>
                <w:tcPr>
                  <w:tcW w:w="1893" w:type="pct"/>
                  <w:tcBorders>
                    <w:tl2br w:val="nil"/>
                    <w:tr2bl w:val="nil"/>
                  </w:tcBorders>
                  <w:vAlign w:val="center"/>
                </w:tcPr>
                <w:p w14:paraId="3149518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r>
            <w:tr w14:paraId="5A57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544" w:type="pct"/>
                  <w:vMerge w:val="continue"/>
                  <w:tcBorders>
                    <w:tl2br w:val="nil"/>
                    <w:tr2bl w:val="nil"/>
                  </w:tcBorders>
                  <w:vAlign w:val="center"/>
                </w:tcPr>
                <w:p w14:paraId="54E3499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1277" w:type="pct"/>
                  <w:gridSpan w:val="2"/>
                  <w:vMerge w:val="continue"/>
                  <w:tcBorders>
                    <w:tl2br w:val="nil"/>
                    <w:tr2bl w:val="nil"/>
                  </w:tcBorders>
                  <w:vAlign w:val="center"/>
                </w:tcPr>
                <w:p w14:paraId="18A0519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1284" w:type="pct"/>
                  <w:tcBorders>
                    <w:tl2br w:val="nil"/>
                    <w:tr2bl w:val="nil"/>
                  </w:tcBorders>
                  <w:vAlign w:val="center"/>
                </w:tcPr>
                <w:p w14:paraId="6714726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喷淋废液</w:t>
                  </w:r>
                </w:p>
              </w:tc>
              <w:tc>
                <w:tcPr>
                  <w:tcW w:w="1893" w:type="pct"/>
                  <w:tcBorders>
                    <w:tl2br w:val="nil"/>
                    <w:tr2bl w:val="nil"/>
                  </w:tcBorders>
                  <w:vAlign w:val="center"/>
                </w:tcPr>
                <w:p w14:paraId="6E249E3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r>
            <w:tr w14:paraId="6ADC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544" w:type="pct"/>
                  <w:vMerge w:val="continue"/>
                  <w:tcBorders>
                    <w:tl2br w:val="nil"/>
                    <w:tr2bl w:val="nil"/>
                  </w:tcBorders>
                  <w:vAlign w:val="center"/>
                </w:tcPr>
                <w:p w14:paraId="0020C3D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1277" w:type="pct"/>
                  <w:gridSpan w:val="2"/>
                  <w:vMerge w:val="continue"/>
                  <w:tcBorders>
                    <w:tl2br w:val="nil"/>
                    <w:tr2bl w:val="nil"/>
                  </w:tcBorders>
                  <w:vAlign w:val="center"/>
                </w:tcPr>
                <w:p w14:paraId="1F106DD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1284" w:type="pct"/>
                  <w:tcBorders>
                    <w:tl2br w:val="nil"/>
                    <w:tr2bl w:val="nil"/>
                  </w:tcBorders>
                  <w:vAlign w:val="center"/>
                </w:tcPr>
                <w:p w14:paraId="445590E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废活性炭</w:t>
                  </w:r>
                </w:p>
              </w:tc>
              <w:tc>
                <w:tcPr>
                  <w:tcW w:w="1893" w:type="pct"/>
                  <w:tcBorders>
                    <w:tl2br w:val="nil"/>
                    <w:tr2bl w:val="nil"/>
                  </w:tcBorders>
                  <w:vAlign w:val="center"/>
                </w:tcPr>
                <w:p w14:paraId="107BEA8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r>
            <w:tr w14:paraId="0314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544" w:type="pct"/>
                  <w:vMerge w:val="restart"/>
                  <w:tcBorders>
                    <w:tl2br w:val="nil"/>
                    <w:tr2bl w:val="nil"/>
                  </w:tcBorders>
                  <w:vAlign w:val="center"/>
                </w:tcPr>
                <w:p w14:paraId="3296E00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噪声</w:t>
                  </w:r>
                </w:p>
              </w:tc>
              <w:tc>
                <w:tcPr>
                  <w:tcW w:w="1277" w:type="pct"/>
                  <w:gridSpan w:val="2"/>
                  <w:vMerge w:val="restart"/>
                  <w:tcBorders>
                    <w:tl2br w:val="nil"/>
                    <w:tr2bl w:val="nil"/>
                  </w:tcBorders>
                  <w:vAlign w:val="center"/>
                </w:tcPr>
                <w:p w14:paraId="7D4A8E2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施工期</w:t>
                  </w:r>
                </w:p>
              </w:tc>
              <w:tc>
                <w:tcPr>
                  <w:tcW w:w="1284" w:type="pct"/>
                  <w:tcBorders>
                    <w:tl2br w:val="nil"/>
                    <w:tr2bl w:val="nil"/>
                  </w:tcBorders>
                  <w:vAlign w:val="center"/>
                </w:tcPr>
                <w:p w14:paraId="4C9FF6D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施工机械等</w:t>
                  </w:r>
                </w:p>
              </w:tc>
              <w:tc>
                <w:tcPr>
                  <w:tcW w:w="1893" w:type="pct"/>
                  <w:tcBorders>
                    <w:tl2br w:val="nil"/>
                    <w:tr2bl w:val="nil"/>
                  </w:tcBorders>
                  <w:vAlign w:val="center"/>
                </w:tcPr>
                <w:p w14:paraId="18191EC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等效A声级</w:t>
                  </w:r>
                </w:p>
              </w:tc>
            </w:tr>
            <w:tr w14:paraId="429F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544" w:type="pct"/>
                  <w:vMerge w:val="continue"/>
                  <w:tcBorders>
                    <w:tl2br w:val="nil"/>
                    <w:tr2bl w:val="nil"/>
                  </w:tcBorders>
                  <w:vAlign w:val="center"/>
                </w:tcPr>
                <w:p w14:paraId="6C90FB0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1277" w:type="pct"/>
                  <w:gridSpan w:val="2"/>
                  <w:vMerge w:val="continue"/>
                  <w:tcBorders>
                    <w:tl2br w:val="nil"/>
                    <w:tr2bl w:val="nil"/>
                  </w:tcBorders>
                  <w:vAlign w:val="center"/>
                </w:tcPr>
                <w:p w14:paraId="2DDE896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1284" w:type="pct"/>
                  <w:tcBorders>
                    <w:tl2br w:val="nil"/>
                    <w:tr2bl w:val="nil"/>
                  </w:tcBorders>
                  <w:vAlign w:val="center"/>
                </w:tcPr>
                <w:p w14:paraId="2D51988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运输汽车</w:t>
                  </w:r>
                </w:p>
              </w:tc>
              <w:tc>
                <w:tcPr>
                  <w:tcW w:w="1893" w:type="pct"/>
                  <w:tcBorders>
                    <w:tl2br w:val="nil"/>
                    <w:tr2bl w:val="nil"/>
                  </w:tcBorders>
                  <w:vAlign w:val="center"/>
                </w:tcPr>
                <w:p w14:paraId="7B829F8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sz w:val="21"/>
                      <w:szCs w:val="21"/>
                      <w:highlight w:val="none"/>
                      <w:lang w:val="en-US" w:eastAsia="zh-CN"/>
                    </w:rPr>
                    <w:t>等效A声级</w:t>
                  </w:r>
                </w:p>
              </w:tc>
            </w:tr>
            <w:tr w14:paraId="2334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544" w:type="pct"/>
                  <w:vMerge w:val="continue"/>
                  <w:tcBorders>
                    <w:tl2br w:val="nil"/>
                    <w:tr2bl w:val="nil"/>
                  </w:tcBorders>
                  <w:vAlign w:val="center"/>
                </w:tcPr>
                <w:p w14:paraId="3EDADB5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1277" w:type="pct"/>
                  <w:gridSpan w:val="2"/>
                  <w:vMerge w:val="restart"/>
                  <w:tcBorders>
                    <w:tl2br w:val="nil"/>
                    <w:tr2bl w:val="nil"/>
                  </w:tcBorders>
                  <w:vAlign w:val="center"/>
                </w:tcPr>
                <w:p w14:paraId="5BA31D0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营运期</w:t>
                  </w:r>
                </w:p>
              </w:tc>
              <w:tc>
                <w:tcPr>
                  <w:tcW w:w="1284" w:type="pct"/>
                  <w:tcBorders>
                    <w:tl2br w:val="nil"/>
                    <w:tr2bl w:val="nil"/>
                  </w:tcBorders>
                  <w:vAlign w:val="center"/>
                </w:tcPr>
                <w:p w14:paraId="03FE963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进出车辆</w:t>
                  </w:r>
                </w:p>
              </w:tc>
              <w:tc>
                <w:tcPr>
                  <w:tcW w:w="1893" w:type="pct"/>
                  <w:tcBorders>
                    <w:tl2br w:val="nil"/>
                    <w:tr2bl w:val="nil"/>
                  </w:tcBorders>
                  <w:vAlign w:val="center"/>
                </w:tcPr>
                <w:p w14:paraId="70277C4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sz w:val="21"/>
                      <w:szCs w:val="21"/>
                      <w:highlight w:val="none"/>
                      <w:lang w:val="en-US" w:eastAsia="zh-CN"/>
                    </w:rPr>
                    <w:t>等效A声级</w:t>
                  </w:r>
                </w:p>
              </w:tc>
            </w:tr>
            <w:tr w14:paraId="186B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544" w:type="pct"/>
                  <w:vMerge w:val="continue"/>
                  <w:tcBorders>
                    <w:tl2br w:val="nil"/>
                    <w:tr2bl w:val="nil"/>
                  </w:tcBorders>
                  <w:vAlign w:val="center"/>
                </w:tcPr>
                <w:p w14:paraId="748E273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1277" w:type="pct"/>
                  <w:gridSpan w:val="2"/>
                  <w:vMerge w:val="continue"/>
                  <w:tcBorders>
                    <w:tl2br w:val="nil"/>
                    <w:tr2bl w:val="nil"/>
                  </w:tcBorders>
                  <w:vAlign w:val="center"/>
                </w:tcPr>
                <w:p w14:paraId="2F76FA2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1284" w:type="pct"/>
                  <w:tcBorders>
                    <w:tl2br w:val="nil"/>
                    <w:tr2bl w:val="nil"/>
                  </w:tcBorders>
                  <w:vAlign w:val="center"/>
                </w:tcPr>
                <w:p w14:paraId="0E271F6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设备噪声</w:t>
                  </w:r>
                </w:p>
              </w:tc>
              <w:tc>
                <w:tcPr>
                  <w:tcW w:w="1893" w:type="pct"/>
                  <w:tcBorders>
                    <w:tl2br w:val="nil"/>
                    <w:tr2bl w:val="nil"/>
                  </w:tcBorders>
                  <w:vAlign w:val="center"/>
                </w:tcPr>
                <w:p w14:paraId="75E12EB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sz w:val="21"/>
                      <w:szCs w:val="21"/>
                      <w:highlight w:val="none"/>
                      <w:lang w:val="en-US" w:eastAsia="zh-CN"/>
                    </w:rPr>
                    <w:t>等效A声级</w:t>
                  </w:r>
                </w:p>
              </w:tc>
            </w:tr>
          </w:tbl>
          <w:p w14:paraId="67247DF1">
            <w:pPr>
              <w:pStyle w:val="38"/>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本项目水平衡见下图：</w:t>
            </w:r>
          </w:p>
          <w:p w14:paraId="46D7E0CA">
            <w:pPr>
              <w:pStyle w:val="38"/>
              <w:spacing w:line="360" w:lineRule="auto"/>
              <w:ind w:left="0" w:leftChars="0" w:firstLine="0" w:firstLineChars="0"/>
              <w:jc w:val="center"/>
              <w:rPr>
                <w:rFonts w:hint="eastAsia" w:ascii="Times New Roman" w:hAnsi="Times New Roman" w:eastAsia="仿宋" w:cs="Times New Roman"/>
                <w:b/>
                <w:bCs/>
                <w:color w:val="auto"/>
                <w:sz w:val="24"/>
                <w:szCs w:val="24"/>
                <w:highlight w:val="none"/>
                <w:lang w:eastAsia="zh-CN"/>
              </w:rPr>
            </w:pPr>
            <w:r>
              <w:rPr>
                <w:rFonts w:hint="eastAsia" w:ascii="Times New Roman" w:hAnsi="Times New Roman" w:eastAsia="仿宋" w:cs="Times New Roman"/>
                <w:b/>
                <w:bCs/>
                <w:color w:val="auto"/>
                <w:sz w:val="24"/>
                <w:szCs w:val="24"/>
                <w:highlight w:val="none"/>
                <w:lang w:eastAsia="zh-CN"/>
              </w:rPr>
              <w:drawing>
                <wp:inline distT="0" distB="0" distL="114300" distR="114300">
                  <wp:extent cx="5241290" cy="2138045"/>
                  <wp:effectExtent l="0" t="0" r="16510" b="14605"/>
                  <wp:docPr id="5" name="图片 5" descr="F:/【01】今汇/【12】苏南骨科医院/本项目水平衡图.png本项目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01】今汇/【12】苏南骨科医院/本项目水平衡图.png本项目水平衡图"/>
                          <pic:cNvPicPr>
                            <a:picLocks noChangeAspect="1"/>
                          </pic:cNvPicPr>
                        </pic:nvPicPr>
                        <pic:blipFill>
                          <a:blip r:embed="rId17"/>
                          <a:srcRect/>
                          <a:stretch>
                            <a:fillRect/>
                          </a:stretch>
                        </pic:blipFill>
                        <pic:spPr>
                          <a:xfrm>
                            <a:off x="0" y="0"/>
                            <a:ext cx="5241290" cy="2138045"/>
                          </a:xfrm>
                          <a:prstGeom prst="rect">
                            <a:avLst/>
                          </a:prstGeom>
                        </pic:spPr>
                      </pic:pic>
                    </a:graphicData>
                  </a:graphic>
                </wp:inline>
              </w:drawing>
            </w:r>
          </w:p>
          <w:p w14:paraId="0681DD1D">
            <w:pPr>
              <w:bidi w:val="0"/>
              <w:spacing w:line="360" w:lineRule="auto"/>
              <w:jc w:val="center"/>
              <w:rPr>
                <w:rFonts w:hint="eastAsia" w:ascii="Times New Roman" w:hAnsi="Times New Roman" w:eastAsia="宋体" w:cs="Times New Roman"/>
                <w:color w:val="FF0000"/>
                <w:sz w:val="24"/>
                <w:szCs w:val="24"/>
              </w:rPr>
            </w:pPr>
            <w:r>
              <w:rPr>
                <w:rFonts w:hint="default" w:ascii="Times New Roman" w:hAnsi="Times New Roman" w:eastAsia="仿宋" w:cs="Times New Roman"/>
                <w:b/>
                <w:bCs/>
                <w:color w:val="auto"/>
                <w:kern w:val="0"/>
                <w:sz w:val="24"/>
                <w:szCs w:val="24"/>
                <w:highlight w:val="none"/>
              </w:rPr>
              <w:t>图2-</w:t>
            </w:r>
            <w:r>
              <w:rPr>
                <w:rFonts w:hint="eastAsia" w:eastAsia="仿宋" w:cs="Times New Roman"/>
                <w:b/>
                <w:bCs/>
                <w:color w:val="auto"/>
                <w:kern w:val="0"/>
                <w:sz w:val="24"/>
                <w:szCs w:val="24"/>
                <w:highlight w:val="none"/>
                <w:lang w:val="en-US" w:eastAsia="zh-CN"/>
              </w:rPr>
              <w:t>3本</w:t>
            </w:r>
            <w:r>
              <w:rPr>
                <w:rFonts w:hint="default" w:ascii="Times New Roman" w:hAnsi="Times New Roman" w:eastAsia="仿宋" w:cs="Times New Roman"/>
                <w:b/>
                <w:bCs/>
                <w:color w:val="auto"/>
                <w:kern w:val="0"/>
                <w:sz w:val="24"/>
                <w:szCs w:val="24"/>
                <w:highlight w:val="none"/>
              </w:rPr>
              <w:t>项目水平衡图</w:t>
            </w:r>
            <w:r>
              <w:rPr>
                <w:rStyle w:val="137"/>
                <w:rFonts w:hint="default" w:ascii="Times New Roman" w:hAnsi="Times New Roman" w:eastAsia="仿宋" w:cs="Times New Roman"/>
                <w:color w:val="auto"/>
                <w:sz w:val="24"/>
                <w:szCs w:val="24"/>
                <w:highlight w:val="none"/>
              </w:rPr>
              <w:t>（m</w:t>
            </w:r>
            <w:r>
              <w:rPr>
                <w:rStyle w:val="137"/>
                <w:rFonts w:hint="default" w:ascii="Times New Roman" w:hAnsi="Times New Roman" w:eastAsia="仿宋" w:cs="Times New Roman"/>
                <w:color w:val="auto"/>
                <w:sz w:val="24"/>
                <w:szCs w:val="24"/>
                <w:highlight w:val="none"/>
                <w:vertAlign w:val="superscript"/>
              </w:rPr>
              <w:t>3</w:t>
            </w:r>
            <w:r>
              <w:rPr>
                <w:rStyle w:val="137"/>
                <w:rFonts w:hint="default" w:ascii="Times New Roman" w:hAnsi="Times New Roman" w:eastAsia="仿宋" w:cs="Times New Roman"/>
                <w:color w:val="auto"/>
                <w:sz w:val="24"/>
                <w:szCs w:val="24"/>
                <w:highlight w:val="none"/>
              </w:rPr>
              <w:t>/a）</w:t>
            </w:r>
          </w:p>
          <w:p w14:paraId="4ACA3402">
            <w:pPr>
              <w:bidi w:val="0"/>
              <w:rPr>
                <w:rFonts w:hint="eastAsia" w:ascii="Times New Roman" w:hAnsi="Times New Roman" w:eastAsia="宋体" w:cs="Times New Roman"/>
                <w:bCs/>
                <w:color w:val="FF0000"/>
                <w:sz w:val="24"/>
                <w:lang w:eastAsia="zh-CN"/>
              </w:rPr>
            </w:pPr>
            <w:r>
              <w:rPr>
                <w:rFonts w:hint="eastAsia" w:ascii="Times New Roman" w:hAnsi="Times New Roman" w:eastAsia="宋体" w:cs="Times New Roman"/>
                <w:bCs/>
                <w:color w:val="FF0000"/>
                <w:sz w:val="24"/>
                <w:lang w:eastAsia="zh-CN"/>
              </w:rPr>
              <w:drawing>
                <wp:inline distT="0" distB="0" distL="114300" distR="114300">
                  <wp:extent cx="5334635" cy="6249035"/>
                  <wp:effectExtent l="0" t="0" r="18415" b="18415"/>
                  <wp:docPr id="6" name="图片 6" descr="F:/【01】今汇/【12】苏南骨科医院/全厂水平衡图.png全厂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01】今汇/【12】苏南骨科医院/全厂水平衡图.png全厂水平衡图"/>
                          <pic:cNvPicPr>
                            <a:picLocks noChangeAspect="1"/>
                          </pic:cNvPicPr>
                        </pic:nvPicPr>
                        <pic:blipFill>
                          <a:blip r:embed="rId18"/>
                          <a:srcRect l="5" r="5"/>
                          <a:stretch>
                            <a:fillRect/>
                          </a:stretch>
                        </pic:blipFill>
                        <pic:spPr>
                          <a:xfrm>
                            <a:off x="0" y="0"/>
                            <a:ext cx="5334635" cy="6249035"/>
                          </a:xfrm>
                          <a:prstGeom prst="rect">
                            <a:avLst/>
                          </a:prstGeom>
                        </pic:spPr>
                      </pic:pic>
                    </a:graphicData>
                  </a:graphic>
                </wp:inline>
              </w:drawing>
            </w:r>
          </w:p>
          <w:p w14:paraId="4E107AF8">
            <w:pPr>
              <w:bidi w:val="0"/>
              <w:jc w:val="center"/>
              <w:rPr>
                <w:rFonts w:hint="eastAsia" w:ascii="Times New Roman" w:hAnsi="Times New Roman" w:eastAsia="宋体" w:cs="Times New Roman"/>
                <w:bCs/>
                <w:color w:val="FF0000"/>
                <w:sz w:val="24"/>
                <w:lang w:eastAsia="zh-CN"/>
              </w:rPr>
            </w:pPr>
            <w:r>
              <w:rPr>
                <w:rFonts w:hint="eastAsia" w:ascii="Times New Roman" w:hAnsi="Times New Roman" w:eastAsia="仿宋" w:cs="Times New Roman"/>
                <w:b/>
                <w:bCs/>
                <w:color w:val="auto"/>
                <w:kern w:val="0"/>
                <w:sz w:val="24"/>
                <w:szCs w:val="24"/>
                <w:highlight w:val="none"/>
                <w:lang w:val="en-US" w:eastAsia="zh-CN"/>
              </w:rPr>
              <w:t>图</w:t>
            </w:r>
            <w:r>
              <w:rPr>
                <w:rFonts w:hint="default" w:ascii="Times New Roman" w:hAnsi="Times New Roman" w:eastAsia="仿宋" w:cs="Times New Roman"/>
                <w:b/>
                <w:bCs/>
                <w:color w:val="auto"/>
                <w:kern w:val="0"/>
                <w:sz w:val="24"/>
                <w:szCs w:val="24"/>
                <w:highlight w:val="none"/>
              </w:rPr>
              <w:t>2-</w:t>
            </w:r>
            <w:r>
              <w:rPr>
                <w:rFonts w:hint="eastAsia" w:ascii="Times New Roman" w:hAnsi="Times New Roman" w:eastAsia="仿宋" w:cs="Times New Roman"/>
                <w:b/>
                <w:bCs/>
                <w:color w:val="auto"/>
                <w:kern w:val="0"/>
                <w:sz w:val="24"/>
                <w:szCs w:val="24"/>
                <w:highlight w:val="none"/>
                <w:lang w:val="en-US" w:eastAsia="zh-CN"/>
              </w:rPr>
              <w:t>4 扩建后全厂</w:t>
            </w:r>
            <w:r>
              <w:rPr>
                <w:rFonts w:hint="default" w:ascii="Times New Roman" w:hAnsi="Times New Roman" w:eastAsia="仿宋" w:cs="Times New Roman"/>
                <w:b/>
                <w:bCs/>
                <w:color w:val="auto"/>
                <w:kern w:val="0"/>
                <w:sz w:val="24"/>
                <w:szCs w:val="24"/>
                <w:highlight w:val="none"/>
              </w:rPr>
              <w:t>水平衡图</w:t>
            </w:r>
            <w:r>
              <w:rPr>
                <w:rStyle w:val="137"/>
                <w:rFonts w:hint="default" w:ascii="Times New Roman" w:hAnsi="Times New Roman" w:eastAsia="仿宋" w:cs="Times New Roman"/>
                <w:color w:val="auto"/>
                <w:sz w:val="24"/>
                <w:szCs w:val="24"/>
                <w:highlight w:val="none"/>
              </w:rPr>
              <w:t>（m</w:t>
            </w:r>
            <w:r>
              <w:rPr>
                <w:rStyle w:val="137"/>
                <w:rFonts w:hint="default" w:ascii="Times New Roman" w:hAnsi="Times New Roman" w:eastAsia="仿宋" w:cs="Times New Roman"/>
                <w:color w:val="auto"/>
                <w:sz w:val="24"/>
                <w:szCs w:val="24"/>
                <w:highlight w:val="none"/>
                <w:vertAlign w:val="superscript"/>
              </w:rPr>
              <w:t>3</w:t>
            </w:r>
            <w:r>
              <w:rPr>
                <w:rStyle w:val="137"/>
                <w:rFonts w:hint="default" w:ascii="Times New Roman" w:hAnsi="Times New Roman" w:eastAsia="仿宋" w:cs="Times New Roman"/>
                <w:color w:val="auto"/>
                <w:sz w:val="24"/>
                <w:szCs w:val="24"/>
                <w:highlight w:val="none"/>
              </w:rPr>
              <w:t>/a）</w:t>
            </w:r>
          </w:p>
        </w:tc>
      </w:tr>
      <w:tr w14:paraId="6B563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465" w:type="dxa"/>
            <w:vAlign w:val="center"/>
          </w:tcPr>
          <w:p w14:paraId="16345C80">
            <w:pPr>
              <w:pStyle w:val="27"/>
              <w:adjustRightInd w:val="0"/>
              <w:snapToGrid w:val="0"/>
              <w:spacing w:before="0" w:beforeAutospacing="0" w:after="0" w:afterAutospacing="0"/>
              <w:jc w:val="center"/>
              <w:rPr>
                <w:rFonts w:hint="default" w:ascii="Times New Roman" w:hAnsi="Times New Roman" w:cs="Times New Roman"/>
                <w:b/>
                <w:bCs/>
                <w:color w:val="FF0000"/>
                <w:kern w:val="2"/>
                <w:szCs w:val="24"/>
              </w:rPr>
            </w:pPr>
            <w:r>
              <w:rPr>
                <w:rFonts w:hint="default" w:ascii="Times New Roman" w:hAnsi="Times New Roman" w:eastAsia="仿宋" w:cs="Times New Roman"/>
                <w:color w:val="auto"/>
                <w:kern w:val="0"/>
                <w:sz w:val="24"/>
                <w:szCs w:val="24"/>
                <w:highlight w:val="none"/>
                <w:lang w:val="en-US" w:eastAsia="zh-CN" w:bidi="ar-SA"/>
              </w:rPr>
              <w:t>与项目有关的原有环境污染问题</w:t>
            </w:r>
          </w:p>
        </w:tc>
        <w:tc>
          <w:tcPr>
            <w:tcW w:w="8592" w:type="dxa"/>
          </w:tcPr>
          <w:p w14:paraId="5FBE9C07">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金坛第一人民医院是一所集医疗、教学、科研、预防、保健于一体的三级综合医院。为江苏大学附属医院、江苏医药职业学院的临床学院，是东南大学医学院、甘肃医学院等医学院校的教学医院，是江苏省住院医师规范化培训国家级基地的协同医院，是江苏省老年友善医疗机构。2020年12月，医院整体搬迁至金坛滨湖新城，并全面投入使用。2021年3月，由“常州市金坛区人民医院”更名为“常州市金坛第一人民医院”。2021年12月30日，上海市第一人民医院与常州市金坛区人民政府签约，合作共建“上海市第一人民医院金坛医院”。</w:t>
            </w:r>
          </w:p>
          <w:p w14:paraId="187DDBC0">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由于金坛区周边尚无急诊创伤医学中心，且近年来门急诊人次增加，因此需要建设区域化急诊创伤医学中心。</w:t>
            </w:r>
          </w:p>
          <w:p w14:paraId="7C80BBCC">
            <w:pPr>
              <w:pStyle w:val="38"/>
              <w:spacing w:line="360" w:lineRule="auto"/>
              <w:ind w:left="0" w:leftChars="0" w:firstLine="0" w:firstLineChars="0"/>
              <w:rPr>
                <w:rFonts w:hint="default" w:ascii="Times New Roman" w:eastAsia="仿宋" w:cs="Times New Roman"/>
                <w:b/>
                <w:bCs/>
                <w:color w:val="auto"/>
                <w:sz w:val="24"/>
                <w:szCs w:val="24"/>
                <w:highlight w:val="none"/>
                <w:lang w:val="en-US" w:eastAsia="zh-CN"/>
              </w:rPr>
            </w:pPr>
            <w:r>
              <w:rPr>
                <w:rFonts w:hint="eastAsia" w:ascii="Times New Roman" w:eastAsia="仿宋" w:cs="Times New Roman"/>
                <w:b/>
                <w:bCs/>
                <w:color w:val="auto"/>
                <w:sz w:val="24"/>
                <w:szCs w:val="24"/>
                <w:highlight w:val="none"/>
                <w:lang w:val="en-US" w:eastAsia="zh-CN"/>
              </w:rPr>
              <w:t>一、现有环保手续情况</w:t>
            </w:r>
          </w:p>
          <w:p w14:paraId="7CDDD0FA">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常州市金坛第一人民医院一期项目为金坛区人民医院、金坛区血站整体迁建项目，该项目已</w:t>
            </w:r>
            <w:r>
              <w:rPr>
                <w:rFonts w:hint="eastAsia" w:eastAsia="仿宋" w:cs="Times New Roman"/>
                <w:color w:val="auto"/>
                <w:kern w:val="2"/>
                <w:sz w:val="24"/>
                <w:szCs w:val="24"/>
                <w:highlight w:val="none"/>
                <w:lang w:val="en-US" w:eastAsia="zh-CN" w:bidi="ar-SA"/>
              </w:rPr>
              <w:t>建设</w:t>
            </w:r>
            <w:r>
              <w:rPr>
                <w:rFonts w:hint="eastAsia" w:ascii="Times New Roman" w:hAnsi="Times New Roman" w:eastAsia="仿宋" w:cs="Times New Roman"/>
                <w:color w:val="auto"/>
                <w:kern w:val="2"/>
                <w:sz w:val="24"/>
                <w:szCs w:val="24"/>
                <w:highlight w:val="none"/>
                <w:lang w:val="en-US" w:eastAsia="zh-CN" w:bidi="ar-SA"/>
              </w:rPr>
              <w:t>完成。</w:t>
            </w:r>
          </w:p>
          <w:p w14:paraId="08782DD8">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金坛区人民医院，“综合门急诊大楼项目”于2006年4月开展环评，2006年4月25日获金坛市环保局批复，2010年9月30日通过竣工环保自主验收；“天然气锅炉工程项目”于2010年10月开展环评；“新建连廊工程项目”2011年8月23日获得金坛市环保局批复。</w:t>
            </w:r>
          </w:p>
          <w:p w14:paraId="388A645D">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金坛区血站，“常州市中心血站金坛分站项目环境影响后评价项目”于2014年1月开展环境影响评价，2014年5月12日获得金坛市环保局对于该项目备案的函。</w:t>
            </w:r>
          </w:p>
          <w:p w14:paraId="2BF8838E">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常州市金坛第一人民医院，“金坛区人民医院、金坛区血站整体迁建项目”于2016年1月4日取得常州市金坛区环境保护局批复（坛环审〔2016〕1号），于2021年11月通过竣工环保自主验收，并于2021年11月09日申请获得排污许可证。</w:t>
            </w:r>
          </w:p>
          <w:p w14:paraId="11A9C8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auto"/>
                <w:sz w:val="24"/>
                <w:lang w:val="en-US" w:eastAsia="zh-CN"/>
              </w:rPr>
            </w:pPr>
            <w:r>
              <w:rPr>
                <w:rFonts w:hint="eastAsia" w:ascii="Times New Roman" w:hAnsi="Times New Roman" w:eastAsia="仿宋" w:cs="Times New Roman"/>
                <w:b/>
                <w:bCs/>
                <w:color w:val="auto"/>
                <w:kern w:val="0"/>
                <w:sz w:val="22"/>
                <w:szCs w:val="22"/>
                <w:highlight w:val="none"/>
                <w:lang w:val="en-US" w:eastAsia="zh-CN"/>
              </w:rPr>
              <w:t>表2-9原有项目环保手续办理情况一览表</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2605"/>
              <w:gridCol w:w="1678"/>
              <w:gridCol w:w="1678"/>
              <w:gridCol w:w="1681"/>
            </w:tblGrid>
            <w:tr w14:paraId="3148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tcPr>
                <w:p w14:paraId="38A60BC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序号</w:t>
                  </w:r>
                </w:p>
              </w:tc>
              <w:tc>
                <w:tcPr>
                  <w:tcW w:w="1551" w:type="pct"/>
                </w:tcPr>
                <w:p w14:paraId="776F5D7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项目名称</w:t>
                  </w:r>
                </w:p>
              </w:tc>
              <w:tc>
                <w:tcPr>
                  <w:tcW w:w="999" w:type="pct"/>
                </w:tcPr>
                <w:p w14:paraId="3019F8B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环评时间</w:t>
                  </w:r>
                </w:p>
              </w:tc>
              <w:tc>
                <w:tcPr>
                  <w:tcW w:w="999" w:type="pct"/>
                </w:tcPr>
                <w:p w14:paraId="0D4DE03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环保审批</w:t>
                  </w:r>
                </w:p>
              </w:tc>
              <w:tc>
                <w:tcPr>
                  <w:tcW w:w="1001" w:type="pct"/>
                </w:tcPr>
                <w:p w14:paraId="50E8971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“三同时”验收</w:t>
                  </w:r>
                </w:p>
              </w:tc>
            </w:tr>
            <w:tr w14:paraId="02B6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14:paraId="659229D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w:t>
                  </w:r>
                </w:p>
              </w:tc>
              <w:tc>
                <w:tcPr>
                  <w:tcW w:w="1551" w:type="pct"/>
                  <w:vAlign w:val="center"/>
                </w:tcPr>
                <w:p w14:paraId="5E48470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综合门急诊大楼项目</w:t>
                  </w:r>
                </w:p>
              </w:tc>
              <w:tc>
                <w:tcPr>
                  <w:tcW w:w="999" w:type="pct"/>
                  <w:vAlign w:val="center"/>
                </w:tcPr>
                <w:p w14:paraId="6969351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2006年4月</w:t>
                  </w:r>
                </w:p>
              </w:tc>
              <w:tc>
                <w:tcPr>
                  <w:tcW w:w="999" w:type="pct"/>
                  <w:vAlign w:val="center"/>
                </w:tcPr>
                <w:p w14:paraId="3D9DC54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2006年4月25日获得金坛市环保局批复</w:t>
                  </w:r>
                </w:p>
              </w:tc>
              <w:tc>
                <w:tcPr>
                  <w:tcW w:w="1001" w:type="pct"/>
                  <w:vAlign w:val="center"/>
                </w:tcPr>
                <w:p w14:paraId="5BFF0E8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2010年9月30日通过金坛市环保局验收</w:t>
                  </w:r>
                </w:p>
              </w:tc>
            </w:tr>
            <w:tr w14:paraId="5896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14:paraId="0E9DF7A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w:t>
                  </w:r>
                </w:p>
              </w:tc>
              <w:tc>
                <w:tcPr>
                  <w:tcW w:w="1551" w:type="pct"/>
                  <w:vAlign w:val="center"/>
                </w:tcPr>
                <w:p w14:paraId="6E91177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天然气锅炉工程项目</w:t>
                  </w:r>
                </w:p>
              </w:tc>
              <w:tc>
                <w:tcPr>
                  <w:tcW w:w="999" w:type="pct"/>
                  <w:vAlign w:val="center"/>
                </w:tcPr>
                <w:p w14:paraId="2A85F80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2010年10月</w:t>
                  </w:r>
                </w:p>
              </w:tc>
              <w:tc>
                <w:tcPr>
                  <w:tcW w:w="999" w:type="pct"/>
                  <w:vAlign w:val="center"/>
                </w:tcPr>
                <w:p w14:paraId="6059DCF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01" w:type="pct"/>
                  <w:vAlign w:val="center"/>
                </w:tcPr>
                <w:p w14:paraId="046BBA6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r>
            <w:tr w14:paraId="6B27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14:paraId="7176F6B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w:t>
                  </w:r>
                </w:p>
              </w:tc>
              <w:tc>
                <w:tcPr>
                  <w:tcW w:w="1551" w:type="pct"/>
                  <w:vAlign w:val="center"/>
                </w:tcPr>
                <w:p w14:paraId="4C59680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新建连廊工程项目</w:t>
                  </w:r>
                </w:p>
              </w:tc>
              <w:tc>
                <w:tcPr>
                  <w:tcW w:w="999" w:type="pct"/>
                  <w:vAlign w:val="center"/>
                </w:tcPr>
                <w:p w14:paraId="6346CD7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999" w:type="pct"/>
                  <w:vAlign w:val="center"/>
                </w:tcPr>
                <w:p w14:paraId="0BCB2BB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2011年8月23日获得金坛市环保局批复</w:t>
                  </w:r>
                </w:p>
              </w:tc>
              <w:tc>
                <w:tcPr>
                  <w:tcW w:w="1001" w:type="pct"/>
                  <w:vAlign w:val="center"/>
                </w:tcPr>
                <w:p w14:paraId="319AA12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r>
            <w:tr w14:paraId="3010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14:paraId="160F9B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c>
                <w:tcPr>
                  <w:tcW w:w="1551" w:type="pct"/>
                  <w:vAlign w:val="center"/>
                </w:tcPr>
                <w:p w14:paraId="4A2C70D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常州市中心血站金坛分站项目环境影响后评价项目</w:t>
                  </w:r>
                </w:p>
              </w:tc>
              <w:tc>
                <w:tcPr>
                  <w:tcW w:w="999" w:type="pct"/>
                  <w:vAlign w:val="center"/>
                </w:tcPr>
                <w:p w14:paraId="134B844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2014年1月</w:t>
                  </w:r>
                </w:p>
              </w:tc>
              <w:tc>
                <w:tcPr>
                  <w:tcW w:w="999" w:type="pct"/>
                  <w:vAlign w:val="center"/>
                </w:tcPr>
                <w:p w14:paraId="7CC5470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2014年5月12日获得金坛市环保局对于该项目备案的函</w:t>
                  </w:r>
                </w:p>
              </w:tc>
              <w:tc>
                <w:tcPr>
                  <w:tcW w:w="1001" w:type="pct"/>
                  <w:vAlign w:val="center"/>
                </w:tcPr>
                <w:p w14:paraId="010F4E0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3B03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14:paraId="63E41AE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w:t>
                  </w:r>
                </w:p>
              </w:tc>
              <w:tc>
                <w:tcPr>
                  <w:tcW w:w="1551" w:type="pct"/>
                  <w:vAlign w:val="center"/>
                </w:tcPr>
                <w:p w14:paraId="50E3FA9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金坛区人民医院、金坛区血站整体迁建项目</w:t>
                  </w:r>
                </w:p>
              </w:tc>
              <w:tc>
                <w:tcPr>
                  <w:tcW w:w="999" w:type="pct"/>
                  <w:vAlign w:val="center"/>
                </w:tcPr>
                <w:p w14:paraId="721E9A8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2015年11月</w:t>
                  </w:r>
                </w:p>
              </w:tc>
              <w:tc>
                <w:tcPr>
                  <w:tcW w:w="999" w:type="pct"/>
                  <w:vAlign w:val="center"/>
                </w:tcPr>
                <w:p w14:paraId="11E97E2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2016年1月4日获得金坛区环境保护局批复</w:t>
                  </w:r>
                </w:p>
              </w:tc>
              <w:tc>
                <w:tcPr>
                  <w:tcW w:w="1001" w:type="pct"/>
                  <w:vAlign w:val="center"/>
                </w:tcPr>
                <w:p w14:paraId="65D6FC4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2021年11月通过竣工环保自主验收</w:t>
                  </w:r>
                </w:p>
              </w:tc>
            </w:tr>
          </w:tbl>
          <w:p w14:paraId="11142182">
            <w:pPr>
              <w:pStyle w:val="38"/>
              <w:spacing w:line="360" w:lineRule="auto"/>
              <w:ind w:left="0" w:leftChars="0" w:firstLine="0" w:firstLineChars="0"/>
              <w:rPr>
                <w:rFonts w:hint="default" w:ascii="Times New Roman" w:eastAsia="仿宋" w:cs="Times New Roman"/>
                <w:b/>
                <w:bCs/>
                <w:color w:val="auto"/>
                <w:sz w:val="24"/>
                <w:szCs w:val="24"/>
                <w:highlight w:val="none"/>
                <w:lang w:val="en-US" w:eastAsia="zh-CN"/>
              </w:rPr>
            </w:pPr>
            <w:r>
              <w:rPr>
                <w:rFonts w:hint="eastAsia" w:ascii="Times New Roman" w:eastAsia="仿宋" w:cs="Times New Roman"/>
                <w:b/>
                <w:bCs/>
                <w:color w:val="auto"/>
                <w:sz w:val="24"/>
                <w:szCs w:val="24"/>
                <w:highlight w:val="none"/>
                <w:lang w:val="en-US" w:eastAsia="zh-CN"/>
              </w:rPr>
              <w:t>二、原有项目原辅材料及主要设备</w:t>
            </w:r>
          </w:p>
          <w:p w14:paraId="067BCFCE">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1、现场实际就医规模：</w:t>
            </w:r>
          </w:p>
          <w:p w14:paraId="47FB8689">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原有项目于2021年8月24日-8月25日进行验收监测，验收期间现场实际就医规模见下表。</w:t>
            </w:r>
          </w:p>
          <w:p w14:paraId="434F6CBB">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240" w:lineRule="auto"/>
              <w:jc w:val="center"/>
              <w:textAlignment w:val="auto"/>
              <w:rPr>
                <w:rFonts w:hint="default" w:eastAsia="仿宋" w:cs="Times New Roman"/>
                <w:color w:val="auto"/>
                <w:kern w:val="2"/>
                <w:sz w:val="22"/>
                <w:szCs w:val="22"/>
                <w:highlight w:val="none"/>
                <w:lang w:val="en-US" w:eastAsia="zh-CN" w:bidi="ar-SA"/>
              </w:rPr>
            </w:pPr>
            <w:r>
              <w:rPr>
                <w:rFonts w:hint="eastAsia" w:ascii="Times New Roman" w:hAnsi="Times New Roman" w:eastAsia="仿宋" w:cs="Times New Roman"/>
                <w:b/>
                <w:bCs/>
                <w:color w:val="auto"/>
                <w:kern w:val="0"/>
                <w:sz w:val="22"/>
                <w:szCs w:val="22"/>
                <w:highlight w:val="none"/>
                <w:lang w:val="en-US" w:eastAsia="zh-CN"/>
              </w:rPr>
              <w:t>表</w:t>
            </w:r>
            <w:r>
              <w:rPr>
                <w:rFonts w:hint="eastAsia" w:eastAsia="仿宋" w:cs="Times New Roman"/>
                <w:b/>
                <w:bCs/>
                <w:color w:val="auto"/>
                <w:kern w:val="0"/>
                <w:sz w:val="22"/>
                <w:szCs w:val="22"/>
                <w:highlight w:val="none"/>
                <w:lang w:val="en-US" w:eastAsia="zh-CN"/>
              </w:rPr>
              <w:t>2-10原有</w:t>
            </w:r>
            <w:r>
              <w:rPr>
                <w:rFonts w:hint="eastAsia" w:ascii="Times New Roman" w:hAnsi="Times New Roman" w:eastAsia="仿宋" w:cs="Times New Roman"/>
                <w:b/>
                <w:bCs/>
                <w:color w:val="auto"/>
                <w:kern w:val="0"/>
                <w:sz w:val="22"/>
                <w:szCs w:val="22"/>
                <w:highlight w:val="none"/>
                <w:lang w:val="en-US" w:eastAsia="zh-CN"/>
              </w:rPr>
              <w:t>项目</w:t>
            </w:r>
            <w:r>
              <w:rPr>
                <w:rFonts w:hint="eastAsia" w:eastAsia="仿宋" w:cs="Times New Roman"/>
                <w:b/>
                <w:bCs/>
                <w:color w:val="auto"/>
                <w:kern w:val="0"/>
                <w:sz w:val="22"/>
                <w:szCs w:val="22"/>
                <w:highlight w:val="none"/>
                <w:lang w:val="en-US" w:eastAsia="zh-CN"/>
              </w:rPr>
              <w:t>现场实际就医规模</w:t>
            </w:r>
            <w:r>
              <w:rPr>
                <w:rFonts w:hint="eastAsia" w:ascii="Times New Roman" w:hAnsi="Times New Roman" w:eastAsia="仿宋" w:cs="Times New Roman"/>
                <w:b/>
                <w:bCs/>
                <w:color w:val="auto"/>
                <w:kern w:val="0"/>
                <w:sz w:val="22"/>
                <w:szCs w:val="22"/>
                <w:highlight w:val="none"/>
                <w:lang w:val="en-US" w:eastAsia="zh-CN"/>
              </w:rPr>
              <w:t>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6"/>
              <w:gridCol w:w="2797"/>
              <w:gridCol w:w="2799"/>
            </w:tblGrid>
            <w:tr w14:paraId="6EE2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609C3C4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检测日期</w:t>
                  </w:r>
                </w:p>
              </w:tc>
              <w:tc>
                <w:tcPr>
                  <w:tcW w:w="1666" w:type="pct"/>
                </w:tcPr>
                <w:p w14:paraId="067AC75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名称</w:t>
                  </w:r>
                </w:p>
              </w:tc>
              <w:tc>
                <w:tcPr>
                  <w:tcW w:w="1667" w:type="pct"/>
                </w:tcPr>
                <w:p w14:paraId="395EFD3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实际生产能力</w:t>
                  </w:r>
                </w:p>
              </w:tc>
            </w:tr>
            <w:tr w14:paraId="3533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vAlign w:val="center"/>
                </w:tcPr>
                <w:p w14:paraId="08F458D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2021年8月24日</w:t>
                  </w:r>
                </w:p>
              </w:tc>
              <w:tc>
                <w:tcPr>
                  <w:tcW w:w="1666" w:type="pct"/>
                </w:tcPr>
                <w:p w14:paraId="2BA2C4C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门诊</w:t>
                  </w:r>
                </w:p>
              </w:tc>
              <w:tc>
                <w:tcPr>
                  <w:tcW w:w="1667" w:type="pct"/>
                </w:tcPr>
                <w:p w14:paraId="79EA2CA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3100人次/日</w:t>
                  </w:r>
                </w:p>
              </w:tc>
            </w:tr>
            <w:tr w14:paraId="290F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vAlign w:val="center"/>
                </w:tcPr>
                <w:p w14:paraId="402BA55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666" w:type="pct"/>
                </w:tcPr>
                <w:p w14:paraId="399EBCC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采血</w:t>
                  </w:r>
                </w:p>
              </w:tc>
              <w:tc>
                <w:tcPr>
                  <w:tcW w:w="1667" w:type="pct"/>
                </w:tcPr>
                <w:p w14:paraId="42DD257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18人次/日</w:t>
                  </w:r>
                </w:p>
              </w:tc>
            </w:tr>
            <w:tr w14:paraId="0214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vAlign w:val="center"/>
                </w:tcPr>
                <w:p w14:paraId="4613B60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2021年8月25日</w:t>
                  </w:r>
                </w:p>
              </w:tc>
              <w:tc>
                <w:tcPr>
                  <w:tcW w:w="1666" w:type="pct"/>
                  <w:vAlign w:val="top"/>
                </w:tcPr>
                <w:p w14:paraId="70C5047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门诊</w:t>
                  </w:r>
                </w:p>
              </w:tc>
              <w:tc>
                <w:tcPr>
                  <w:tcW w:w="1667" w:type="pct"/>
                </w:tcPr>
                <w:p w14:paraId="6CD7F36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3340人次/日</w:t>
                  </w:r>
                </w:p>
              </w:tc>
            </w:tr>
            <w:tr w14:paraId="5A17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tcPr>
                <w:p w14:paraId="01B10E8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666" w:type="pct"/>
                  <w:vAlign w:val="top"/>
                </w:tcPr>
                <w:p w14:paraId="5204434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采血</w:t>
                  </w:r>
                </w:p>
              </w:tc>
              <w:tc>
                <w:tcPr>
                  <w:tcW w:w="1667" w:type="pct"/>
                </w:tcPr>
                <w:p w14:paraId="481FA21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19人次/日</w:t>
                  </w:r>
                </w:p>
              </w:tc>
            </w:tr>
          </w:tbl>
          <w:p w14:paraId="5E159606">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根据上表核算，年门诊人次为1175300人次，年采血人次为6570人次。</w:t>
            </w:r>
          </w:p>
          <w:p w14:paraId="03E0752C">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2、现场实际原辅材料：</w:t>
            </w:r>
          </w:p>
          <w:p w14:paraId="3880B3EF">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原有项目原辅材料用量</w:t>
            </w:r>
            <w:r>
              <w:rPr>
                <w:rFonts w:hint="eastAsia" w:eastAsia="仿宋" w:cs="Times New Roman"/>
                <w:color w:val="auto"/>
                <w:kern w:val="2"/>
                <w:sz w:val="24"/>
                <w:szCs w:val="24"/>
                <w:highlight w:val="none"/>
                <w:lang w:val="en-US" w:eastAsia="zh-CN" w:bidi="ar-SA"/>
              </w:rPr>
              <w:t>与就诊人次相关，种类及数量极多，因此</w:t>
            </w:r>
            <w:r>
              <w:rPr>
                <w:rFonts w:hint="eastAsia" w:ascii="Times New Roman" w:hAnsi="Times New Roman" w:eastAsia="仿宋" w:cs="Times New Roman"/>
                <w:color w:val="auto"/>
                <w:kern w:val="2"/>
                <w:sz w:val="24"/>
                <w:szCs w:val="24"/>
                <w:highlight w:val="none"/>
                <w:lang w:val="en-US" w:eastAsia="zh-CN" w:bidi="ar-SA"/>
              </w:rPr>
              <w:t>未作定量分析</w:t>
            </w:r>
            <w:r>
              <w:rPr>
                <w:rFonts w:hint="eastAsia" w:eastAsia="仿宋" w:cs="Times New Roman"/>
                <w:color w:val="auto"/>
                <w:kern w:val="2"/>
                <w:sz w:val="24"/>
                <w:szCs w:val="24"/>
                <w:highlight w:val="none"/>
                <w:lang w:val="en-US" w:eastAsia="zh-CN" w:bidi="ar-SA"/>
              </w:rPr>
              <w:t>，主要为各类药品及医疗器具。</w:t>
            </w:r>
          </w:p>
          <w:p w14:paraId="42F8D5EC">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3、现场实际生产设备：</w:t>
            </w:r>
          </w:p>
          <w:p w14:paraId="52A5BAE8">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原有项目生产设备因涉及医疗设备数量、品种极多，且大部分设备不会产生噪声、不排放废气，因此未作具体分析，仅分析其配套的可能产生噪声、废气的辅助设备加以说明，现场实际生产设备见</w:t>
            </w:r>
            <w:r>
              <w:rPr>
                <w:rFonts w:hint="eastAsia" w:eastAsia="仿宋" w:cs="Times New Roman"/>
                <w:color w:val="auto"/>
                <w:kern w:val="2"/>
                <w:sz w:val="24"/>
                <w:szCs w:val="24"/>
                <w:highlight w:val="none"/>
                <w:lang w:val="en-US" w:eastAsia="zh-CN" w:bidi="ar-SA"/>
              </w:rPr>
              <w:t>下表。</w:t>
            </w:r>
          </w:p>
          <w:p w14:paraId="14E55DCA">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rPr>
            </w:pPr>
            <w:r>
              <w:rPr>
                <w:rFonts w:hint="eastAsia" w:ascii="Times New Roman" w:hAnsi="Times New Roman" w:eastAsia="仿宋" w:cs="Times New Roman"/>
                <w:b/>
                <w:bCs/>
                <w:color w:val="auto"/>
                <w:kern w:val="0"/>
                <w:sz w:val="22"/>
                <w:szCs w:val="22"/>
                <w:highlight w:val="none"/>
                <w:lang w:val="en-US" w:eastAsia="zh-CN"/>
              </w:rPr>
              <w:t>表2-1</w:t>
            </w:r>
            <w:r>
              <w:rPr>
                <w:rFonts w:hint="eastAsia" w:eastAsia="仿宋" w:cs="Times New Roman"/>
                <w:b/>
                <w:bCs/>
                <w:color w:val="auto"/>
                <w:kern w:val="0"/>
                <w:sz w:val="22"/>
                <w:szCs w:val="22"/>
                <w:highlight w:val="none"/>
                <w:lang w:val="en-US" w:eastAsia="zh-CN"/>
              </w:rPr>
              <w:t>1</w:t>
            </w:r>
            <w:r>
              <w:rPr>
                <w:rFonts w:hint="eastAsia" w:ascii="Times New Roman" w:hAnsi="Times New Roman" w:eastAsia="仿宋" w:cs="Times New Roman"/>
                <w:b/>
                <w:bCs/>
                <w:color w:val="auto"/>
                <w:kern w:val="0"/>
                <w:sz w:val="22"/>
                <w:szCs w:val="22"/>
                <w:highlight w:val="none"/>
                <w:lang w:val="en-US" w:eastAsia="zh-CN"/>
              </w:rPr>
              <w:t>原有项目主要辅助设备一览表</w:t>
            </w:r>
          </w:p>
          <w:tbl>
            <w:tblPr>
              <w:tblStyle w:val="3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965"/>
              <w:gridCol w:w="1949"/>
              <w:gridCol w:w="840"/>
              <w:gridCol w:w="1346"/>
              <w:gridCol w:w="1594"/>
            </w:tblGrid>
            <w:tr w14:paraId="31A55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 w:type="pct"/>
                  <w:noWrap w:val="0"/>
                  <w:vAlign w:val="center"/>
                </w:tcPr>
                <w:p w14:paraId="102C89A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序号</w:t>
                  </w:r>
                </w:p>
              </w:tc>
              <w:tc>
                <w:tcPr>
                  <w:tcW w:w="1169" w:type="pct"/>
                  <w:noWrap w:val="0"/>
                  <w:vAlign w:val="center"/>
                </w:tcPr>
                <w:p w14:paraId="2CBF582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设备名称</w:t>
                  </w:r>
                </w:p>
              </w:tc>
              <w:tc>
                <w:tcPr>
                  <w:tcW w:w="1160" w:type="pct"/>
                  <w:noWrap w:val="0"/>
                  <w:vAlign w:val="center"/>
                </w:tcPr>
                <w:p w14:paraId="1B342BA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型号/规格</w:t>
                  </w:r>
                </w:p>
              </w:tc>
              <w:tc>
                <w:tcPr>
                  <w:tcW w:w="500" w:type="pct"/>
                  <w:noWrap w:val="0"/>
                  <w:vAlign w:val="center"/>
                </w:tcPr>
                <w:p w14:paraId="5F1A896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单位</w:t>
                  </w:r>
                </w:p>
              </w:tc>
              <w:tc>
                <w:tcPr>
                  <w:tcW w:w="801" w:type="pct"/>
                  <w:noWrap w:val="0"/>
                  <w:vAlign w:val="center"/>
                </w:tcPr>
                <w:p w14:paraId="2C4F0AE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原有</w:t>
                  </w:r>
                  <w:r>
                    <w:rPr>
                      <w:rFonts w:hint="eastAsia" w:ascii="Times New Roman" w:hAnsi="Times New Roman" w:eastAsia="仿宋" w:cs="Times New Roman"/>
                      <w:b/>
                      <w:bCs/>
                      <w:color w:val="auto"/>
                      <w:kern w:val="0"/>
                      <w:sz w:val="21"/>
                      <w:szCs w:val="21"/>
                      <w:highlight w:val="none"/>
                      <w:lang w:val="en-US" w:eastAsia="zh-CN"/>
                    </w:rPr>
                    <w:t>工程</w:t>
                  </w:r>
                </w:p>
              </w:tc>
              <w:tc>
                <w:tcPr>
                  <w:tcW w:w="948" w:type="pct"/>
                  <w:noWrap w:val="0"/>
                  <w:vAlign w:val="center"/>
                </w:tcPr>
                <w:p w14:paraId="71FEB97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安装位置</w:t>
                  </w:r>
                </w:p>
              </w:tc>
            </w:tr>
            <w:tr w14:paraId="163AC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20" w:type="pct"/>
                  <w:noWrap w:val="0"/>
                  <w:vAlign w:val="center"/>
                </w:tcPr>
                <w:p w14:paraId="29D0ACE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w:t>
                  </w:r>
                </w:p>
              </w:tc>
              <w:tc>
                <w:tcPr>
                  <w:tcW w:w="1169" w:type="pct"/>
                  <w:noWrap w:val="0"/>
                  <w:vAlign w:val="center"/>
                </w:tcPr>
                <w:p w14:paraId="06EA683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冷却塔</w:t>
                  </w:r>
                </w:p>
              </w:tc>
              <w:tc>
                <w:tcPr>
                  <w:tcW w:w="1160" w:type="pct"/>
                  <w:noWrap w:val="0"/>
                  <w:vAlign w:val="center"/>
                </w:tcPr>
                <w:p w14:paraId="7CB8A6E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处理水量650m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/h</w:t>
                  </w:r>
                </w:p>
              </w:tc>
              <w:tc>
                <w:tcPr>
                  <w:tcW w:w="500" w:type="pct"/>
                  <w:noWrap w:val="0"/>
                  <w:vAlign w:val="center"/>
                </w:tcPr>
                <w:p w14:paraId="4D9DFD2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套</w:t>
                  </w:r>
                </w:p>
              </w:tc>
              <w:tc>
                <w:tcPr>
                  <w:tcW w:w="801" w:type="pct"/>
                  <w:noWrap w:val="0"/>
                  <w:vAlign w:val="center"/>
                </w:tcPr>
                <w:p w14:paraId="50BC4CF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c>
                <w:tcPr>
                  <w:tcW w:w="948" w:type="pct"/>
                  <w:noWrap w:val="0"/>
                  <w:vAlign w:val="center"/>
                </w:tcPr>
                <w:p w14:paraId="6D39368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住院楼屋顶</w:t>
                  </w:r>
                </w:p>
              </w:tc>
            </w:tr>
            <w:tr w14:paraId="09EC2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20" w:type="pct"/>
                  <w:noWrap w:val="0"/>
                  <w:vAlign w:val="center"/>
                </w:tcPr>
                <w:p w14:paraId="4698E34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w:t>
                  </w:r>
                </w:p>
              </w:tc>
              <w:tc>
                <w:tcPr>
                  <w:tcW w:w="1169" w:type="pct"/>
                  <w:noWrap w:val="0"/>
                  <w:vAlign w:val="center"/>
                </w:tcPr>
                <w:p w14:paraId="1EC8DBC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冷却水循环泵</w:t>
                  </w:r>
                </w:p>
              </w:tc>
              <w:tc>
                <w:tcPr>
                  <w:tcW w:w="1160" w:type="pct"/>
                  <w:noWrap w:val="0"/>
                  <w:vAlign w:val="center"/>
                </w:tcPr>
                <w:p w14:paraId="5C7C35A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流量650m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/h</w:t>
                  </w:r>
                </w:p>
              </w:tc>
              <w:tc>
                <w:tcPr>
                  <w:tcW w:w="500" w:type="pct"/>
                  <w:noWrap w:val="0"/>
                  <w:vAlign w:val="center"/>
                </w:tcPr>
                <w:p w14:paraId="0859CE9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台</w:t>
                  </w:r>
                </w:p>
              </w:tc>
              <w:tc>
                <w:tcPr>
                  <w:tcW w:w="801" w:type="pct"/>
                  <w:noWrap w:val="0"/>
                  <w:vAlign w:val="center"/>
                </w:tcPr>
                <w:p w14:paraId="0E2C15C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w:t>
                  </w:r>
                </w:p>
              </w:tc>
              <w:tc>
                <w:tcPr>
                  <w:tcW w:w="948" w:type="pct"/>
                  <w:noWrap w:val="0"/>
                  <w:vAlign w:val="center"/>
                </w:tcPr>
                <w:p w14:paraId="5F152E0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地下水制冷机房</w:t>
                  </w:r>
                </w:p>
              </w:tc>
            </w:tr>
            <w:tr w14:paraId="0B78B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20" w:type="pct"/>
                  <w:noWrap w:val="0"/>
                  <w:vAlign w:val="center"/>
                </w:tcPr>
                <w:p w14:paraId="47CA5D9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w:t>
                  </w:r>
                </w:p>
              </w:tc>
              <w:tc>
                <w:tcPr>
                  <w:tcW w:w="1169" w:type="pct"/>
                  <w:noWrap w:val="0"/>
                  <w:vAlign w:val="center"/>
                </w:tcPr>
                <w:p w14:paraId="78FBB7E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冷水机组</w:t>
                  </w:r>
                </w:p>
              </w:tc>
              <w:tc>
                <w:tcPr>
                  <w:tcW w:w="1160" w:type="pct"/>
                  <w:noWrap w:val="0"/>
                  <w:vAlign w:val="center"/>
                </w:tcPr>
                <w:p w14:paraId="6256D65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制冷量2500Kw</w:t>
                  </w:r>
                </w:p>
              </w:tc>
              <w:tc>
                <w:tcPr>
                  <w:tcW w:w="500" w:type="pct"/>
                  <w:noWrap w:val="0"/>
                  <w:vAlign w:val="center"/>
                </w:tcPr>
                <w:p w14:paraId="7B6B126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台</w:t>
                  </w:r>
                </w:p>
              </w:tc>
              <w:tc>
                <w:tcPr>
                  <w:tcW w:w="801" w:type="pct"/>
                  <w:noWrap w:val="0"/>
                  <w:vAlign w:val="center"/>
                </w:tcPr>
                <w:p w14:paraId="08A91B7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c>
                <w:tcPr>
                  <w:tcW w:w="948" w:type="pct"/>
                  <w:noWrap w:val="0"/>
                  <w:vAlign w:val="center"/>
                </w:tcPr>
                <w:p w14:paraId="5E6F504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地下水制冷机房</w:t>
                  </w:r>
                </w:p>
              </w:tc>
            </w:tr>
            <w:tr w14:paraId="1A63B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 w:type="pct"/>
                  <w:noWrap w:val="0"/>
                  <w:vAlign w:val="center"/>
                </w:tcPr>
                <w:p w14:paraId="59047B6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c>
                <w:tcPr>
                  <w:tcW w:w="1169" w:type="pct"/>
                  <w:noWrap w:val="0"/>
                  <w:vAlign w:val="center"/>
                </w:tcPr>
                <w:p w14:paraId="600F61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冷冻水循环泵</w:t>
                  </w:r>
                </w:p>
              </w:tc>
              <w:tc>
                <w:tcPr>
                  <w:tcW w:w="1160" w:type="pct"/>
                  <w:noWrap w:val="0"/>
                  <w:vAlign w:val="center"/>
                </w:tcPr>
                <w:p w14:paraId="05D3576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流量550m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/h</w:t>
                  </w:r>
                </w:p>
              </w:tc>
              <w:tc>
                <w:tcPr>
                  <w:tcW w:w="500" w:type="pct"/>
                  <w:noWrap w:val="0"/>
                  <w:vAlign w:val="center"/>
                </w:tcPr>
                <w:p w14:paraId="00DB750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台</w:t>
                  </w:r>
                </w:p>
              </w:tc>
              <w:tc>
                <w:tcPr>
                  <w:tcW w:w="801" w:type="pct"/>
                  <w:noWrap w:val="0"/>
                  <w:vAlign w:val="center"/>
                </w:tcPr>
                <w:p w14:paraId="3E8C8C0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w:t>
                  </w:r>
                </w:p>
              </w:tc>
              <w:tc>
                <w:tcPr>
                  <w:tcW w:w="948" w:type="pct"/>
                  <w:noWrap w:val="0"/>
                  <w:vAlign w:val="center"/>
                </w:tcPr>
                <w:p w14:paraId="5EF1F6A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地下水制冷机房</w:t>
                  </w:r>
                </w:p>
              </w:tc>
            </w:tr>
            <w:tr w14:paraId="3DDE7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420" w:type="pct"/>
                  <w:noWrap w:val="0"/>
                  <w:vAlign w:val="center"/>
                </w:tcPr>
                <w:p w14:paraId="5B3EE39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w:t>
                  </w:r>
                </w:p>
              </w:tc>
              <w:tc>
                <w:tcPr>
                  <w:tcW w:w="1169" w:type="pct"/>
                  <w:noWrap w:val="0"/>
                  <w:vAlign w:val="center"/>
                </w:tcPr>
                <w:p w14:paraId="5F63EEE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热水锅炉</w:t>
                  </w:r>
                </w:p>
              </w:tc>
              <w:tc>
                <w:tcPr>
                  <w:tcW w:w="1160" w:type="pct"/>
                  <w:noWrap w:val="0"/>
                  <w:vAlign w:val="center"/>
                </w:tcPr>
                <w:p w14:paraId="7946A74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4t/h</w:t>
                  </w:r>
                </w:p>
              </w:tc>
              <w:tc>
                <w:tcPr>
                  <w:tcW w:w="500" w:type="pct"/>
                  <w:noWrap w:val="0"/>
                  <w:vAlign w:val="center"/>
                </w:tcPr>
                <w:p w14:paraId="4F5CF82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台</w:t>
                  </w:r>
                </w:p>
              </w:tc>
              <w:tc>
                <w:tcPr>
                  <w:tcW w:w="801" w:type="pct"/>
                  <w:noWrap w:val="0"/>
                  <w:vAlign w:val="center"/>
                </w:tcPr>
                <w:p w14:paraId="639B536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w:t>
                  </w:r>
                </w:p>
              </w:tc>
              <w:tc>
                <w:tcPr>
                  <w:tcW w:w="948" w:type="pct"/>
                  <w:noWrap w:val="0"/>
                  <w:vAlign w:val="center"/>
                </w:tcPr>
                <w:p w14:paraId="4E7C69A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锅炉房</w:t>
                  </w:r>
                </w:p>
              </w:tc>
            </w:tr>
            <w:tr w14:paraId="366C9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 w:type="pct"/>
                  <w:noWrap w:val="0"/>
                  <w:vAlign w:val="center"/>
                </w:tcPr>
                <w:p w14:paraId="783B46C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w:t>
                  </w:r>
                </w:p>
              </w:tc>
              <w:tc>
                <w:tcPr>
                  <w:tcW w:w="1169" w:type="pct"/>
                  <w:noWrap w:val="0"/>
                  <w:vAlign w:val="center"/>
                </w:tcPr>
                <w:p w14:paraId="4D12974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蒸汽锅炉</w:t>
                  </w:r>
                </w:p>
              </w:tc>
              <w:tc>
                <w:tcPr>
                  <w:tcW w:w="1160" w:type="pct"/>
                  <w:noWrap w:val="0"/>
                  <w:vAlign w:val="center"/>
                </w:tcPr>
                <w:p w14:paraId="438423D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4t/h</w:t>
                  </w:r>
                </w:p>
              </w:tc>
              <w:tc>
                <w:tcPr>
                  <w:tcW w:w="500" w:type="pct"/>
                  <w:noWrap w:val="0"/>
                  <w:vAlign w:val="center"/>
                </w:tcPr>
                <w:p w14:paraId="0902EB3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台</w:t>
                  </w:r>
                </w:p>
              </w:tc>
              <w:tc>
                <w:tcPr>
                  <w:tcW w:w="801" w:type="pct"/>
                  <w:noWrap w:val="0"/>
                  <w:vAlign w:val="center"/>
                </w:tcPr>
                <w:p w14:paraId="003CC23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w:t>
                  </w:r>
                </w:p>
              </w:tc>
              <w:tc>
                <w:tcPr>
                  <w:tcW w:w="948" w:type="pct"/>
                  <w:noWrap w:val="0"/>
                  <w:vAlign w:val="center"/>
                </w:tcPr>
                <w:p w14:paraId="69DA73D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锅炉房</w:t>
                  </w:r>
                </w:p>
              </w:tc>
            </w:tr>
            <w:tr w14:paraId="11090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 w:type="pct"/>
                  <w:noWrap w:val="0"/>
                  <w:vAlign w:val="center"/>
                </w:tcPr>
                <w:p w14:paraId="063A586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w:t>
                  </w:r>
                </w:p>
              </w:tc>
              <w:tc>
                <w:tcPr>
                  <w:tcW w:w="1169" w:type="pct"/>
                  <w:noWrap w:val="0"/>
                  <w:vAlign w:val="center"/>
                </w:tcPr>
                <w:p w14:paraId="2A86707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热水循环泵</w:t>
                  </w:r>
                </w:p>
              </w:tc>
              <w:tc>
                <w:tcPr>
                  <w:tcW w:w="1160" w:type="pct"/>
                  <w:noWrap w:val="0"/>
                  <w:vAlign w:val="center"/>
                </w:tcPr>
                <w:p w14:paraId="495764A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流量220m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/h</w:t>
                  </w:r>
                </w:p>
              </w:tc>
              <w:tc>
                <w:tcPr>
                  <w:tcW w:w="500" w:type="pct"/>
                  <w:noWrap w:val="0"/>
                  <w:vAlign w:val="center"/>
                </w:tcPr>
                <w:p w14:paraId="46C28CB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台</w:t>
                  </w:r>
                </w:p>
              </w:tc>
              <w:tc>
                <w:tcPr>
                  <w:tcW w:w="801" w:type="pct"/>
                  <w:noWrap w:val="0"/>
                  <w:vAlign w:val="center"/>
                </w:tcPr>
                <w:p w14:paraId="1EC2308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w:t>
                  </w:r>
                </w:p>
              </w:tc>
              <w:tc>
                <w:tcPr>
                  <w:tcW w:w="948" w:type="pct"/>
                  <w:noWrap w:val="0"/>
                  <w:vAlign w:val="center"/>
                </w:tcPr>
                <w:p w14:paraId="5B29715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锅炉房</w:t>
                  </w:r>
                </w:p>
              </w:tc>
            </w:tr>
            <w:tr w14:paraId="1E3B9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 w:type="pct"/>
                  <w:noWrap w:val="0"/>
                  <w:vAlign w:val="center"/>
                </w:tcPr>
                <w:p w14:paraId="4098FAA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w:t>
                  </w:r>
                </w:p>
              </w:tc>
              <w:tc>
                <w:tcPr>
                  <w:tcW w:w="1169" w:type="pct"/>
                  <w:noWrap w:val="0"/>
                  <w:vAlign w:val="center"/>
                </w:tcPr>
                <w:p w14:paraId="7769987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变压器</w:t>
                  </w:r>
                </w:p>
              </w:tc>
              <w:tc>
                <w:tcPr>
                  <w:tcW w:w="1160" w:type="pct"/>
                  <w:noWrap w:val="0"/>
                  <w:vAlign w:val="center"/>
                </w:tcPr>
                <w:p w14:paraId="7B14945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2000KVA</w:t>
                  </w:r>
                </w:p>
              </w:tc>
              <w:tc>
                <w:tcPr>
                  <w:tcW w:w="500" w:type="pct"/>
                  <w:noWrap w:val="0"/>
                  <w:vAlign w:val="center"/>
                </w:tcPr>
                <w:p w14:paraId="18F2213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台</w:t>
                  </w:r>
                </w:p>
              </w:tc>
              <w:tc>
                <w:tcPr>
                  <w:tcW w:w="801" w:type="pct"/>
                  <w:noWrap w:val="0"/>
                  <w:vAlign w:val="center"/>
                </w:tcPr>
                <w:p w14:paraId="3840683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w:t>
                  </w:r>
                </w:p>
              </w:tc>
              <w:tc>
                <w:tcPr>
                  <w:tcW w:w="948" w:type="pct"/>
                  <w:noWrap w:val="0"/>
                  <w:vAlign w:val="center"/>
                </w:tcPr>
                <w:p w14:paraId="6E56150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变配电所</w:t>
                  </w:r>
                </w:p>
              </w:tc>
            </w:tr>
            <w:tr w14:paraId="433B8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420" w:type="pct"/>
                  <w:noWrap w:val="0"/>
                  <w:vAlign w:val="center"/>
                </w:tcPr>
                <w:p w14:paraId="0D474C0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9</w:t>
                  </w:r>
                </w:p>
              </w:tc>
              <w:tc>
                <w:tcPr>
                  <w:tcW w:w="1169" w:type="pct"/>
                  <w:noWrap w:val="0"/>
                  <w:vAlign w:val="center"/>
                </w:tcPr>
                <w:p w14:paraId="027F741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变压器</w:t>
                  </w:r>
                </w:p>
              </w:tc>
              <w:tc>
                <w:tcPr>
                  <w:tcW w:w="1160" w:type="pct"/>
                  <w:noWrap w:val="0"/>
                  <w:vAlign w:val="center"/>
                </w:tcPr>
                <w:p w14:paraId="4AB07FB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1000KVA</w:t>
                  </w:r>
                </w:p>
              </w:tc>
              <w:tc>
                <w:tcPr>
                  <w:tcW w:w="500" w:type="pct"/>
                  <w:noWrap w:val="0"/>
                  <w:vAlign w:val="center"/>
                </w:tcPr>
                <w:p w14:paraId="5718345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台</w:t>
                  </w:r>
                </w:p>
              </w:tc>
              <w:tc>
                <w:tcPr>
                  <w:tcW w:w="801" w:type="pct"/>
                  <w:noWrap w:val="0"/>
                  <w:vAlign w:val="center"/>
                </w:tcPr>
                <w:p w14:paraId="4698B42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w:t>
                  </w:r>
                </w:p>
              </w:tc>
              <w:tc>
                <w:tcPr>
                  <w:tcW w:w="948" w:type="pct"/>
                  <w:noWrap w:val="0"/>
                  <w:vAlign w:val="center"/>
                </w:tcPr>
                <w:p w14:paraId="1817E1B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变配电所</w:t>
                  </w:r>
                </w:p>
              </w:tc>
            </w:tr>
            <w:tr w14:paraId="71690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0" w:type="pct"/>
                  <w:noWrap w:val="0"/>
                  <w:vAlign w:val="center"/>
                </w:tcPr>
                <w:p w14:paraId="1A23C28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1169" w:type="pct"/>
                  <w:noWrap w:val="0"/>
                  <w:vAlign w:val="center"/>
                </w:tcPr>
                <w:p w14:paraId="7D4743E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应急柴油发电机</w:t>
                  </w:r>
                </w:p>
              </w:tc>
              <w:tc>
                <w:tcPr>
                  <w:tcW w:w="1160" w:type="pct"/>
                  <w:noWrap w:val="0"/>
                  <w:vAlign w:val="center"/>
                </w:tcPr>
                <w:p w14:paraId="7A2758E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1650KVA</w:t>
                  </w:r>
                </w:p>
              </w:tc>
              <w:tc>
                <w:tcPr>
                  <w:tcW w:w="500" w:type="pct"/>
                  <w:noWrap w:val="0"/>
                  <w:vAlign w:val="center"/>
                </w:tcPr>
                <w:p w14:paraId="50302A8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台</w:t>
                  </w:r>
                </w:p>
              </w:tc>
              <w:tc>
                <w:tcPr>
                  <w:tcW w:w="801" w:type="pct"/>
                  <w:noWrap w:val="0"/>
                  <w:vAlign w:val="center"/>
                </w:tcPr>
                <w:p w14:paraId="5097382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w:t>
                  </w:r>
                </w:p>
              </w:tc>
              <w:tc>
                <w:tcPr>
                  <w:tcW w:w="948" w:type="pct"/>
                  <w:noWrap w:val="0"/>
                  <w:vAlign w:val="center"/>
                </w:tcPr>
                <w:p w14:paraId="0A91F61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变配电所</w:t>
                  </w:r>
                </w:p>
              </w:tc>
            </w:tr>
          </w:tbl>
          <w:p w14:paraId="0B77590D">
            <w:pPr>
              <w:pStyle w:val="38"/>
              <w:spacing w:line="360" w:lineRule="auto"/>
              <w:ind w:left="0" w:leftChars="0" w:firstLine="0" w:firstLineChars="0"/>
              <w:rPr>
                <w:rFonts w:hint="default" w:ascii="Times New Roman" w:eastAsia="仿宋" w:cs="Times New Roman"/>
                <w:b/>
                <w:bCs/>
                <w:color w:val="auto"/>
                <w:sz w:val="24"/>
                <w:szCs w:val="24"/>
                <w:highlight w:val="none"/>
                <w:lang w:val="en-US" w:eastAsia="zh-CN"/>
              </w:rPr>
            </w:pPr>
            <w:r>
              <w:rPr>
                <w:rFonts w:hint="eastAsia" w:ascii="Times New Roman" w:eastAsia="仿宋" w:cs="Times New Roman"/>
                <w:b/>
                <w:bCs/>
                <w:color w:val="auto"/>
                <w:sz w:val="24"/>
                <w:szCs w:val="24"/>
                <w:highlight w:val="none"/>
                <w:lang w:val="en-US" w:eastAsia="zh-CN"/>
              </w:rPr>
              <w:t>三、原有工程公辅情况</w:t>
            </w:r>
          </w:p>
          <w:p w14:paraId="16F51A67">
            <w:pPr>
              <w:spacing w:line="360" w:lineRule="auto"/>
              <w:ind w:firstLine="480" w:firstLineChars="200"/>
              <w:rPr>
                <w:rFonts w:hint="default"/>
                <w:b/>
                <w:color w:val="auto"/>
                <w:sz w:val="24"/>
                <w:lang w:val="en-US" w:eastAsia="zh-CN"/>
              </w:rPr>
            </w:pPr>
            <w:r>
              <w:rPr>
                <w:rFonts w:hint="eastAsia" w:eastAsia="仿宋" w:cs="Times New Roman"/>
                <w:color w:val="auto"/>
                <w:kern w:val="2"/>
                <w:sz w:val="24"/>
                <w:szCs w:val="24"/>
                <w:highlight w:val="none"/>
                <w:lang w:val="en-US" w:eastAsia="zh-CN" w:bidi="ar-SA"/>
              </w:rPr>
              <w:t>原有</w:t>
            </w:r>
            <w:r>
              <w:rPr>
                <w:rFonts w:hint="eastAsia" w:ascii="Times New Roman" w:hAnsi="Times New Roman" w:eastAsia="仿宋" w:cs="Times New Roman"/>
                <w:color w:val="auto"/>
                <w:kern w:val="2"/>
                <w:sz w:val="24"/>
                <w:szCs w:val="24"/>
                <w:highlight w:val="none"/>
                <w:lang w:val="en-US" w:eastAsia="zh-CN" w:bidi="ar-SA"/>
              </w:rPr>
              <w:t>项目公辅工程情况见表。</w:t>
            </w:r>
          </w:p>
          <w:p w14:paraId="66D52C64">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rPr>
            </w:pPr>
            <w:r>
              <w:rPr>
                <w:rFonts w:hint="eastAsia" w:ascii="Times New Roman" w:hAnsi="Times New Roman" w:eastAsia="仿宋" w:cs="Times New Roman"/>
                <w:b/>
                <w:bCs/>
                <w:color w:val="auto"/>
                <w:kern w:val="0"/>
                <w:sz w:val="22"/>
                <w:szCs w:val="22"/>
                <w:highlight w:val="none"/>
                <w:lang w:val="en-US" w:eastAsia="zh-CN"/>
              </w:rPr>
              <w:t>表2-</w:t>
            </w:r>
            <w:r>
              <w:rPr>
                <w:rFonts w:hint="eastAsia" w:eastAsia="仿宋" w:cs="Times New Roman"/>
                <w:b/>
                <w:bCs/>
                <w:color w:val="auto"/>
                <w:kern w:val="0"/>
                <w:sz w:val="22"/>
                <w:szCs w:val="22"/>
                <w:highlight w:val="none"/>
                <w:lang w:val="en-US" w:eastAsia="zh-CN"/>
              </w:rPr>
              <w:t>12原有</w:t>
            </w:r>
            <w:r>
              <w:rPr>
                <w:rFonts w:hint="eastAsia" w:ascii="Times New Roman" w:hAnsi="Times New Roman" w:eastAsia="仿宋" w:cs="Times New Roman"/>
                <w:b/>
                <w:bCs/>
                <w:color w:val="auto"/>
                <w:kern w:val="0"/>
                <w:sz w:val="22"/>
                <w:szCs w:val="22"/>
                <w:highlight w:val="none"/>
                <w:lang w:val="en-US" w:eastAsia="zh-CN"/>
              </w:rPr>
              <w:t>项目公辅工程汇总</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491"/>
              <w:gridCol w:w="5577"/>
            </w:tblGrid>
            <w:tr w14:paraId="6E99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14:paraId="6041FA6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类别</w:t>
                  </w:r>
                </w:p>
              </w:tc>
              <w:tc>
                <w:tcPr>
                  <w:tcW w:w="1491" w:type="dxa"/>
                  <w:vAlign w:val="center"/>
                </w:tcPr>
                <w:p w14:paraId="142237D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建设名称</w:t>
                  </w:r>
                </w:p>
              </w:tc>
              <w:tc>
                <w:tcPr>
                  <w:tcW w:w="5577" w:type="dxa"/>
                  <w:vAlign w:val="center"/>
                </w:tcPr>
                <w:p w14:paraId="12EDFCA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原有</w:t>
                  </w:r>
                  <w:r>
                    <w:rPr>
                      <w:rFonts w:hint="eastAsia" w:ascii="Times New Roman" w:hAnsi="Times New Roman" w:eastAsia="仿宋" w:cs="Times New Roman"/>
                      <w:b/>
                      <w:bCs/>
                      <w:color w:val="auto"/>
                      <w:kern w:val="0"/>
                      <w:sz w:val="21"/>
                      <w:szCs w:val="21"/>
                      <w:highlight w:val="none"/>
                      <w:lang w:val="en-US" w:eastAsia="zh-CN"/>
                    </w:rPr>
                    <w:t>工程</w:t>
                  </w:r>
                </w:p>
              </w:tc>
            </w:tr>
            <w:tr w14:paraId="18CB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14:paraId="1AF0A3A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贮运工程</w:t>
                  </w:r>
                </w:p>
              </w:tc>
              <w:tc>
                <w:tcPr>
                  <w:tcW w:w="1491" w:type="dxa"/>
                  <w:vAlign w:val="center"/>
                </w:tcPr>
                <w:p w14:paraId="0AD518D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仓库</w:t>
                  </w:r>
                </w:p>
              </w:tc>
              <w:tc>
                <w:tcPr>
                  <w:tcW w:w="5577" w:type="dxa"/>
                  <w:vAlign w:val="center"/>
                </w:tcPr>
                <w:p w14:paraId="5A30BED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药品放置及储存：医院的药品放置及储存根据要求设置常温库、阴凉库和冷藏库。</w:t>
                  </w:r>
                </w:p>
              </w:tc>
            </w:tr>
            <w:tr w14:paraId="49FD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8" w:type="dxa"/>
                  <w:vMerge w:val="restart"/>
                  <w:vAlign w:val="center"/>
                </w:tcPr>
                <w:p w14:paraId="109A391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公用工程</w:t>
                  </w:r>
                </w:p>
              </w:tc>
              <w:tc>
                <w:tcPr>
                  <w:tcW w:w="1491" w:type="dxa"/>
                  <w:vAlign w:val="center"/>
                </w:tcPr>
                <w:p w14:paraId="0BD5486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给水</w:t>
                  </w:r>
                </w:p>
              </w:tc>
              <w:tc>
                <w:tcPr>
                  <w:tcW w:w="5577" w:type="dxa"/>
                  <w:vAlign w:val="center"/>
                </w:tcPr>
                <w:p w14:paraId="215EEE5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水源由市政给水管网供给，用水由市政给水管引入两路DN150上水管，作为消防水源。从其中一路引水管接DN100支管及水表，供应本基地内生活用水。一至二层采用市政给水管直接供水，三层以上水泵和水箱联合供水。</w:t>
                  </w:r>
                </w:p>
              </w:tc>
            </w:tr>
            <w:tr w14:paraId="44DE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Merge w:val="continue"/>
                  <w:vAlign w:val="center"/>
                </w:tcPr>
                <w:p w14:paraId="4FDEE2A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p>
              </w:tc>
              <w:tc>
                <w:tcPr>
                  <w:tcW w:w="1491" w:type="dxa"/>
                  <w:vAlign w:val="center"/>
                </w:tcPr>
                <w:p w14:paraId="09AD315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排水</w:t>
                  </w:r>
                </w:p>
              </w:tc>
              <w:tc>
                <w:tcPr>
                  <w:tcW w:w="5577" w:type="dxa"/>
                  <w:vAlign w:val="center"/>
                </w:tcPr>
                <w:p w14:paraId="0789F29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医院室外排水执行雨污分流、污废水分流制。</w:t>
                  </w:r>
                </w:p>
              </w:tc>
            </w:tr>
            <w:tr w14:paraId="5215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Merge w:val="continue"/>
                  <w:vAlign w:val="center"/>
                </w:tcPr>
                <w:p w14:paraId="3B8ED4C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491" w:type="dxa"/>
                  <w:vAlign w:val="center"/>
                </w:tcPr>
                <w:p w14:paraId="16908A5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供电</w:t>
                  </w:r>
                </w:p>
              </w:tc>
              <w:tc>
                <w:tcPr>
                  <w:tcW w:w="5577" w:type="dxa"/>
                  <w:vAlign w:val="center"/>
                </w:tcPr>
                <w:p w14:paraId="52A8DE3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采用双回路供电，在项目西北侧设置一座变电站，配备5台变压器，设置2台应急柴油发电机。</w:t>
                  </w:r>
                </w:p>
              </w:tc>
            </w:tr>
            <w:tr w14:paraId="0E70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Merge w:val="continue"/>
                  <w:vAlign w:val="center"/>
                </w:tcPr>
                <w:p w14:paraId="52EE6F5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491" w:type="dxa"/>
                  <w:vAlign w:val="center"/>
                </w:tcPr>
                <w:p w14:paraId="5835455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供气</w:t>
                  </w:r>
                </w:p>
              </w:tc>
              <w:tc>
                <w:tcPr>
                  <w:tcW w:w="5577" w:type="dxa"/>
                  <w:vAlign w:val="center"/>
                </w:tcPr>
                <w:p w14:paraId="0145481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由市政天然气管网接入，年耗天然气约50万m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w:t>
                  </w:r>
                </w:p>
              </w:tc>
            </w:tr>
            <w:tr w14:paraId="57B6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Merge w:val="continue"/>
                  <w:vAlign w:val="center"/>
                </w:tcPr>
                <w:p w14:paraId="4FEBF0C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491" w:type="dxa"/>
                  <w:vMerge w:val="restart"/>
                  <w:vAlign w:val="center"/>
                </w:tcPr>
                <w:p w14:paraId="7198B65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供热/制冷系统</w:t>
                  </w:r>
                </w:p>
              </w:tc>
              <w:tc>
                <w:tcPr>
                  <w:tcW w:w="5577" w:type="dxa"/>
                  <w:vAlign w:val="center"/>
                </w:tcPr>
                <w:p w14:paraId="1DFC3B4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空调系统采用冷水机组（制冷量2500kw）和多联机机组（制冷量200KW），供热/供汽锅炉，空调加湿、院区用汽由动力中心2台3t/h产汽（一用一备）锅炉供给，热水由2台3t/h燃天然气锅炉和太阳能供给。</w:t>
                  </w:r>
                </w:p>
              </w:tc>
            </w:tr>
            <w:tr w14:paraId="69AA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Merge w:val="continue"/>
                  <w:vAlign w:val="center"/>
                </w:tcPr>
                <w:p w14:paraId="1762EE6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491" w:type="dxa"/>
                  <w:vMerge w:val="continue"/>
                  <w:vAlign w:val="center"/>
                </w:tcPr>
                <w:p w14:paraId="5AC87FC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p>
              </w:tc>
              <w:tc>
                <w:tcPr>
                  <w:tcW w:w="5577" w:type="dxa"/>
                  <w:vAlign w:val="center"/>
                </w:tcPr>
                <w:p w14:paraId="1786C4B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循环冷却系统，1#和2#住院楼楼顶各设置2台冷却塔。</w:t>
                  </w:r>
                </w:p>
              </w:tc>
            </w:tr>
            <w:tr w14:paraId="53B1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Merge w:val="restart"/>
                  <w:vAlign w:val="center"/>
                </w:tcPr>
                <w:p w14:paraId="40B2ED1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环保工程</w:t>
                  </w:r>
                </w:p>
              </w:tc>
              <w:tc>
                <w:tcPr>
                  <w:tcW w:w="1491" w:type="dxa"/>
                  <w:vAlign w:val="center"/>
                </w:tcPr>
                <w:p w14:paraId="0598AD5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废气处理</w:t>
                  </w:r>
                </w:p>
              </w:tc>
              <w:tc>
                <w:tcPr>
                  <w:tcW w:w="5577" w:type="dxa"/>
                  <w:vAlign w:val="center"/>
                </w:tcPr>
                <w:p w14:paraId="257B9C9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天然气燃烧废气经3根10米高锅炉排气筒排放；污水处理站恶臭气体加盖密闭，捕集后经活性炭吸附+水喷淋去除恶臭气体后通过1根15米高排气筒排放。</w:t>
                  </w:r>
                </w:p>
              </w:tc>
            </w:tr>
            <w:tr w14:paraId="4296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Merge w:val="continue"/>
                  <w:vAlign w:val="center"/>
                </w:tcPr>
                <w:p w14:paraId="0C927D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491" w:type="dxa"/>
                  <w:vAlign w:val="center"/>
                </w:tcPr>
                <w:p w14:paraId="228B47B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废水处理</w:t>
                  </w:r>
                </w:p>
              </w:tc>
              <w:tc>
                <w:tcPr>
                  <w:tcW w:w="5577" w:type="dxa"/>
                  <w:vAlign w:val="center"/>
                </w:tcPr>
                <w:p w14:paraId="434BEA6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各类特殊排水单独收集处理后再排入医院污水处理站，经预处理达标后最终排入市政污水管网，进金坛区第一污水处理厂集中处理。</w:t>
                  </w:r>
                </w:p>
              </w:tc>
            </w:tr>
            <w:tr w14:paraId="273A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Merge w:val="continue"/>
                  <w:vAlign w:val="center"/>
                </w:tcPr>
                <w:p w14:paraId="0EF8A38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491" w:type="dxa"/>
                  <w:vAlign w:val="center"/>
                </w:tcPr>
                <w:p w14:paraId="71F19B4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固废处理</w:t>
                  </w:r>
                </w:p>
              </w:tc>
              <w:tc>
                <w:tcPr>
                  <w:tcW w:w="5577" w:type="dxa"/>
                  <w:vAlign w:val="center"/>
                </w:tcPr>
                <w:p w14:paraId="7DE7F55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在院内设置多个生活垃圾收集点，采用分类袋装、定点、定时收集，最终由环卫部门统一清运；医用垃圾收集，于9号楼设置危废仓库，专人负责定时收集，由专用容器封装，委托有资质单位处置，危废仓库面积约68平方米。</w:t>
                  </w:r>
                </w:p>
              </w:tc>
            </w:tr>
          </w:tbl>
          <w:p w14:paraId="785F14CF">
            <w:pPr>
              <w:spacing w:line="360" w:lineRule="auto"/>
              <w:rPr>
                <w:rFonts w:hint="eastAsia" w:ascii="Times New Roman" w:hAnsi="Times New Roman" w:eastAsia="仿宋" w:cs="Times New Roman"/>
                <w:b/>
                <w:bCs/>
                <w:color w:val="auto"/>
                <w:kern w:val="2"/>
                <w:sz w:val="24"/>
                <w:szCs w:val="24"/>
                <w:highlight w:val="none"/>
                <w:lang w:val="en-US" w:eastAsia="zh-CN" w:bidi="ar-SA"/>
              </w:rPr>
            </w:pPr>
            <w:r>
              <w:rPr>
                <w:rFonts w:hint="eastAsia" w:eastAsia="仿宋" w:cs="Times New Roman"/>
                <w:b/>
                <w:bCs/>
                <w:color w:val="auto"/>
                <w:kern w:val="2"/>
                <w:sz w:val="24"/>
                <w:szCs w:val="24"/>
                <w:highlight w:val="none"/>
                <w:lang w:val="en-US" w:eastAsia="zh-CN" w:bidi="ar-SA"/>
              </w:rPr>
              <w:t>四、原有</w:t>
            </w:r>
            <w:r>
              <w:rPr>
                <w:rFonts w:hint="eastAsia" w:ascii="Times New Roman" w:hAnsi="Times New Roman" w:eastAsia="仿宋" w:cs="Times New Roman"/>
                <w:b/>
                <w:bCs/>
                <w:color w:val="auto"/>
                <w:kern w:val="2"/>
                <w:sz w:val="24"/>
                <w:szCs w:val="24"/>
                <w:highlight w:val="none"/>
                <w:lang w:val="en-US" w:eastAsia="zh-CN" w:bidi="ar-SA"/>
              </w:rPr>
              <w:t>工程劳动定员及工作制度</w:t>
            </w:r>
          </w:p>
          <w:p w14:paraId="5C71A3F1">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劳动定员：</w:t>
            </w:r>
            <w:r>
              <w:rPr>
                <w:rFonts w:hint="eastAsia" w:eastAsia="仿宋" w:cs="Times New Roman"/>
                <w:color w:val="auto"/>
                <w:kern w:val="2"/>
                <w:sz w:val="24"/>
                <w:szCs w:val="24"/>
                <w:highlight w:val="none"/>
                <w:lang w:val="en-US" w:eastAsia="zh-CN" w:bidi="ar-SA"/>
              </w:rPr>
              <w:t>原有</w:t>
            </w:r>
            <w:r>
              <w:rPr>
                <w:rFonts w:hint="eastAsia" w:ascii="Times New Roman" w:hAnsi="Times New Roman" w:eastAsia="仿宋" w:cs="Times New Roman"/>
                <w:color w:val="auto"/>
                <w:kern w:val="2"/>
                <w:sz w:val="24"/>
                <w:szCs w:val="24"/>
                <w:highlight w:val="none"/>
                <w:lang w:val="en-US" w:eastAsia="zh-CN" w:bidi="ar-SA"/>
              </w:rPr>
              <w:t>工程项目员工人数为829人。</w:t>
            </w:r>
          </w:p>
          <w:p w14:paraId="76964726">
            <w:pPr>
              <w:spacing w:line="360" w:lineRule="auto"/>
              <w:ind w:firstLine="480" w:firstLineChars="200"/>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工作制度：</w:t>
            </w:r>
            <w:r>
              <w:rPr>
                <w:rFonts w:hint="eastAsia" w:eastAsia="仿宋" w:cs="Times New Roman"/>
                <w:color w:val="auto"/>
                <w:kern w:val="2"/>
                <w:sz w:val="24"/>
                <w:szCs w:val="24"/>
                <w:highlight w:val="none"/>
                <w:lang w:val="en-US" w:eastAsia="zh-CN" w:bidi="ar-SA"/>
              </w:rPr>
              <w:t>原有</w:t>
            </w:r>
            <w:r>
              <w:rPr>
                <w:rFonts w:hint="eastAsia" w:ascii="Times New Roman" w:hAnsi="Times New Roman" w:eastAsia="仿宋" w:cs="Times New Roman"/>
                <w:color w:val="auto"/>
                <w:kern w:val="2"/>
                <w:sz w:val="24"/>
                <w:szCs w:val="24"/>
                <w:highlight w:val="none"/>
                <w:lang w:val="en-US" w:eastAsia="zh-CN" w:bidi="ar-SA"/>
              </w:rPr>
              <w:t>工程项目24小时营业，年工作365天。</w:t>
            </w:r>
          </w:p>
          <w:p w14:paraId="0DED72E6">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接待情况：金坛医院设置床位1350床，金坛区人民医院将满足日门诊3500人次，金坛区血站日采血20人次。</w:t>
            </w:r>
          </w:p>
          <w:p w14:paraId="7E4597CC">
            <w:pPr>
              <w:spacing w:line="360" w:lineRule="auto"/>
              <w:rPr>
                <w:rFonts w:hint="default" w:eastAsia="仿宋" w:cs="Times New Roman"/>
                <w:b/>
                <w:bCs/>
                <w:color w:val="auto"/>
                <w:kern w:val="2"/>
                <w:sz w:val="24"/>
                <w:szCs w:val="24"/>
                <w:highlight w:val="none"/>
                <w:lang w:val="en-US" w:eastAsia="zh-CN" w:bidi="ar-SA"/>
              </w:rPr>
            </w:pPr>
            <w:r>
              <w:rPr>
                <w:rFonts w:hint="eastAsia" w:eastAsia="仿宋" w:cs="Times New Roman"/>
                <w:b/>
                <w:bCs/>
                <w:color w:val="auto"/>
                <w:kern w:val="2"/>
                <w:sz w:val="24"/>
                <w:szCs w:val="24"/>
                <w:highlight w:val="none"/>
                <w:lang w:val="en-US" w:eastAsia="zh-CN" w:bidi="ar-SA"/>
              </w:rPr>
              <w:t>五、原有项目污染治理及达标排放情况</w:t>
            </w:r>
          </w:p>
          <w:p w14:paraId="16F18C0E">
            <w:pPr>
              <w:pStyle w:val="128"/>
              <w:ind w:firstLine="482"/>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1、废气</w:t>
            </w:r>
          </w:p>
          <w:p w14:paraId="0B968973">
            <w:pPr>
              <w:spacing w:line="360" w:lineRule="auto"/>
              <w:ind w:firstLine="480" w:firstLineChars="200"/>
              <w:rPr>
                <w:rFonts w:hint="eastAsia"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原有</w:t>
            </w:r>
            <w:r>
              <w:rPr>
                <w:rFonts w:hint="eastAsia" w:ascii="Times New Roman" w:hAnsi="Times New Roman" w:eastAsia="仿宋" w:cs="Times New Roman"/>
                <w:color w:val="auto"/>
                <w:kern w:val="2"/>
                <w:sz w:val="24"/>
                <w:szCs w:val="24"/>
                <w:highlight w:val="none"/>
                <w:lang w:val="en-US" w:eastAsia="zh-CN" w:bidi="ar-SA"/>
              </w:rPr>
              <w:t>工程项目废气主要来自后勤保障设施，具体为锅炉、食堂等，具体采用以下废气污染防治措施。</w:t>
            </w:r>
          </w:p>
          <w:p w14:paraId="24AA02EF">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1）</w:t>
            </w:r>
            <w:r>
              <w:rPr>
                <w:rFonts w:hint="eastAsia" w:ascii="Times New Roman" w:hAnsi="Times New Roman" w:eastAsia="仿宋" w:cs="Times New Roman"/>
                <w:color w:val="auto"/>
                <w:kern w:val="2"/>
                <w:sz w:val="24"/>
                <w:szCs w:val="24"/>
                <w:highlight w:val="none"/>
                <w:lang w:val="en-US" w:eastAsia="zh-CN" w:bidi="ar-SA"/>
              </w:rPr>
              <w:t>防治措施</w:t>
            </w:r>
          </w:p>
          <w:p w14:paraId="4B4F1CDC">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①</w:t>
            </w:r>
            <w:r>
              <w:rPr>
                <w:rFonts w:hint="eastAsia" w:eastAsia="仿宋" w:cs="Times New Roman"/>
                <w:color w:val="auto"/>
                <w:kern w:val="2"/>
                <w:sz w:val="24"/>
                <w:szCs w:val="24"/>
                <w:highlight w:val="none"/>
                <w:lang w:val="en-US" w:eastAsia="zh-CN" w:bidi="ar-SA"/>
              </w:rPr>
              <w:t>原</w:t>
            </w:r>
            <w:r>
              <w:rPr>
                <w:rFonts w:hint="default" w:ascii="Times New Roman" w:hAnsi="Times New Roman" w:eastAsia="仿宋" w:cs="Times New Roman"/>
                <w:color w:val="auto"/>
                <w:kern w:val="2"/>
                <w:sz w:val="24"/>
                <w:szCs w:val="24"/>
                <w:highlight w:val="none"/>
                <w:lang w:val="en-US" w:eastAsia="zh-CN" w:bidi="ar-SA"/>
              </w:rPr>
              <w:t>项目锅炉、食堂等均使用电和天然气等清洁能源，从源头控制污染物排放量；</w:t>
            </w:r>
          </w:p>
          <w:p w14:paraId="0E399F99">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②锅炉集中布置在锅炉房内，并设有3根10米高锅炉排气筒，使天然气废气集中从烟道排出房顶；</w:t>
            </w:r>
          </w:p>
          <w:p w14:paraId="4154F246">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③食堂配备油烟净化装置，根据检测报告数据显示，油烟排放满足《饮食业油烟排放标准》油烟排放浓度要求；</w:t>
            </w:r>
          </w:p>
          <w:p w14:paraId="5CA85E18">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④地下室排风系统出风口设置在较空旷区域，避开人行通道、医疗大楼门窗等，防止从地下车库内排出的废气对地面局部区域造成污染。</w:t>
            </w:r>
          </w:p>
          <w:p w14:paraId="630941B0">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⑤垃圾收集点及时清运，防止垃圾腐坏变质产生恶臭。</w:t>
            </w:r>
          </w:p>
          <w:p w14:paraId="44FEB159">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⑥污水处理站调节池、消毒池采用地埋式，采取加盖捕集恶臭气体，经活性炭吸附+水喷淋去除恶臭气体后通过1根15米高排气筒排放。</w:t>
            </w:r>
          </w:p>
          <w:p w14:paraId="06FF94B4">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2）恶臭气体处理方案</w:t>
            </w:r>
          </w:p>
          <w:p w14:paraId="7A8D9044">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cs="Times New Roman"/>
                <w:bCs/>
                <w:color w:val="auto"/>
                <w:sz w:val="24"/>
                <w:lang w:val="en-US" w:eastAsia="zh-CN"/>
              </w:rPr>
            </w:pPr>
            <w:r>
              <w:rPr>
                <w:rFonts w:hint="eastAsia" w:ascii="Times New Roman" w:hAnsi="Times New Roman" w:eastAsia="仿宋" w:cs="Times New Roman"/>
                <w:color w:val="auto"/>
                <w:kern w:val="2"/>
                <w:sz w:val="24"/>
                <w:szCs w:val="24"/>
                <w:highlight w:val="none"/>
                <w:lang w:val="en-US" w:eastAsia="zh-CN" w:bidi="ar-SA"/>
              </w:rPr>
              <w:t>为防止病毒从医院水处理构筑物表面挥发到大气中而造成病毒的二次传播污染，将水处理池加盖板密闭起来，盖板上预留进、出气口，把处于自由扩散状态的气体组织起来，</w:t>
            </w:r>
            <w:r>
              <w:rPr>
                <w:rFonts w:hint="eastAsia" w:eastAsia="仿宋" w:cs="Times New Roman"/>
                <w:color w:val="auto"/>
                <w:kern w:val="2"/>
                <w:sz w:val="24"/>
                <w:szCs w:val="24"/>
                <w:highlight w:val="none"/>
                <w:lang w:val="en-US" w:eastAsia="zh-CN" w:bidi="ar-SA"/>
              </w:rPr>
              <w:t>通过水喷淋、活性炭等过程集中除臭</w:t>
            </w:r>
            <w:r>
              <w:rPr>
                <w:rFonts w:hint="eastAsia" w:ascii="Times New Roman" w:hAnsi="Times New Roman" w:eastAsia="仿宋" w:cs="Times New Roman"/>
                <w:color w:val="auto"/>
                <w:kern w:val="2"/>
                <w:sz w:val="24"/>
                <w:szCs w:val="24"/>
                <w:highlight w:val="none"/>
                <w:lang w:val="en-US" w:eastAsia="zh-CN" w:bidi="ar-SA"/>
              </w:rPr>
              <w:t>处理。项目恶臭气体处理方案见图</w:t>
            </w:r>
            <w:r>
              <w:rPr>
                <w:rFonts w:hint="eastAsia" w:eastAsia="仿宋" w:cs="Times New Roman"/>
                <w:color w:val="auto"/>
                <w:kern w:val="2"/>
                <w:sz w:val="24"/>
                <w:szCs w:val="24"/>
                <w:highlight w:val="none"/>
                <w:lang w:val="en-US" w:eastAsia="zh-CN" w:bidi="ar-SA"/>
              </w:rPr>
              <w:t>2-5</w:t>
            </w:r>
            <w:r>
              <w:rPr>
                <w:rFonts w:hint="eastAsia" w:ascii="Times New Roman" w:hAnsi="Times New Roman" w:eastAsia="仿宋" w:cs="Times New Roman"/>
                <w:color w:val="auto"/>
                <w:kern w:val="2"/>
                <w:sz w:val="24"/>
                <w:szCs w:val="24"/>
                <w:highlight w:val="none"/>
                <w:lang w:val="en-US" w:eastAsia="zh-CN" w:bidi="ar-SA"/>
              </w:rPr>
              <w:t>。</w:t>
            </w:r>
          </w:p>
          <w:p w14:paraId="4D45C9AF">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jc w:val="center"/>
              <w:textAlignment w:val="auto"/>
              <w:rPr>
                <w:rStyle w:val="137"/>
                <w:rFonts w:hint="default" w:ascii="Times New Roman" w:hAnsi="Times New Roman" w:eastAsia="仿宋" w:cs="Times New Roman"/>
                <w:color w:val="auto"/>
                <w:sz w:val="24"/>
                <w:szCs w:val="24"/>
                <w:highlight w:val="none"/>
              </w:rPr>
            </w:pPr>
            <w:r>
              <w:rPr>
                <w:rFonts w:hint="eastAsia" w:cs="Times New Roman"/>
                <w:bCs/>
                <w:color w:val="FF0000"/>
                <w:sz w:val="24"/>
                <w:lang w:val="en-US" w:eastAsia="zh-CN"/>
              </w:rPr>
              <w:object>
                <v:shape id="_x0000_i1027" o:spt="75" type="#_x0000_t75" style="height:35.5pt;width:425.65pt;" o:ole="t" filled="f" o:preferrelative="t" stroked="f" coordsize="21600,21600">
                  <v:path/>
                  <v:fill on="f" focussize="0,0"/>
                  <v:stroke on="f"/>
                  <v:imagedata r:id="rId20" o:title=""/>
                  <o:lock v:ext="edit" aspectratio="f"/>
                  <w10:wrap type="none"/>
                  <w10:anchorlock/>
                </v:shape>
                <o:OLEObject Type="Embed" ProgID="Visio.Drawing.15" ShapeID="_x0000_i1027" DrawAspect="Content" ObjectID="_1468075727" r:id="rId19">
                  <o:LockedField>false</o:LockedField>
                </o:OLEObject>
              </w:object>
            </w:r>
            <w:r>
              <w:rPr>
                <w:rFonts w:hint="default" w:ascii="Times New Roman" w:hAnsi="Times New Roman" w:eastAsia="仿宋" w:cs="Times New Roman"/>
                <w:b/>
                <w:bCs/>
                <w:color w:val="auto"/>
                <w:kern w:val="0"/>
                <w:sz w:val="24"/>
                <w:szCs w:val="24"/>
                <w:highlight w:val="none"/>
              </w:rPr>
              <w:t>图2-</w:t>
            </w:r>
            <w:r>
              <w:rPr>
                <w:rFonts w:hint="eastAsia" w:eastAsia="仿宋" w:cs="Times New Roman"/>
                <w:b/>
                <w:bCs/>
                <w:color w:val="auto"/>
                <w:kern w:val="0"/>
                <w:sz w:val="24"/>
                <w:szCs w:val="24"/>
                <w:highlight w:val="none"/>
                <w:lang w:val="en-US" w:eastAsia="zh-CN"/>
              </w:rPr>
              <w:t>5原有项目恶臭气体处理方案</w:t>
            </w:r>
          </w:p>
          <w:p w14:paraId="2291FEC3">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此外，加强污水处理站周边的绿化，广泛植花草树木，并采用灌木、乔木多层防护绿化，以降低恶臭污染的影响程度。</w:t>
            </w:r>
          </w:p>
          <w:p w14:paraId="193297A4">
            <w:pPr>
              <w:pStyle w:val="128"/>
              <w:ind w:firstLine="482"/>
              <w:rPr>
                <w:rFonts w:hint="default"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3）达标排放情况</w:t>
            </w:r>
          </w:p>
          <w:p w14:paraId="791F1D41">
            <w:pPr>
              <w:pStyle w:val="128"/>
              <w:ind w:firstLine="482"/>
              <w:rPr>
                <w:rFonts w:hint="eastAsia"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①有组织废气</w:t>
            </w:r>
          </w:p>
          <w:p w14:paraId="48110911">
            <w:pPr>
              <w:pStyle w:val="128"/>
              <w:ind w:firstLine="482"/>
              <w:rPr>
                <w:rFonts w:hint="default"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根据青山绿水（苏州）检验检测有限公司于2021年08月24日-2021年08月25日对金坛区人民医院、金坛区血站整体迁建项目出具的监测报告（QSWT2108072），分别对1#、2#、3#锅炉废气排气筒出口、北侧油烟净化装置出口、南侧油烟净化装置进出口、污水处理站排气筒出口进行监测。原项目有组织废气监测情况见下表：</w:t>
            </w:r>
          </w:p>
          <w:p w14:paraId="49EE0873">
            <w:pPr>
              <w:pStyle w:val="128"/>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eastAsia" w:ascii="Times New Roman" w:hAnsi="Times New Roman" w:eastAsia="仿宋" w:cs="Times New Roman"/>
                <w:b/>
                <w:bCs/>
                <w:color w:val="auto"/>
                <w:kern w:val="0"/>
                <w:sz w:val="22"/>
                <w:szCs w:val="22"/>
                <w:highlight w:val="none"/>
                <w:lang w:val="en-US" w:eastAsia="zh-CN" w:bidi="ar-SA"/>
              </w:rPr>
              <w:t>表2-</w:t>
            </w:r>
            <w:r>
              <w:rPr>
                <w:rFonts w:hint="eastAsia" w:eastAsia="仿宋" w:cs="Times New Roman"/>
                <w:b/>
                <w:bCs/>
                <w:color w:val="auto"/>
                <w:kern w:val="0"/>
                <w:sz w:val="22"/>
                <w:szCs w:val="22"/>
                <w:highlight w:val="none"/>
                <w:lang w:val="en-US" w:eastAsia="zh-CN" w:bidi="ar-SA"/>
              </w:rPr>
              <w:t>13</w:t>
            </w:r>
            <w:r>
              <w:rPr>
                <w:rFonts w:hint="eastAsia" w:ascii="Times New Roman" w:hAnsi="Times New Roman" w:eastAsia="仿宋" w:cs="Times New Roman"/>
                <w:b/>
                <w:bCs/>
                <w:color w:val="auto"/>
                <w:kern w:val="0"/>
                <w:sz w:val="22"/>
                <w:szCs w:val="22"/>
                <w:highlight w:val="none"/>
                <w:lang w:val="en-US" w:eastAsia="zh-CN" w:bidi="ar-SA"/>
              </w:rPr>
              <w:t xml:space="preserve"> </w:t>
            </w:r>
            <w:r>
              <w:rPr>
                <w:rFonts w:hint="eastAsia" w:eastAsia="仿宋" w:cs="Times New Roman"/>
                <w:b/>
                <w:bCs/>
                <w:color w:val="auto"/>
                <w:kern w:val="0"/>
                <w:sz w:val="22"/>
                <w:szCs w:val="22"/>
                <w:highlight w:val="none"/>
                <w:lang w:val="en-US" w:eastAsia="zh-CN" w:bidi="ar-SA"/>
              </w:rPr>
              <w:t>原有</w:t>
            </w:r>
            <w:r>
              <w:rPr>
                <w:rFonts w:hint="eastAsia" w:ascii="Times New Roman" w:hAnsi="Times New Roman" w:eastAsia="仿宋" w:cs="Times New Roman"/>
                <w:b/>
                <w:bCs/>
                <w:color w:val="auto"/>
                <w:kern w:val="0"/>
                <w:sz w:val="22"/>
                <w:szCs w:val="22"/>
                <w:highlight w:val="none"/>
                <w:lang w:val="en-US" w:eastAsia="zh-CN" w:bidi="ar-SA"/>
              </w:rPr>
              <w:t>项目</w:t>
            </w:r>
            <w:r>
              <w:rPr>
                <w:rFonts w:hint="eastAsia" w:eastAsia="仿宋" w:cs="Times New Roman"/>
                <w:b/>
                <w:bCs/>
                <w:color w:val="auto"/>
                <w:kern w:val="0"/>
                <w:sz w:val="22"/>
                <w:szCs w:val="22"/>
                <w:highlight w:val="none"/>
                <w:lang w:val="en-US" w:eastAsia="zh-CN" w:bidi="ar-SA"/>
              </w:rPr>
              <w:t>有组织</w:t>
            </w:r>
            <w:r>
              <w:rPr>
                <w:rFonts w:hint="eastAsia" w:ascii="Times New Roman" w:hAnsi="Times New Roman" w:eastAsia="仿宋" w:cs="Times New Roman"/>
                <w:b/>
                <w:bCs/>
                <w:color w:val="auto"/>
                <w:kern w:val="0"/>
                <w:sz w:val="22"/>
                <w:szCs w:val="22"/>
                <w:highlight w:val="none"/>
                <w:lang w:val="en-US" w:eastAsia="zh-CN" w:bidi="ar-SA"/>
              </w:rPr>
              <w:t>废气达标排放情况</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1056"/>
              <w:gridCol w:w="942"/>
              <w:gridCol w:w="1219"/>
              <w:gridCol w:w="1117"/>
              <w:gridCol w:w="1219"/>
              <w:gridCol w:w="1045"/>
              <w:gridCol w:w="892"/>
            </w:tblGrid>
            <w:tr w14:paraId="01ED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92" w:type="dxa"/>
                  <w:vMerge w:val="restart"/>
                  <w:vAlign w:val="center"/>
                </w:tcPr>
                <w:p w14:paraId="7DD5152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排气筒</w:t>
                  </w:r>
                </w:p>
              </w:tc>
              <w:tc>
                <w:tcPr>
                  <w:tcW w:w="1056" w:type="dxa"/>
                  <w:vMerge w:val="restart"/>
                  <w:vAlign w:val="center"/>
                </w:tcPr>
                <w:p w14:paraId="57B124D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监测时间</w:t>
                  </w:r>
                </w:p>
              </w:tc>
              <w:tc>
                <w:tcPr>
                  <w:tcW w:w="942" w:type="dxa"/>
                  <w:vMerge w:val="restart"/>
                  <w:vAlign w:val="center"/>
                </w:tcPr>
                <w:p w14:paraId="463AA76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污染物名称</w:t>
                  </w:r>
                </w:p>
              </w:tc>
              <w:tc>
                <w:tcPr>
                  <w:tcW w:w="2336" w:type="dxa"/>
                  <w:gridSpan w:val="2"/>
                  <w:vAlign w:val="center"/>
                </w:tcPr>
                <w:p w14:paraId="707B2F1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排放状况</w:t>
                  </w:r>
                </w:p>
              </w:tc>
              <w:tc>
                <w:tcPr>
                  <w:tcW w:w="2264" w:type="dxa"/>
                  <w:gridSpan w:val="2"/>
                  <w:vAlign w:val="center"/>
                </w:tcPr>
                <w:p w14:paraId="764C22A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现行标准</w:t>
                  </w:r>
                </w:p>
              </w:tc>
              <w:tc>
                <w:tcPr>
                  <w:tcW w:w="892" w:type="dxa"/>
                  <w:vMerge w:val="restart"/>
                  <w:vAlign w:val="center"/>
                </w:tcPr>
                <w:p w14:paraId="4401715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排放高度</w:t>
                  </w:r>
                </w:p>
              </w:tc>
            </w:tr>
            <w:tr w14:paraId="35D2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92" w:type="dxa"/>
                  <w:vMerge w:val="continue"/>
                  <w:vAlign w:val="center"/>
                </w:tcPr>
                <w:p w14:paraId="1EA841A7">
                  <w:pPr>
                    <w:pStyle w:val="128"/>
                    <w:keepNext w:val="0"/>
                    <w:keepLines w:val="0"/>
                    <w:pageBreakBefore w:val="0"/>
                    <w:widowControl w:val="0"/>
                    <w:kinsoku/>
                    <w:wordWrap/>
                    <w:overflowPunct/>
                    <w:topLinePunct w:val="0"/>
                    <w:autoSpaceDE/>
                    <w:autoSpaceDN/>
                    <w:bidi w:val="0"/>
                    <w:adjustRightInd w:val="0"/>
                    <w:snapToGrid/>
                    <w:ind w:firstLine="0" w:firstLineChars="0"/>
                    <w:jc w:val="center"/>
                    <w:textAlignment w:val="auto"/>
                  </w:pPr>
                </w:p>
              </w:tc>
              <w:tc>
                <w:tcPr>
                  <w:tcW w:w="1056" w:type="dxa"/>
                  <w:vMerge w:val="continue"/>
                  <w:vAlign w:val="center"/>
                </w:tcPr>
                <w:p w14:paraId="2ADA3608">
                  <w:pPr>
                    <w:pStyle w:val="128"/>
                    <w:keepNext w:val="0"/>
                    <w:keepLines w:val="0"/>
                    <w:pageBreakBefore w:val="0"/>
                    <w:widowControl w:val="0"/>
                    <w:kinsoku/>
                    <w:wordWrap/>
                    <w:overflowPunct/>
                    <w:topLinePunct w:val="0"/>
                    <w:autoSpaceDE/>
                    <w:autoSpaceDN/>
                    <w:bidi w:val="0"/>
                    <w:adjustRightInd w:val="0"/>
                    <w:snapToGrid/>
                    <w:ind w:firstLine="0" w:firstLineChars="0"/>
                    <w:jc w:val="center"/>
                    <w:textAlignment w:val="auto"/>
                  </w:pPr>
                </w:p>
              </w:tc>
              <w:tc>
                <w:tcPr>
                  <w:tcW w:w="942" w:type="dxa"/>
                  <w:vMerge w:val="continue"/>
                  <w:vAlign w:val="center"/>
                </w:tcPr>
                <w:p w14:paraId="3625D996">
                  <w:pPr>
                    <w:pStyle w:val="128"/>
                    <w:keepNext w:val="0"/>
                    <w:keepLines w:val="0"/>
                    <w:pageBreakBefore w:val="0"/>
                    <w:widowControl w:val="0"/>
                    <w:kinsoku/>
                    <w:wordWrap/>
                    <w:overflowPunct/>
                    <w:topLinePunct w:val="0"/>
                    <w:autoSpaceDE/>
                    <w:autoSpaceDN/>
                    <w:bidi w:val="0"/>
                    <w:adjustRightInd w:val="0"/>
                    <w:snapToGrid/>
                    <w:ind w:firstLine="0" w:firstLineChars="0"/>
                    <w:jc w:val="center"/>
                    <w:textAlignment w:val="auto"/>
                  </w:pPr>
                </w:p>
              </w:tc>
              <w:tc>
                <w:tcPr>
                  <w:tcW w:w="1219" w:type="dxa"/>
                  <w:vAlign w:val="center"/>
                </w:tcPr>
                <w:p w14:paraId="195B15F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浓度（mg/m</w:t>
                  </w:r>
                  <w:r>
                    <w:rPr>
                      <w:rFonts w:hint="eastAsia" w:ascii="Times New Roman" w:hAnsi="Times New Roman" w:eastAsia="仿宋" w:cs="Times New Roman"/>
                      <w:b/>
                      <w:bCs/>
                      <w:color w:val="auto"/>
                      <w:kern w:val="0"/>
                      <w:sz w:val="21"/>
                      <w:szCs w:val="21"/>
                      <w:highlight w:val="none"/>
                      <w:vertAlign w:val="superscript"/>
                      <w:lang w:val="en-US" w:eastAsia="zh-CN"/>
                    </w:rPr>
                    <w:t>3</w:t>
                  </w:r>
                  <w:r>
                    <w:rPr>
                      <w:rFonts w:hint="eastAsia" w:ascii="Times New Roman" w:hAnsi="Times New Roman" w:eastAsia="仿宋" w:cs="Times New Roman"/>
                      <w:b/>
                      <w:bCs/>
                      <w:color w:val="auto"/>
                      <w:kern w:val="0"/>
                      <w:sz w:val="21"/>
                      <w:szCs w:val="21"/>
                      <w:highlight w:val="none"/>
                      <w:lang w:val="en-US" w:eastAsia="zh-CN"/>
                    </w:rPr>
                    <w:t>）</w:t>
                  </w:r>
                </w:p>
              </w:tc>
              <w:tc>
                <w:tcPr>
                  <w:tcW w:w="1117" w:type="dxa"/>
                  <w:vAlign w:val="center"/>
                </w:tcPr>
                <w:p w14:paraId="07850AE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速率（kg/h）</w:t>
                  </w:r>
                </w:p>
              </w:tc>
              <w:tc>
                <w:tcPr>
                  <w:tcW w:w="1219" w:type="dxa"/>
                  <w:vAlign w:val="center"/>
                </w:tcPr>
                <w:p w14:paraId="5C2E8EE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浓度（mg/m</w:t>
                  </w:r>
                  <w:r>
                    <w:rPr>
                      <w:rFonts w:hint="eastAsia" w:ascii="Times New Roman" w:hAnsi="Times New Roman" w:eastAsia="仿宋" w:cs="Times New Roman"/>
                      <w:b/>
                      <w:bCs/>
                      <w:color w:val="auto"/>
                      <w:kern w:val="0"/>
                      <w:sz w:val="21"/>
                      <w:szCs w:val="21"/>
                      <w:highlight w:val="none"/>
                      <w:vertAlign w:val="superscript"/>
                      <w:lang w:val="en-US" w:eastAsia="zh-CN"/>
                    </w:rPr>
                    <w:t>3</w:t>
                  </w:r>
                  <w:r>
                    <w:rPr>
                      <w:rFonts w:hint="eastAsia" w:ascii="Times New Roman" w:hAnsi="Times New Roman" w:eastAsia="仿宋" w:cs="Times New Roman"/>
                      <w:b/>
                      <w:bCs/>
                      <w:color w:val="auto"/>
                      <w:kern w:val="0"/>
                      <w:sz w:val="21"/>
                      <w:szCs w:val="21"/>
                      <w:highlight w:val="none"/>
                      <w:lang w:val="en-US" w:eastAsia="zh-CN"/>
                    </w:rPr>
                    <w:t>）</w:t>
                  </w:r>
                </w:p>
              </w:tc>
              <w:tc>
                <w:tcPr>
                  <w:tcW w:w="1045" w:type="dxa"/>
                  <w:vAlign w:val="center"/>
                </w:tcPr>
                <w:p w14:paraId="56838E3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速率（kg/h）</w:t>
                  </w:r>
                </w:p>
              </w:tc>
              <w:tc>
                <w:tcPr>
                  <w:tcW w:w="892" w:type="dxa"/>
                  <w:vMerge w:val="continue"/>
                  <w:vAlign w:val="center"/>
                </w:tcPr>
                <w:p w14:paraId="412099C4">
                  <w:pPr>
                    <w:pStyle w:val="128"/>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eastAsia" w:ascii="Times New Roman" w:hAnsi="Times New Roman" w:eastAsia="仿宋" w:cs="Times New Roman"/>
                      <w:color w:val="auto"/>
                      <w:kern w:val="2"/>
                      <w:sz w:val="24"/>
                      <w:szCs w:val="24"/>
                      <w:highlight w:val="none"/>
                      <w:vertAlign w:val="baseline"/>
                      <w:lang w:val="en-US" w:eastAsia="zh-CN" w:bidi="ar-SA"/>
                    </w:rPr>
                  </w:pPr>
                </w:p>
              </w:tc>
            </w:tr>
            <w:tr w14:paraId="7EC0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restart"/>
                  <w:vAlign w:val="center"/>
                </w:tcPr>
                <w:p w14:paraId="2DE2522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1#锅炉废气排气筒出口</w:t>
                  </w:r>
                </w:p>
              </w:tc>
              <w:tc>
                <w:tcPr>
                  <w:tcW w:w="1056" w:type="dxa"/>
                  <w:vMerge w:val="restart"/>
                  <w:vAlign w:val="center"/>
                </w:tcPr>
                <w:p w14:paraId="4C4AD46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2021.8.24</w:t>
                  </w:r>
                </w:p>
              </w:tc>
              <w:tc>
                <w:tcPr>
                  <w:tcW w:w="942" w:type="dxa"/>
                  <w:vAlign w:val="center"/>
                </w:tcPr>
                <w:p w14:paraId="4624C29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颗粒物</w:t>
                  </w:r>
                </w:p>
              </w:tc>
              <w:tc>
                <w:tcPr>
                  <w:tcW w:w="1219" w:type="dxa"/>
                  <w:vAlign w:val="center"/>
                </w:tcPr>
                <w:p w14:paraId="0508CDC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4.3</w:t>
                  </w:r>
                </w:p>
              </w:tc>
              <w:tc>
                <w:tcPr>
                  <w:tcW w:w="1117" w:type="dxa"/>
                  <w:vAlign w:val="center"/>
                </w:tcPr>
                <w:p w14:paraId="317760C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6.1×10</w:t>
                  </w:r>
                  <w:r>
                    <w:rPr>
                      <w:rFonts w:hint="eastAsia" w:eastAsia="仿宋" w:cs="Times New Roman"/>
                      <w:color w:val="auto"/>
                      <w:kern w:val="0"/>
                      <w:sz w:val="21"/>
                      <w:szCs w:val="21"/>
                      <w:highlight w:val="none"/>
                      <w:vertAlign w:val="superscript"/>
                      <w:lang w:val="en-US" w:eastAsia="zh-CN"/>
                    </w:rPr>
                    <w:t>-3</w:t>
                  </w:r>
                </w:p>
              </w:tc>
              <w:tc>
                <w:tcPr>
                  <w:tcW w:w="1219" w:type="dxa"/>
                  <w:vAlign w:val="center"/>
                </w:tcPr>
                <w:p w14:paraId="7B6044A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w:t>
                  </w:r>
                </w:p>
              </w:tc>
              <w:tc>
                <w:tcPr>
                  <w:tcW w:w="1045" w:type="dxa"/>
                  <w:vAlign w:val="center"/>
                </w:tcPr>
                <w:p w14:paraId="1A0D84C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restart"/>
                  <w:vAlign w:val="center"/>
                </w:tcPr>
                <w:p w14:paraId="03103D0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8m</w:t>
                  </w:r>
                </w:p>
              </w:tc>
            </w:tr>
            <w:tr w14:paraId="54A2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892" w:type="dxa"/>
                  <w:vMerge w:val="continue"/>
                  <w:vAlign w:val="center"/>
                </w:tcPr>
                <w:p w14:paraId="3C13AD0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48DC991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12F412C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SO</w:t>
                  </w:r>
                  <w:r>
                    <w:rPr>
                      <w:rFonts w:hint="eastAsia" w:eastAsia="仿宋" w:cs="Times New Roman"/>
                      <w:color w:val="auto"/>
                      <w:kern w:val="0"/>
                      <w:sz w:val="21"/>
                      <w:szCs w:val="21"/>
                      <w:highlight w:val="none"/>
                      <w:vertAlign w:val="subscript"/>
                      <w:lang w:val="en-US" w:eastAsia="zh-CN"/>
                    </w:rPr>
                    <w:t>2</w:t>
                  </w:r>
                </w:p>
              </w:tc>
              <w:tc>
                <w:tcPr>
                  <w:tcW w:w="1219" w:type="dxa"/>
                  <w:vAlign w:val="center"/>
                </w:tcPr>
                <w:p w14:paraId="22FE8CF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1117" w:type="dxa"/>
                  <w:vAlign w:val="center"/>
                </w:tcPr>
                <w:p w14:paraId="6C8353C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219" w:type="dxa"/>
                  <w:vAlign w:val="center"/>
                </w:tcPr>
                <w:p w14:paraId="44C00EE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08927EC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0E2354F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70B0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3EDF84B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2E278C1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248E8DA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NOx</w:t>
                  </w:r>
                </w:p>
              </w:tc>
              <w:tc>
                <w:tcPr>
                  <w:tcW w:w="1219" w:type="dxa"/>
                  <w:vAlign w:val="center"/>
                </w:tcPr>
                <w:p w14:paraId="0196A22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30</w:t>
                  </w:r>
                </w:p>
              </w:tc>
              <w:tc>
                <w:tcPr>
                  <w:tcW w:w="1117" w:type="dxa"/>
                  <w:vAlign w:val="center"/>
                </w:tcPr>
                <w:p w14:paraId="7DC51EA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4.4×10</w:t>
                  </w:r>
                  <w:r>
                    <w:rPr>
                      <w:rFonts w:hint="eastAsia" w:eastAsia="仿宋" w:cs="Times New Roman"/>
                      <w:color w:val="auto"/>
                      <w:kern w:val="0"/>
                      <w:sz w:val="21"/>
                      <w:szCs w:val="21"/>
                      <w:highlight w:val="none"/>
                      <w:vertAlign w:val="superscript"/>
                      <w:lang w:val="en-US" w:eastAsia="zh-CN"/>
                    </w:rPr>
                    <w:t>-2</w:t>
                  </w:r>
                </w:p>
              </w:tc>
              <w:tc>
                <w:tcPr>
                  <w:tcW w:w="1219" w:type="dxa"/>
                  <w:vAlign w:val="center"/>
                </w:tcPr>
                <w:p w14:paraId="10759B3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6AC8A2B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3002F67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62F0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010A280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restart"/>
                  <w:vAlign w:val="center"/>
                </w:tcPr>
                <w:p w14:paraId="09E92C6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2021.8.25</w:t>
                  </w:r>
                </w:p>
              </w:tc>
              <w:tc>
                <w:tcPr>
                  <w:tcW w:w="942" w:type="dxa"/>
                  <w:vAlign w:val="center"/>
                </w:tcPr>
                <w:p w14:paraId="63487EE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颗粒物</w:t>
                  </w:r>
                </w:p>
              </w:tc>
              <w:tc>
                <w:tcPr>
                  <w:tcW w:w="1219" w:type="dxa"/>
                  <w:vAlign w:val="center"/>
                </w:tcPr>
                <w:p w14:paraId="454E27C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5.2</w:t>
                  </w:r>
                </w:p>
              </w:tc>
              <w:tc>
                <w:tcPr>
                  <w:tcW w:w="1117" w:type="dxa"/>
                  <w:vAlign w:val="center"/>
                </w:tcPr>
                <w:p w14:paraId="48BFC3E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3.2×10</w:t>
                  </w:r>
                  <w:r>
                    <w:rPr>
                      <w:rFonts w:hint="eastAsia" w:eastAsia="仿宋" w:cs="Times New Roman"/>
                      <w:color w:val="auto"/>
                      <w:kern w:val="0"/>
                      <w:sz w:val="21"/>
                      <w:szCs w:val="21"/>
                      <w:highlight w:val="none"/>
                      <w:vertAlign w:val="superscript"/>
                      <w:lang w:val="en-US" w:eastAsia="zh-CN"/>
                    </w:rPr>
                    <w:t>-2</w:t>
                  </w:r>
                </w:p>
              </w:tc>
              <w:tc>
                <w:tcPr>
                  <w:tcW w:w="1219" w:type="dxa"/>
                  <w:vAlign w:val="center"/>
                </w:tcPr>
                <w:p w14:paraId="4C149B4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w:t>
                  </w:r>
                </w:p>
              </w:tc>
              <w:tc>
                <w:tcPr>
                  <w:tcW w:w="1045" w:type="dxa"/>
                  <w:vAlign w:val="center"/>
                </w:tcPr>
                <w:p w14:paraId="3BC3A77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2861846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1ECE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60A28F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64AEFC6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570700C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SO</w:t>
                  </w:r>
                  <w:r>
                    <w:rPr>
                      <w:rFonts w:hint="eastAsia" w:eastAsia="仿宋" w:cs="Times New Roman"/>
                      <w:color w:val="auto"/>
                      <w:kern w:val="0"/>
                      <w:sz w:val="21"/>
                      <w:szCs w:val="21"/>
                      <w:highlight w:val="none"/>
                      <w:vertAlign w:val="subscript"/>
                      <w:lang w:val="en-US" w:eastAsia="zh-CN"/>
                    </w:rPr>
                    <w:t>2</w:t>
                  </w:r>
                </w:p>
              </w:tc>
              <w:tc>
                <w:tcPr>
                  <w:tcW w:w="1219" w:type="dxa"/>
                  <w:vAlign w:val="center"/>
                </w:tcPr>
                <w:p w14:paraId="2591676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1117" w:type="dxa"/>
                  <w:vAlign w:val="center"/>
                </w:tcPr>
                <w:p w14:paraId="1F7AAC3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219" w:type="dxa"/>
                  <w:vAlign w:val="center"/>
                </w:tcPr>
                <w:p w14:paraId="0F137C9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387EDD3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1FB7F94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7FE1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60B83DF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0E9B36C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358486A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NOx</w:t>
                  </w:r>
                </w:p>
              </w:tc>
              <w:tc>
                <w:tcPr>
                  <w:tcW w:w="1219" w:type="dxa"/>
                  <w:vAlign w:val="center"/>
                </w:tcPr>
                <w:p w14:paraId="40C7D02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33</w:t>
                  </w:r>
                </w:p>
              </w:tc>
              <w:tc>
                <w:tcPr>
                  <w:tcW w:w="1117" w:type="dxa"/>
                  <w:vAlign w:val="center"/>
                </w:tcPr>
                <w:p w14:paraId="1CE15C5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4.7×10</w:t>
                  </w:r>
                  <w:r>
                    <w:rPr>
                      <w:rFonts w:hint="eastAsia" w:eastAsia="仿宋" w:cs="Times New Roman"/>
                      <w:color w:val="auto"/>
                      <w:kern w:val="0"/>
                      <w:sz w:val="21"/>
                      <w:szCs w:val="21"/>
                      <w:highlight w:val="none"/>
                      <w:vertAlign w:val="superscript"/>
                      <w:lang w:val="en-US" w:eastAsia="zh-CN"/>
                    </w:rPr>
                    <w:t>-2</w:t>
                  </w:r>
                </w:p>
              </w:tc>
              <w:tc>
                <w:tcPr>
                  <w:tcW w:w="1219" w:type="dxa"/>
                  <w:vAlign w:val="center"/>
                </w:tcPr>
                <w:p w14:paraId="29A1E31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317457C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59AAB37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54CC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restart"/>
                  <w:vAlign w:val="center"/>
                </w:tcPr>
                <w:p w14:paraId="632DD5D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2#锅炉废气排气筒出口</w:t>
                  </w:r>
                </w:p>
              </w:tc>
              <w:tc>
                <w:tcPr>
                  <w:tcW w:w="1056" w:type="dxa"/>
                  <w:vMerge w:val="restart"/>
                  <w:vAlign w:val="center"/>
                </w:tcPr>
                <w:p w14:paraId="28EC6CF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2021.8.24</w:t>
                  </w:r>
                </w:p>
              </w:tc>
              <w:tc>
                <w:tcPr>
                  <w:tcW w:w="942" w:type="dxa"/>
                  <w:vAlign w:val="center"/>
                </w:tcPr>
                <w:p w14:paraId="054892C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颗粒物</w:t>
                  </w:r>
                </w:p>
              </w:tc>
              <w:tc>
                <w:tcPr>
                  <w:tcW w:w="1219" w:type="dxa"/>
                  <w:vAlign w:val="center"/>
                </w:tcPr>
                <w:p w14:paraId="7015A5E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4.8</w:t>
                  </w:r>
                </w:p>
              </w:tc>
              <w:tc>
                <w:tcPr>
                  <w:tcW w:w="1117" w:type="dxa"/>
                  <w:vAlign w:val="center"/>
                </w:tcPr>
                <w:p w14:paraId="5FE2238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6.9×10</w:t>
                  </w:r>
                  <w:r>
                    <w:rPr>
                      <w:rFonts w:hint="eastAsia" w:eastAsia="仿宋" w:cs="Times New Roman"/>
                      <w:color w:val="auto"/>
                      <w:kern w:val="0"/>
                      <w:sz w:val="21"/>
                      <w:szCs w:val="21"/>
                      <w:highlight w:val="none"/>
                      <w:vertAlign w:val="superscript"/>
                      <w:lang w:val="en-US" w:eastAsia="zh-CN"/>
                    </w:rPr>
                    <w:t>-3</w:t>
                  </w:r>
                </w:p>
              </w:tc>
              <w:tc>
                <w:tcPr>
                  <w:tcW w:w="1219" w:type="dxa"/>
                  <w:vAlign w:val="center"/>
                </w:tcPr>
                <w:p w14:paraId="2528022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w:t>
                  </w:r>
                </w:p>
              </w:tc>
              <w:tc>
                <w:tcPr>
                  <w:tcW w:w="1045" w:type="dxa"/>
                  <w:vAlign w:val="center"/>
                </w:tcPr>
                <w:p w14:paraId="56E817C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restart"/>
                  <w:vAlign w:val="center"/>
                </w:tcPr>
                <w:p w14:paraId="2908E66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8m</w:t>
                  </w:r>
                </w:p>
              </w:tc>
            </w:tr>
            <w:tr w14:paraId="21FE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58707B4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0936346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4D6AA9D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SO</w:t>
                  </w:r>
                  <w:r>
                    <w:rPr>
                      <w:rFonts w:hint="eastAsia" w:eastAsia="仿宋" w:cs="Times New Roman"/>
                      <w:color w:val="auto"/>
                      <w:kern w:val="0"/>
                      <w:sz w:val="21"/>
                      <w:szCs w:val="21"/>
                      <w:highlight w:val="none"/>
                      <w:vertAlign w:val="subscript"/>
                      <w:lang w:val="en-US" w:eastAsia="zh-CN"/>
                    </w:rPr>
                    <w:t>2</w:t>
                  </w:r>
                </w:p>
              </w:tc>
              <w:tc>
                <w:tcPr>
                  <w:tcW w:w="1219" w:type="dxa"/>
                  <w:vAlign w:val="center"/>
                </w:tcPr>
                <w:p w14:paraId="28BFA24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1117" w:type="dxa"/>
                  <w:vAlign w:val="center"/>
                </w:tcPr>
                <w:p w14:paraId="05EB9A9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219" w:type="dxa"/>
                  <w:vAlign w:val="center"/>
                </w:tcPr>
                <w:p w14:paraId="59B07A3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2D896F2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369654B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6DAC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2750845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429F4F5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4C8C262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NOx</w:t>
                  </w:r>
                </w:p>
              </w:tc>
              <w:tc>
                <w:tcPr>
                  <w:tcW w:w="1219" w:type="dxa"/>
                  <w:vAlign w:val="center"/>
                </w:tcPr>
                <w:p w14:paraId="34172A9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35</w:t>
                  </w:r>
                </w:p>
              </w:tc>
              <w:tc>
                <w:tcPr>
                  <w:tcW w:w="1117" w:type="dxa"/>
                  <w:vAlign w:val="center"/>
                </w:tcPr>
                <w:p w14:paraId="31CFD0E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5.2×10</w:t>
                  </w:r>
                  <w:r>
                    <w:rPr>
                      <w:rFonts w:hint="eastAsia" w:eastAsia="仿宋" w:cs="Times New Roman"/>
                      <w:color w:val="auto"/>
                      <w:kern w:val="0"/>
                      <w:sz w:val="21"/>
                      <w:szCs w:val="21"/>
                      <w:highlight w:val="none"/>
                      <w:vertAlign w:val="superscript"/>
                      <w:lang w:val="en-US" w:eastAsia="zh-CN"/>
                    </w:rPr>
                    <w:t>-2</w:t>
                  </w:r>
                </w:p>
              </w:tc>
              <w:tc>
                <w:tcPr>
                  <w:tcW w:w="1219" w:type="dxa"/>
                  <w:vAlign w:val="center"/>
                </w:tcPr>
                <w:p w14:paraId="241B8A6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6756DC4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362BD30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08C4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333AB6D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restart"/>
                  <w:vAlign w:val="center"/>
                </w:tcPr>
                <w:p w14:paraId="27BA043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2021.8.25</w:t>
                  </w:r>
                </w:p>
              </w:tc>
              <w:tc>
                <w:tcPr>
                  <w:tcW w:w="942" w:type="dxa"/>
                  <w:vAlign w:val="center"/>
                </w:tcPr>
                <w:p w14:paraId="17A1FB7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颗粒物</w:t>
                  </w:r>
                </w:p>
              </w:tc>
              <w:tc>
                <w:tcPr>
                  <w:tcW w:w="1219" w:type="dxa"/>
                  <w:vAlign w:val="center"/>
                </w:tcPr>
                <w:p w14:paraId="44B36DC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4.7</w:t>
                  </w:r>
                </w:p>
              </w:tc>
              <w:tc>
                <w:tcPr>
                  <w:tcW w:w="1117" w:type="dxa"/>
                  <w:vAlign w:val="center"/>
                </w:tcPr>
                <w:p w14:paraId="1BDEFCC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6.7×10</w:t>
                  </w:r>
                  <w:r>
                    <w:rPr>
                      <w:rFonts w:hint="eastAsia" w:eastAsia="仿宋" w:cs="Times New Roman"/>
                      <w:color w:val="auto"/>
                      <w:kern w:val="0"/>
                      <w:sz w:val="21"/>
                      <w:szCs w:val="21"/>
                      <w:highlight w:val="none"/>
                      <w:vertAlign w:val="superscript"/>
                      <w:lang w:val="en-US" w:eastAsia="zh-CN"/>
                    </w:rPr>
                    <w:t>-3</w:t>
                  </w:r>
                </w:p>
              </w:tc>
              <w:tc>
                <w:tcPr>
                  <w:tcW w:w="1219" w:type="dxa"/>
                  <w:vAlign w:val="center"/>
                </w:tcPr>
                <w:p w14:paraId="76C50B2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w:t>
                  </w:r>
                </w:p>
              </w:tc>
              <w:tc>
                <w:tcPr>
                  <w:tcW w:w="1045" w:type="dxa"/>
                  <w:vAlign w:val="center"/>
                </w:tcPr>
                <w:p w14:paraId="3C45D23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4B01B89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63F2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68295EB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67DB8E8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6DCD773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SO</w:t>
                  </w:r>
                  <w:r>
                    <w:rPr>
                      <w:rFonts w:hint="eastAsia" w:eastAsia="仿宋" w:cs="Times New Roman"/>
                      <w:color w:val="auto"/>
                      <w:kern w:val="0"/>
                      <w:sz w:val="21"/>
                      <w:szCs w:val="21"/>
                      <w:highlight w:val="none"/>
                      <w:vertAlign w:val="subscript"/>
                      <w:lang w:val="en-US" w:eastAsia="zh-CN"/>
                    </w:rPr>
                    <w:t>2</w:t>
                  </w:r>
                </w:p>
              </w:tc>
              <w:tc>
                <w:tcPr>
                  <w:tcW w:w="1219" w:type="dxa"/>
                  <w:vAlign w:val="center"/>
                </w:tcPr>
                <w:p w14:paraId="47BCD44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1117" w:type="dxa"/>
                  <w:vAlign w:val="center"/>
                </w:tcPr>
                <w:p w14:paraId="2E15102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219" w:type="dxa"/>
                  <w:vAlign w:val="center"/>
                </w:tcPr>
                <w:p w14:paraId="290DE24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57A69B9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6BA1D41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0C70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2DF488C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699A0B5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08C05CC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NOx</w:t>
                  </w:r>
                </w:p>
              </w:tc>
              <w:tc>
                <w:tcPr>
                  <w:tcW w:w="1219" w:type="dxa"/>
                  <w:vAlign w:val="center"/>
                </w:tcPr>
                <w:p w14:paraId="276DDB7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36</w:t>
                  </w:r>
                </w:p>
              </w:tc>
              <w:tc>
                <w:tcPr>
                  <w:tcW w:w="1117" w:type="dxa"/>
                  <w:vAlign w:val="center"/>
                </w:tcPr>
                <w:p w14:paraId="021A103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5.2×10</w:t>
                  </w:r>
                  <w:r>
                    <w:rPr>
                      <w:rFonts w:hint="eastAsia" w:eastAsia="仿宋" w:cs="Times New Roman"/>
                      <w:color w:val="auto"/>
                      <w:kern w:val="0"/>
                      <w:sz w:val="21"/>
                      <w:szCs w:val="21"/>
                      <w:highlight w:val="none"/>
                      <w:vertAlign w:val="superscript"/>
                      <w:lang w:val="en-US" w:eastAsia="zh-CN"/>
                    </w:rPr>
                    <w:t>-2</w:t>
                  </w:r>
                </w:p>
              </w:tc>
              <w:tc>
                <w:tcPr>
                  <w:tcW w:w="1219" w:type="dxa"/>
                  <w:vAlign w:val="center"/>
                </w:tcPr>
                <w:p w14:paraId="3AE27A4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60744B7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32615E1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321B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restart"/>
                  <w:vAlign w:val="center"/>
                </w:tcPr>
                <w:p w14:paraId="3C81623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3#锅炉废气排气筒出口</w:t>
                  </w:r>
                </w:p>
              </w:tc>
              <w:tc>
                <w:tcPr>
                  <w:tcW w:w="1056" w:type="dxa"/>
                  <w:vMerge w:val="restart"/>
                  <w:vAlign w:val="center"/>
                </w:tcPr>
                <w:p w14:paraId="371A9CF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2021.8.24</w:t>
                  </w:r>
                </w:p>
              </w:tc>
              <w:tc>
                <w:tcPr>
                  <w:tcW w:w="942" w:type="dxa"/>
                  <w:vAlign w:val="center"/>
                </w:tcPr>
                <w:p w14:paraId="6829D55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颗粒物</w:t>
                  </w:r>
                </w:p>
              </w:tc>
              <w:tc>
                <w:tcPr>
                  <w:tcW w:w="1219" w:type="dxa"/>
                  <w:vAlign w:val="center"/>
                </w:tcPr>
                <w:p w14:paraId="38DB2F9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2.8</w:t>
                  </w:r>
                </w:p>
              </w:tc>
              <w:tc>
                <w:tcPr>
                  <w:tcW w:w="1117" w:type="dxa"/>
                  <w:vAlign w:val="center"/>
                </w:tcPr>
                <w:p w14:paraId="4DE42EA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4.4×10</w:t>
                  </w:r>
                  <w:r>
                    <w:rPr>
                      <w:rFonts w:hint="eastAsia" w:eastAsia="仿宋" w:cs="Times New Roman"/>
                      <w:color w:val="auto"/>
                      <w:kern w:val="0"/>
                      <w:sz w:val="21"/>
                      <w:szCs w:val="21"/>
                      <w:highlight w:val="none"/>
                      <w:vertAlign w:val="superscript"/>
                      <w:lang w:val="en-US" w:eastAsia="zh-CN"/>
                    </w:rPr>
                    <w:t>-3</w:t>
                  </w:r>
                </w:p>
              </w:tc>
              <w:tc>
                <w:tcPr>
                  <w:tcW w:w="1219" w:type="dxa"/>
                  <w:vAlign w:val="center"/>
                </w:tcPr>
                <w:p w14:paraId="007ACE1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w:t>
                  </w:r>
                </w:p>
              </w:tc>
              <w:tc>
                <w:tcPr>
                  <w:tcW w:w="1045" w:type="dxa"/>
                  <w:vAlign w:val="center"/>
                </w:tcPr>
                <w:p w14:paraId="59CCFF2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restart"/>
                  <w:vAlign w:val="center"/>
                </w:tcPr>
                <w:p w14:paraId="1ED78A3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8m</w:t>
                  </w:r>
                </w:p>
              </w:tc>
            </w:tr>
            <w:tr w14:paraId="7832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075954F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09A817D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4FCE8BB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SO</w:t>
                  </w:r>
                  <w:r>
                    <w:rPr>
                      <w:rFonts w:hint="eastAsia" w:eastAsia="仿宋" w:cs="Times New Roman"/>
                      <w:color w:val="auto"/>
                      <w:kern w:val="0"/>
                      <w:sz w:val="21"/>
                      <w:szCs w:val="21"/>
                      <w:highlight w:val="none"/>
                      <w:vertAlign w:val="subscript"/>
                      <w:lang w:val="en-US" w:eastAsia="zh-CN"/>
                    </w:rPr>
                    <w:t>2</w:t>
                  </w:r>
                </w:p>
              </w:tc>
              <w:tc>
                <w:tcPr>
                  <w:tcW w:w="1219" w:type="dxa"/>
                  <w:vAlign w:val="center"/>
                </w:tcPr>
                <w:p w14:paraId="330AE68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1117" w:type="dxa"/>
                  <w:vAlign w:val="center"/>
                </w:tcPr>
                <w:p w14:paraId="112AEAA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219" w:type="dxa"/>
                  <w:vAlign w:val="center"/>
                </w:tcPr>
                <w:p w14:paraId="020943A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7592420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79FCAC0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3B98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4DAF60A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68096D0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4461557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NOx</w:t>
                  </w:r>
                </w:p>
              </w:tc>
              <w:tc>
                <w:tcPr>
                  <w:tcW w:w="1219" w:type="dxa"/>
                  <w:vAlign w:val="center"/>
                </w:tcPr>
                <w:p w14:paraId="2D2BC76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38</w:t>
                  </w:r>
                </w:p>
              </w:tc>
              <w:tc>
                <w:tcPr>
                  <w:tcW w:w="1117" w:type="dxa"/>
                  <w:vAlign w:val="center"/>
                </w:tcPr>
                <w:p w14:paraId="2082376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5.3×10</w:t>
                  </w:r>
                  <w:r>
                    <w:rPr>
                      <w:rFonts w:hint="eastAsia" w:eastAsia="仿宋" w:cs="Times New Roman"/>
                      <w:color w:val="auto"/>
                      <w:kern w:val="0"/>
                      <w:sz w:val="21"/>
                      <w:szCs w:val="21"/>
                      <w:highlight w:val="none"/>
                      <w:vertAlign w:val="superscript"/>
                      <w:lang w:val="en-US" w:eastAsia="zh-CN"/>
                    </w:rPr>
                    <w:t>-2</w:t>
                  </w:r>
                </w:p>
              </w:tc>
              <w:tc>
                <w:tcPr>
                  <w:tcW w:w="1219" w:type="dxa"/>
                  <w:vAlign w:val="center"/>
                </w:tcPr>
                <w:p w14:paraId="35D7BD2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42B4811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65BD45F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4033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2500358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restart"/>
                  <w:vAlign w:val="center"/>
                </w:tcPr>
                <w:p w14:paraId="72BECDA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2021.8.25</w:t>
                  </w:r>
                </w:p>
              </w:tc>
              <w:tc>
                <w:tcPr>
                  <w:tcW w:w="942" w:type="dxa"/>
                  <w:vAlign w:val="center"/>
                </w:tcPr>
                <w:p w14:paraId="0D8EA10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颗粒物</w:t>
                  </w:r>
                </w:p>
              </w:tc>
              <w:tc>
                <w:tcPr>
                  <w:tcW w:w="1219" w:type="dxa"/>
                  <w:vAlign w:val="center"/>
                </w:tcPr>
                <w:p w14:paraId="11E026A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w:t>
                  </w:r>
                </w:p>
              </w:tc>
              <w:tc>
                <w:tcPr>
                  <w:tcW w:w="1117" w:type="dxa"/>
                  <w:vAlign w:val="center"/>
                </w:tcPr>
                <w:p w14:paraId="05046E3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4.4×10</w:t>
                  </w:r>
                  <w:r>
                    <w:rPr>
                      <w:rFonts w:hint="eastAsia" w:eastAsia="仿宋" w:cs="Times New Roman"/>
                      <w:color w:val="auto"/>
                      <w:kern w:val="0"/>
                      <w:sz w:val="21"/>
                      <w:szCs w:val="21"/>
                      <w:highlight w:val="none"/>
                      <w:vertAlign w:val="superscript"/>
                      <w:lang w:val="en-US" w:eastAsia="zh-CN"/>
                    </w:rPr>
                    <w:t>-3</w:t>
                  </w:r>
                </w:p>
              </w:tc>
              <w:tc>
                <w:tcPr>
                  <w:tcW w:w="1219" w:type="dxa"/>
                  <w:vAlign w:val="center"/>
                </w:tcPr>
                <w:p w14:paraId="69B580C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w:t>
                  </w:r>
                </w:p>
              </w:tc>
              <w:tc>
                <w:tcPr>
                  <w:tcW w:w="1045" w:type="dxa"/>
                  <w:vAlign w:val="center"/>
                </w:tcPr>
                <w:p w14:paraId="689D874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05717F5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205F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0C3F480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45D2166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54E198E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SO</w:t>
                  </w:r>
                  <w:r>
                    <w:rPr>
                      <w:rFonts w:hint="eastAsia" w:eastAsia="仿宋" w:cs="Times New Roman"/>
                      <w:color w:val="auto"/>
                      <w:kern w:val="0"/>
                      <w:sz w:val="21"/>
                      <w:szCs w:val="21"/>
                      <w:highlight w:val="none"/>
                      <w:vertAlign w:val="subscript"/>
                      <w:lang w:val="en-US" w:eastAsia="zh-CN"/>
                    </w:rPr>
                    <w:t>2</w:t>
                  </w:r>
                </w:p>
              </w:tc>
              <w:tc>
                <w:tcPr>
                  <w:tcW w:w="1219" w:type="dxa"/>
                  <w:vAlign w:val="center"/>
                </w:tcPr>
                <w:p w14:paraId="33B4922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1117" w:type="dxa"/>
                  <w:vAlign w:val="center"/>
                </w:tcPr>
                <w:p w14:paraId="2F44013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219" w:type="dxa"/>
                  <w:vAlign w:val="center"/>
                </w:tcPr>
                <w:p w14:paraId="0158A4D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23E89D0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6E46041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1388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4C090B7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37B5D47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4D18C5A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NOx</w:t>
                  </w:r>
                </w:p>
              </w:tc>
              <w:tc>
                <w:tcPr>
                  <w:tcW w:w="1219" w:type="dxa"/>
                  <w:vAlign w:val="center"/>
                </w:tcPr>
                <w:p w14:paraId="0B7AAA8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38</w:t>
                  </w:r>
                </w:p>
              </w:tc>
              <w:tc>
                <w:tcPr>
                  <w:tcW w:w="1117" w:type="dxa"/>
                  <w:vAlign w:val="center"/>
                </w:tcPr>
                <w:p w14:paraId="6FF01C9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5.3×10</w:t>
                  </w:r>
                  <w:r>
                    <w:rPr>
                      <w:rFonts w:hint="eastAsia" w:eastAsia="仿宋" w:cs="Times New Roman"/>
                      <w:color w:val="auto"/>
                      <w:kern w:val="0"/>
                      <w:sz w:val="21"/>
                      <w:szCs w:val="21"/>
                      <w:highlight w:val="none"/>
                      <w:vertAlign w:val="superscript"/>
                      <w:lang w:val="en-US" w:eastAsia="zh-CN"/>
                    </w:rPr>
                    <w:t>-2</w:t>
                  </w:r>
                </w:p>
              </w:tc>
              <w:tc>
                <w:tcPr>
                  <w:tcW w:w="1219" w:type="dxa"/>
                  <w:vAlign w:val="center"/>
                </w:tcPr>
                <w:p w14:paraId="0F51157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6B69E1F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Merge w:val="continue"/>
                  <w:vAlign w:val="center"/>
                </w:tcPr>
                <w:p w14:paraId="3040D33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5F5B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92" w:type="dxa"/>
                  <w:vMerge w:val="restart"/>
                  <w:vAlign w:val="center"/>
                </w:tcPr>
                <w:p w14:paraId="19C0E52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北侧油烟净化装置出口</w:t>
                  </w:r>
                </w:p>
              </w:tc>
              <w:tc>
                <w:tcPr>
                  <w:tcW w:w="1056" w:type="dxa"/>
                  <w:vAlign w:val="center"/>
                </w:tcPr>
                <w:p w14:paraId="5E5A3F3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2021.8.24</w:t>
                  </w:r>
                </w:p>
              </w:tc>
              <w:tc>
                <w:tcPr>
                  <w:tcW w:w="942" w:type="dxa"/>
                  <w:vAlign w:val="center"/>
                </w:tcPr>
                <w:p w14:paraId="2F63365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油烟</w:t>
                  </w:r>
                </w:p>
              </w:tc>
              <w:tc>
                <w:tcPr>
                  <w:tcW w:w="1219" w:type="dxa"/>
                  <w:vAlign w:val="center"/>
                </w:tcPr>
                <w:p w14:paraId="41B09B1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0.3</w:t>
                  </w:r>
                </w:p>
              </w:tc>
              <w:tc>
                <w:tcPr>
                  <w:tcW w:w="1117" w:type="dxa"/>
                  <w:vAlign w:val="center"/>
                </w:tcPr>
                <w:p w14:paraId="35BAE2B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4.2×10</w:t>
                  </w:r>
                  <w:r>
                    <w:rPr>
                      <w:rFonts w:hint="eastAsia" w:eastAsia="仿宋" w:cs="Times New Roman"/>
                      <w:color w:val="auto"/>
                      <w:kern w:val="0"/>
                      <w:sz w:val="21"/>
                      <w:szCs w:val="21"/>
                      <w:highlight w:val="none"/>
                      <w:vertAlign w:val="superscript"/>
                      <w:lang w:val="en-US" w:eastAsia="zh-CN"/>
                    </w:rPr>
                    <w:t>-3</w:t>
                  </w:r>
                </w:p>
              </w:tc>
              <w:tc>
                <w:tcPr>
                  <w:tcW w:w="1219" w:type="dxa"/>
                  <w:vAlign w:val="center"/>
                </w:tcPr>
                <w:p w14:paraId="65743F3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w:t>
                  </w:r>
                </w:p>
              </w:tc>
              <w:tc>
                <w:tcPr>
                  <w:tcW w:w="1045" w:type="dxa"/>
                  <w:vAlign w:val="center"/>
                </w:tcPr>
                <w:p w14:paraId="4CC854D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Align w:val="center"/>
                </w:tcPr>
                <w:p w14:paraId="1825A08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19FF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3F5E36B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Align w:val="center"/>
                </w:tcPr>
                <w:p w14:paraId="592448E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2021.8.25</w:t>
                  </w:r>
                </w:p>
              </w:tc>
              <w:tc>
                <w:tcPr>
                  <w:tcW w:w="942" w:type="dxa"/>
                  <w:vAlign w:val="center"/>
                </w:tcPr>
                <w:p w14:paraId="19359C7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油烟</w:t>
                  </w:r>
                </w:p>
              </w:tc>
              <w:tc>
                <w:tcPr>
                  <w:tcW w:w="1219" w:type="dxa"/>
                  <w:vAlign w:val="center"/>
                </w:tcPr>
                <w:p w14:paraId="5909925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0.3</w:t>
                  </w:r>
                </w:p>
              </w:tc>
              <w:tc>
                <w:tcPr>
                  <w:tcW w:w="1117" w:type="dxa"/>
                  <w:vAlign w:val="center"/>
                </w:tcPr>
                <w:p w14:paraId="49B0041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4.2×10</w:t>
                  </w:r>
                  <w:r>
                    <w:rPr>
                      <w:rFonts w:hint="eastAsia" w:eastAsia="仿宋" w:cs="Times New Roman"/>
                      <w:color w:val="auto"/>
                      <w:kern w:val="0"/>
                      <w:sz w:val="21"/>
                      <w:szCs w:val="21"/>
                      <w:highlight w:val="none"/>
                      <w:vertAlign w:val="superscript"/>
                      <w:lang w:val="en-US" w:eastAsia="zh-CN"/>
                    </w:rPr>
                    <w:t>-3</w:t>
                  </w:r>
                </w:p>
              </w:tc>
              <w:tc>
                <w:tcPr>
                  <w:tcW w:w="1219" w:type="dxa"/>
                  <w:vAlign w:val="center"/>
                </w:tcPr>
                <w:p w14:paraId="0C21708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w:t>
                  </w:r>
                </w:p>
              </w:tc>
              <w:tc>
                <w:tcPr>
                  <w:tcW w:w="1045" w:type="dxa"/>
                  <w:vAlign w:val="center"/>
                </w:tcPr>
                <w:p w14:paraId="6789D2D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Align w:val="center"/>
                </w:tcPr>
                <w:p w14:paraId="4721129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772E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892" w:type="dxa"/>
                  <w:vMerge w:val="restart"/>
                  <w:vAlign w:val="center"/>
                </w:tcPr>
                <w:p w14:paraId="66FE233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南侧油烟净化装置出口</w:t>
                  </w:r>
                </w:p>
              </w:tc>
              <w:tc>
                <w:tcPr>
                  <w:tcW w:w="1056" w:type="dxa"/>
                  <w:vAlign w:val="center"/>
                </w:tcPr>
                <w:p w14:paraId="1EB3C0D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2021.8.24</w:t>
                  </w:r>
                </w:p>
              </w:tc>
              <w:tc>
                <w:tcPr>
                  <w:tcW w:w="942" w:type="dxa"/>
                  <w:vAlign w:val="center"/>
                </w:tcPr>
                <w:p w14:paraId="057BD33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油烟</w:t>
                  </w:r>
                </w:p>
              </w:tc>
              <w:tc>
                <w:tcPr>
                  <w:tcW w:w="1219" w:type="dxa"/>
                  <w:vAlign w:val="center"/>
                </w:tcPr>
                <w:p w14:paraId="20A358C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2"/>
                      <w:sz w:val="21"/>
                      <w:szCs w:val="24"/>
                      <w:lang w:val="en-US" w:eastAsia="zh-CN" w:bidi="ar-SA"/>
                    </w:rPr>
                  </w:pPr>
                  <w:r>
                    <w:rPr>
                      <w:rFonts w:hint="eastAsia" w:eastAsia="仿宋" w:cs="Times New Roman"/>
                      <w:color w:val="auto"/>
                      <w:kern w:val="0"/>
                      <w:sz w:val="21"/>
                      <w:szCs w:val="21"/>
                      <w:highlight w:val="none"/>
                      <w:lang w:val="en-US" w:eastAsia="zh-CN"/>
                    </w:rPr>
                    <w:t>0.4</w:t>
                  </w:r>
                </w:p>
              </w:tc>
              <w:tc>
                <w:tcPr>
                  <w:tcW w:w="1117" w:type="dxa"/>
                  <w:vAlign w:val="center"/>
                </w:tcPr>
                <w:p w14:paraId="70B8467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4.0×10</w:t>
                  </w:r>
                  <w:r>
                    <w:rPr>
                      <w:rFonts w:hint="eastAsia" w:eastAsia="仿宋" w:cs="Times New Roman"/>
                      <w:color w:val="auto"/>
                      <w:kern w:val="0"/>
                      <w:sz w:val="21"/>
                      <w:szCs w:val="21"/>
                      <w:highlight w:val="none"/>
                      <w:vertAlign w:val="superscript"/>
                      <w:lang w:val="en-US" w:eastAsia="zh-CN"/>
                    </w:rPr>
                    <w:t>-3</w:t>
                  </w:r>
                </w:p>
              </w:tc>
              <w:tc>
                <w:tcPr>
                  <w:tcW w:w="1219" w:type="dxa"/>
                  <w:vAlign w:val="center"/>
                </w:tcPr>
                <w:p w14:paraId="10967AF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w:t>
                  </w:r>
                </w:p>
              </w:tc>
              <w:tc>
                <w:tcPr>
                  <w:tcW w:w="1045" w:type="dxa"/>
                  <w:vAlign w:val="center"/>
                </w:tcPr>
                <w:p w14:paraId="729A4A9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Align w:val="center"/>
                </w:tcPr>
                <w:p w14:paraId="6F46DFA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4FAA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7F97483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Align w:val="center"/>
                </w:tcPr>
                <w:p w14:paraId="6467A1E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2021.8.25</w:t>
                  </w:r>
                </w:p>
              </w:tc>
              <w:tc>
                <w:tcPr>
                  <w:tcW w:w="942" w:type="dxa"/>
                  <w:vAlign w:val="center"/>
                </w:tcPr>
                <w:p w14:paraId="5AFC62A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油烟</w:t>
                  </w:r>
                </w:p>
              </w:tc>
              <w:tc>
                <w:tcPr>
                  <w:tcW w:w="1219" w:type="dxa"/>
                  <w:vAlign w:val="center"/>
                </w:tcPr>
                <w:p w14:paraId="122ECD4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0.6</w:t>
                  </w:r>
                </w:p>
              </w:tc>
              <w:tc>
                <w:tcPr>
                  <w:tcW w:w="1117" w:type="dxa"/>
                  <w:vAlign w:val="center"/>
                </w:tcPr>
                <w:p w14:paraId="67527AC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5.4×10</w:t>
                  </w:r>
                  <w:r>
                    <w:rPr>
                      <w:rFonts w:hint="eastAsia" w:eastAsia="仿宋" w:cs="Times New Roman"/>
                      <w:color w:val="auto"/>
                      <w:kern w:val="0"/>
                      <w:sz w:val="21"/>
                      <w:szCs w:val="21"/>
                      <w:highlight w:val="none"/>
                      <w:vertAlign w:val="superscript"/>
                      <w:lang w:val="en-US" w:eastAsia="zh-CN"/>
                    </w:rPr>
                    <w:t>-3</w:t>
                  </w:r>
                </w:p>
              </w:tc>
              <w:tc>
                <w:tcPr>
                  <w:tcW w:w="1219" w:type="dxa"/>
                  <w:vAlign w:val="center"/>
                </w:tcPr>
                <w:p w14:paraId="19544D1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w:t>
                  </w:r>
                </w:p>
              </w:tc>
              <w:tc>
                <w:tcPr>
                  <w:tcW w:w="1045" w:type="dxa"/>
                  <w:vAlign w:val="center"/>
                </w:tcPr>
                <w:p w14:paraId="76BE892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92" w:type="dxa"/>
                  <w:vAlign w:val="center"/>
                </w:tcPr>
                <w:p w14:paraId="54CF4DE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6101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restart"/>
                  <w:vAlign w:val="center"/>
                </w:tcPr>
                <w:p w14:paraId="19C70D3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污水处理站排气筒出口</w:t>
                  </w:r>
                </w:p>
              </w:tc>
              <w:tc>
                <w:tcPr>
                  <w:tcW w:w="1056" w:type="dxa"/>
                  <w:vMerge w:val="restart"/>
                  <w:vAlign w:val="center"/>
                </w:tcPr>
                <w:p w14:paraId="4699CC7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2021.8.24</w:t>
                  </w:r>
                </w:p>
              </w:tc>
              <w:tc>
                <w:tcPr>
                  <w:tcW w:w="942" w:type="dxa"/>
                  <w:vAlign w:val="center"/>
                </w:tcPr>
                <w:p w14:paraId="0C6F643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氨</w:t>
                  </w:r>
                </w:p>
              </w:tc>
              <w:tc>
                <w:tcPr>
                  <w:tcW w:w="1219" w:type="dxa"/>
                  <w:vAlign w:val="center"/>
                </w:tcPr>
                <w:p w14:paraId="54126B4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6.31</w:t>
                  </w:r>
                </w:p>
              </w:tc>
              <w:tc>
                <w:tcPr>
                  <w:tcW w:w="1117" w:type="dxa"/>
                  <w:vAlign w:val="center"/>
                </w:tcPr>
                <w:p w14:paraId="233CAE3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1.17×10</w:t>
                  </w:r>
                  <w:r>
                    <w:rPr>
                      <w:rFonts w:hint="eastAsia" w:eastAsia="仿宋" w:cs="Times New Roman"/>
                      <w:color w:val="auto"/>
                      <w:kern w:val="0"/>
                      <w:sz w:val="21"/>
                      <w:szCs w:val="21"/>
                      <w:highlight w:val="none"/>
                      <w:vertAlign w:val="superscript"/>
                      <w:lang w:val="en-US" w:eastAsia="zh-CN"/>
                    </w:rPr>
                    <w:t>-2</w:t>
                  </w:r>
                </w:p>
              </w:tc>
              <w:tc>
                <w:tcPr>
                  <w:tcW w:w="1219" w:type="dxa"/>
                  <w:vAlign w:val="center"/>
                </w:tcPr>
                <w:p w14:paraId="4BDD6D5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0CBA119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892" w:type="dxa"/>
                  <w:vMerge w:val="restart"/>
                  <w:vAlign w:val="center"/>
                </w:tcPr>
                <w:p w14:paraId="7C737A4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15m</w:t>
                  </w:r>
                </w:p>
              </w:tc>
            </w:tr>
            <w:tr w14:paraId="7C16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243E922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398D73A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4295CAF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硫化氢</w:t>
                  </w:r>
                </w:p>
              </w:tc>
              <w:tc>
                <w:tcPr>
                  <w:tcW w:w="1219" w:type="dxa"/>
                  <w:vAlign w:val="center"/>
                </w:tcPr>
                <w:p w14:paraId="3B7D7FD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0.15</w:t>
                  </w:r>
                </w:p>
              </w:tc>
              <w:tc>
                <w:tcPr>
                  <w:tcW w:w="1117" w:type="dxa"/>
                  <w:vAlign w:val="center"/>
                </w:tcPr>
                <w:p w14:paraId="139C4DD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2.86×10</w:t>
                  </w:r>
                  <w:r>
                    <w:rPr>
                      <w:rFonts w:hint="eastAsia" w:eastAsia="仿宋" w:cs="Times New Roman"/>
                      <w:color w:val="auto"/>
                      <w:kern w:val="0"/>
                      <w:sz w:val="21"/>
                      <w:szCs w:val="21"/>
                      <w:highlight w:val="none"/>
                      <w:vertAlign w:val="superscript"/>
                      <w:lang w:val="en-US" w:eastAsia="zh-CN"/>
                    </w:rPr>
                    <w:t>-4</w:t>
                  </w:r>
                </w:p>
              </w:tc>
              <w:tc>
                <w:tcPr>
                  <w:tcW w:w="1219" w:type="dxa"/>
                  <w:vAlign w:val="center"/>
                </w:tcPr>
                <w:p w14:paraId="4AF35FA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7EEF51F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0.33</w:t>
                  </w:r>
                </w:p>
              </w:tc>
              <w:tc>
                <w:tcPr>
                  <w:tcW w:w="892" w:type="dxa"/>
                  <w:vMerge w:val="continue"/>
                  <w:vAlign w:val="center"/>
                </w:tcPr>
                <w:p w14:paraId="02F4F7F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7A98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6D0A2F3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restart"/>
                  <w:vAlign w:val="center"/>
                </w:tcPr>
                <w:p w14:paraId="30779AC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2021.8.25</w:t>
                  </w:r>
                </w:p>
              </w:tc>
              <w:tc>
                <w:tcPr>
                  <w:tcW w:w="942" w:type="dxa"/>
                  <w:vAlign w:val="center"/>
                </w:tcPr>
                <w:p w14:paraId="546310A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氨</w:t>
                  </w:r>
                </w:p>
              </w:tc>
              <w:tc>
                <w:tcPr>
                  <w:tcW w:w="1219" w:type="dxa"/>
                  <w:vAlign w:val="center"/>
                </w:tcPr>
                <w:p w14:paraId="4C1F721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7.42</w:t>
                  </w:r>
                </w:p>
              </w:tc>
              <w:tc>
                <w:tcPr>
                  <w:tcW w:w="1117" w:type="dxa"/>
                  <w:vAlign w:val="center"/>
                </w:tcPr>
                <w:p w14:paraId="0F5BD36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1.32×10</w:t>
                  </w:r>
                  <w:r>
                    <w:rPr>
                      <w:rFonts w:hint="eastAsia" w:eastAsia="仿宋" w:cs="Times New Roman"/>
                      <w:color w:val="auto"/>
                      <w:kern w:val="0"/>
                      <w:sz w:val="21"/>
                      <w:szCs w:val="21"/>
                      <w:highlight w:val="none"/>
                      <w:vertAlign w:val="superscript"/>
                      <w:lang w:val="en-US" w:eastAsia="zh-CN"/>
                    </w:rPr>
                    <w:t>-2</w:t>
                  </w:r>
                </w:p>
              </w:tc>
              <w:tc>
                <w:tcPr>
                  <w:tcW w:w="1219" w:type="dxa"/>
                  <w:vAlign w:val="center"/>
                </w:tcPr>
                <w:p w14:paraId="1D8CB66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24FF211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892" w:type="dxa"/>
                  <w:vMerge w:val="continue"/>
                  <w:vAlign w:val="center"/>
                </w:tcPr>
                <w:p w14:paraId="3636F4A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5DF7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Merge w:val="continue"/>
                  <w:vAlign w:val="center"/>
                </w:tcPr>
                <w:p w14:paraId="56CC24A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56" w:type="dxa"/>
                  <w:vMerge w:val="continue"/>
                  <w:vAlign w:val="center"/>
                </w:tcPr>
                <w:p w14:paraId="56DB433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942" w:type="dxa"/>
                  <w:vAlign w:val="center"/>
                </w:tcPr>
                <w:p w14:paraId="65F5D31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硫化氢</w:t>
                  </w:r>
                </w:p>
              </w:tc>
              <w:tc>
                <w:tcPr>
                  <w:tcW w:w="1219" w:type="dxa"/>
                  <w:vAlign w:val="center"/>
                </w:tcPr>
                <w:p w14:paraId="3DA3AC7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0.15</w:t>
                  </w:r>
                </w:p>
              </w:tc>
              <w:tc>
                <w:tcPr>
                  <w:tcW w:w="1117" w:type="dxa"/>
                  <w:vAlign w:val="center"/>
                </w:tcPr>
                <w:p w14:paraId="7A6D54E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2.73×10</w:t>
                  </w:r>
                  <w:r>
                    <w:rPr>
                      <w:rFonts w:hint="eastAsia" w:eastAsia="仿宋" w:cs="Times New Roman"/>
                      <w:color w:val="auto"/>
                      <w:kern w:val="0"/>
                      <w:sz w:val="21"/>
                      <w:szCs w:val="21"/>
                      <w:highlight w:val="none"/>
                      <w:vertAlign w:val="superscript"/>
                      <w:lang w:val="en-US" w:eastAsia="zh-CN"/>
                    </w:rPr>
                    <w:t>-4</w:t>
                  </w:r>
                </w:p>
              </w:tc>
              <w:tc>
                <w:tcPr>
                  <w:tcW w:w="1219" w:type="dxa"/>
                  <w:vAlign w:val="center"/>
                </w:tcPr>
                <w:p w14:paraId="27DFE19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045" w:type="dxa"/>
                  <w:vAlign w:val="center"/>
                </w:tcPr>
                <w:p w14:paraId="3AE1FA3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0.33</w:t>
                  </w:r>
                </w:p>
              </w:tc>
              <w:tc>
                <w:tcPr>
                  <w:tcW w:w="892" w:type="dxa"/>
                  <w:vMerge w:val="continue"/>
                  <w:vAlign w:val="center"/>
                </w:tcPr>
                <w:p w14:paraId="51647F6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bl>
          <w:p w14:paraId="1F19DB2A">
            <w:pPr>
              <w:pStyle w:val="128"/>
              <w:ind w:firstLine="482"/>
              <w:rPr>
                <w:rFonts w:hint="default"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监测结果表明：原项目天然气燃烧废气满足《锅炉大气污染物排放标准》（GB13271-2014）表3标准限值；油烟满足《饮食业油烟排放标准（试行）》（GB18483-2001）表2标准限值；氨、硫化氢及臭气浓度满足《恶臭污染物排放标准》（GB14554-93）表2标准限值。</w:t>
            </w:r>
          </w:p>
          <w:p w14:paraId="7A4A577A">
            <w:pPr>
              <w:pStyle w:val="128"/>
              <w:ind w:firstLine="482"/>
              <w:rPr>
                <w:rFonts w:hint="eastAsia"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②无组织废气</w:t>
            </w:r>
          </w:p>
          <w:p w14:paraId="6D1F02FF">
            <w:pPr>
              <w:pStyle w:val="128"/>
              <w:ind w:firstLine="482"/>
              <w:rPr>
                <w:rFonts w:hint="eastAsia"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根据常州市金坛区卫生和计划生育局金坛区人民医院、金坛区血站整体迁建项目检测报告（QSWT2108072），原项目无组织监测情况见下表：</w:t>
            </w:r>
          </w:p>
          <w:p w14:paraId="49198FFB">
            <w:pPr>
              <w:pStyle w:val="128"/>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eastAsia" w:ascii="Times New Roman" w:hAnsi="Times New Roman" w:eastAsia="仿宋" w:cs="Times New Roman"/>
                <w:b/>
                <w:bCs/>
                <w:color w:val="auto"/>
                <w:kern w:val="0"/>
                <w:sz w:val="22"/>
                <w:szCs w:val="22"/>
                <w:highlight w:val="none"/>
                <w:lang w:val="en-US" w:eastAsia="zh-CN" w:bidi="ar-SA"/>
              </w:rPr>
              <w:t>表2-</w:t>
            </w:r>
            <w:r>
              <w:rPr>
                <w:rFonts w:hint="eastAsia" w:eastAsia="仿宋" w:cs="Times New Roman"/>
                <w:b/>
                <w:bCs/>
                <w:color w:val="auto"/>
                <w:kern w:val="0"/>
                <w:sz w:val="22"/>
                <w:szCs w:val="22"/>
                <w:highlight w:val="none"/>
                <w:lang w:val="en-US" w:eastAsia="zh-CN" w:bidi="ar-SA"/>
              </w:rPr>
              <w:t>14</w:t>
            </w:r>
            <w:r>
              <w:rPr>
                <w:rFonts w:hint="eastAsia" w:ascii="Times New Roman" w:hAnsi="Times New Roman" w:eastAsia="仿宋" w:cs="Times New Roman"/>
                <w:b/>
                <w:bCs/>
                <w:color w:val="auto"/>
                <w:kern w:val="0"/>
                <w:sz w:val="22"/>
                <w:szCs w:val="22"/>
                <w:highlight w:val="none"/>
                <w:lang w:val="en-US" w:eastAsia="zh-CN" w:bidi="ar-SA"/>
              </w:rPr>
              <w:t xml:space="preserve"> </w:t>
            </w:r>
            <w:r>
              <w:rPr>
                <w:rFonts w:hint="eastAsia" w:eastAsia="仿宋" w:cs="Times New Roman"/>
                <w:b/>
                <w:bCs/>
                <w:color w:val="auto"/>
                <w:kern w:val="0"/>
                <w:sz w:val="22"/>
                <w:szCs w:val="22"/>
                <w:highlight w:val="none"/>
                <w:lang w:val="en-US" w:eastAsia="zh-CN" w:bidi="ar-SA"/>
              </w:rPr>
              <w:t>原</w:t>
            </w:r>
            <w:r>
              <w:rPr>
                <w:rFonts w:hint="eastAsia" w:ascii="Times New Roman" w:hAnsi="Times New Roman" w:eastAsia="仿宋" w:cs="Times New Roman"/>
                <w:b/>
                <w:bCs/>
                <w:color w:val="auto"/>
                <w:kern w:val="0"/>
                <w:sz w:val="22"/>
                <w:szCs w:val="22"/>
                <w:highlight w:val="none"/>
                <w:lang w:val="en-US" w:eastAsia="zh-CN" w:bidi="ar-SA"/>
              </w:rPr>
              <w:t>有项目</w:t>
            </w:r>
            <w:r>
              <w:rPr>
                <w:rFonts w:hint="eastAsia" w:eastAsia="仿宋" w:cs="Times New Roman"/>
                <w:b/>
                <w:bCs/>
                <w:color w:val="auto"/>
                <w:kern w:val="0"/>
                <w:sz w:val="22"/>
                <w:szCs w:val="22"/>
                <w:highlight w:val="none"/>
                <w:lang w:val="en-US" w:eastAsia="zh-CN" w:bidi="ar-SA"/>
              </w:rPr>
              <w:t>无组织</w:t>
            </w:r>
            <w:r>
              <w:rPr>
                <w:rFonts w:hint="eastAsia" w:ascii="Times New Roman" w:hAnsi="Times New Roman" w:eastAsia="仿宋" w:cs="Times New Roman"/>
                <w:b/>
                <w:bCs/>
                <w:color w:val="auto"/>
                <w:kern w:val="0"/>
                <w:sz w:val="22"/>
                <w:szCs w:val="22"/>
                <w:highlight w:val="none"/>
                <w:lang w:val="en-US" w:eastAsia="zh-CN" w:bidi="ar-SA"/>
              </w:rPr>
              <w:t>废气达标排放情况</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259"/>
              <w:gridCol w:w="1222"/>
              <w:gridCol w:w="1307"/>
              <w:gridCol w:w="1193"/>
              <w:gridCol w:w="8"/>
              <w:gridCol w:w="1174"/>
              <w:gridCol w:w="45"/>
              <w:gridCol w:w="1128"/>
            </w:tblGrid>
            <w:tr w14:paraId="5EAD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32" w:type="pct"/>
                  <w:vMerge w:val="restart"/>
                  <w:vAlign w:val="center"/>
                </w:tcPr>
                <w:p w14:paraId="3173B04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采样日期</w:t>
                  </w:r>
                </w:p>
              </w:tc>
              <w:tc>
                <w:tcPr>
                  <w:tcW w:w="775" w:type="pct"/>
                  <w:vMerge w:val="restart"/>
                  <w:vAlign w:val="center"/>
                </w:tcPr>
                <w:p w14:paraId="3DDEF7D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采样点位</w:t>
                  </w:r>
                </w:p>
              </w:tc>
              <w:tc>
                <w:tcPr>
                  <w:tcW w:w="753" w:type="pct"/>
                  <w:vMerge w:val="restart"/>
                  <w:vAlign w:val="center"/>
                </w:tcPr>
                <w:p w14:paraId="05DD3E8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采样频次</w:t>
                  </w:r>
                </w:p>
              </w:tc>
              <w:tc>
                <w:tcPr>
                  <w:tcW w:w="3038" w:type="pct"/>
                  <w:gridSpan w:val="6"/>
                  <w:vAlign w:val="center"/>
                </w:tcPr>
                <w:p w14:paraId="579F509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检测结果</w:t>
                  </w:r>
                </w:p>
              </w:tc>
            </w:tr>
            <w:tr w14:paraId="78F4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32" w:type="pct"/>
                  <w:vMerge w:val="continue"/>
                  <w:vAlign w:val="center"/>
                </w:tcPr>
                <w:p w14:paraId="151778B3">
                  <w:pPr>
                    <w:pStyle w:val="128"/>
                    <w:keepNext w:val="0"/>
                    <w:keepLines w:val="0"/>
                    <w:pageBreakBefore w:val="0"/>
                    <w:widowControl w:val="0"/>
                    <w:kinsoku/>
                    <w:wordWrap/>
                    <w:overflowPunct/>
                    <w:topLinePunct w:val="0"/>
                    <w:autoSpaceDE/>
                    <w:autoSpaceDN/>
                    <w:bidi w:val="0"/>
                    <w:adjustRightInd w:val="0"/>
                    <w:snapToGrid/>
                    <w:ind w:firstLine="0" w:firstLineChars="0"/>
                    <w:jc w:val="center"/>
                    <w:textAlignment w:val="auto"/>
                  </w:pPr>
                </w:p>
              </w:tc>
              <w:tc>
                <w:tcPr>
                  <w:tcW w:w="775" w:type="pct"/>
                  <w:vMerge w:val="continue"/>
                  <w:vAlign w:val="center"/>
                </w:tcPr>
                <w:p w14:paraId="58D4CD33">
                  <w:pPr>
                    <w:pStyle w:val="128"/>
                    <w:keepNext w:val="0"/>
                    <w:keepLines w:val="0"/>
                    <w:pageBreakBefore w:val="0"/>
                    <w:widowControl w:val="0"/>
                    <w:kinsoku/>
                    <w:wordWrap/>
                    <w:overflowPunct/>
                    <w:topLinePunct w:val="0"/>
                    <w:autoSpaceDE/>
                    <w:autoSpaceDN/>
                    <w:bidi w:val="0"/>
                    <w:adjustRightInd w:val="0"/>
                    <w:snapToGrid/>
                    <w:ind w:firstLine="0" w:firstLineChars="0"/>
                    <w:jc w:val="center"/>
                    <w:textAlignment w:val="auto"/>
                  </w:pPr>
                </w:p>
              </w:tc>
              <w:tc>
                <w:tcPr>
                  <w:tcW w:w="753" w:type="pct"/>
                  <w:vMerge w:val="continue"/>
                  <w:vAlign w:val="center"/>
                </w:tcPr>
                <w:p w14:paraId="5C4E45D4">
                  <w:pPr>
                    <w:pStyle w:val="128"/>
                    <w:keepNext w:val="0"/>
                    <w:keepLines w:val="0"/>
                    <w:pageBreakBefore w:val="0"/>
                    <w:widowControl w:val="0"/>
                    <w:kinsoku/>
                    <w:wordWrap/>
                    <w:overflowPunct/>
                    <w:topLinePunct w:val="0"/>
                    <w:autoSpaceDE/>
                    <w:autoSpaceDN/>
                    <w:bidi w:val="0"/>
                    <w:adjustRightInd w:val="0"/>
                    <w:snapToGrid/>
                    <w:ind w:firstLine="0" w:firstLineChars="0"/>
                    <w:jc w:val="center"/>
                    <w:textAlignment w:val="auto"/>
                  </w:pPr>
                </w:p>
              </w:tc>
              <w:tc>
                <w:tcPr>
                  <w:tcW w:w="803" w:type="pct"/>
                  <w:vAlign w:val="center"/>
                </w:tcPr>
                <w:p w14:paraId="49DBC7D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上风向G1</w:t>
                  </w:r>
                </w:p>
              </w:tc>
              <w:tc>
                <w:tcPr>
                  <w:tcW w:w="735" w:type="pct"/>
                  <w:vAlign w:val="center"/>
                </w:tcPr>
                <w:p w14:paraId="7631A56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下风向G2</w:t>
                  </w:r>
                </w:p>
              </w:tc>
              <w:tc>
                <w:tcPr>
                  <w:tcW w:w="804" w:type="pct"/>
                  <w:gridSpan w:val="3"/>
                  <w:vAlign w:val="center"/>
                </w:tcPr>
                <w:p w14:paraId="5387297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下风向G3</w:t>
                  </w:r>
                </w:p>
              </w:tc>
              <w:tc>
                <w:tcPr>
                  <w:tcW w:w="694" w:type="pct"/>
                  <w:vAlign w:val="center"/>
                </w:tcPr>
                <w:p w14:paraId="429BA01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下风向G4</w:t>
                  </w:r>
                </w:p>
              </w:tc>
            </w:tr>
            <w:tr w14:paraId="074F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restart"/>
                  <w:vAlign w:val="center"/>
                </w:tcPr>
                <w:p w14:paraId="47A4DA1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2021.8.24</w:t>
                  </w:r>
                </w:p>
              </w:tc>
              <w:tc>
                <w:tcPr>
                  <w:tcW w:w="775" w:type="pct"/>
                  <w:vMerge w:val="restart"/>
                  <w:vAlign w:val="center"/>
                </w:tcPr>
                <w:p w14:paraId="3093121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氨</w:t>
                  </w:r>
                </w:p>
                <w:p w14:paraId="6425480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（mg/m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w:t>
                  </w:r>
                </w:p>
              </w:tc>
              <w:tc>
                <w:tcPr>
                  <w:tcW w:w="753" w:type="pct"/>
                  <w:vAlign w:val="center"/>
                </w:tcPr>
                <w:p w14:paraId="768CA6A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第一次</w:t>
                  </w:r>
                </w:p>
              </w:tc>
              <w:tc>
                <w:tcPr>
                  <w:tcW w:w="803" w:type="pct"/>
                  <w:vAlign w:val="center"/>
                </w:tcPr>
                <w:p w14:paraId="1D60337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0.06</w:t>
                  </w:r>
                </w:p>
              </w:tc>
              <w:tc>
                <w:tcPr>
                  <w:tcW w:w="735" w:type="pct"/>
                  <w:vAlign w:val="center"/>
                </w:tcPr>
                <w:p w14:paraId="4F97C25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0.09</w:t>
                  </w:r>
                </w:p>
              </w:tc>
              <w:tc>
                <w:tcPr>
                  <w:tcW w:w="804" w:type="pct"/>
                  <w:gridSpan w:val="3"/>
                  <w:vAlign w:val="center"/>
                </w:tcPr>
                <w:p w14:paraId="5C595B0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0.11</w:t>
                  </w:r>
                </w:p>
              </w:tc>
              <w:tc>
                <w:tcPr>
                  <w:tcW w:w="694" w:type="pct"/>
                  <w:vAlign w:val="center"/>
                </w:tcPr>
                <w:p w14:paraId="59B330E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0.09</w:t>
                  </w:r>
                </w:p>
              </w:tc>
            </w:tr>
            <w:tr w14:paraId="5114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432" w:type="pct"/>
                  <w:vMerge w:val="continue"/>
                  <w:vAlign w:val="center"/>
                </w:tcPr>
                <w:p w14:paraId="5BFED16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672F21A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54B73B4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第二次</w:t>
                  </w:r>
                </w:p>
              </w:tc>
              <w:tc>
                <w:tcPr>
                  <w:tcW w:w="803" w:type="pct"/>
                  <w:vAlign w:val="center"/>
                </w:tcPr>
                <w:p w14:paraId="6845BF2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0.07</w:t>
                  </w:r>
                </w:p>
              </w:tc>
              <w:tc>
                <w:tcPr>
                  <w:tcW w:w="735" w:type="pct"/>
                  <w:vAlign w:val="center"/>
                </w:tcPr>
                <w:p w14:paraId="286E50A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0.10</w:t>
                  </w:r>
                </w:p>
              </w:tc>
              <w:tc>
                <w:tcPr>
                  <w:tcW w:w="804" w:type="pct"/>
                  <w:gridSpan w:val="3"/>
                  <w:vAlign w:val="center"/>
                </w:tcPr>
                <w:p w14:paraId="016307D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0.11</w:t>
                  </w:r>
                </w:p>
              </w:tc>
              <w:tc>
                <w:tcPr>
                  <w:tcW w:w="694" w:type="pct"/>
                  <w:vAlign w:val="center"/>
                </w:tcPr>
                <w:p w14:paraId="1FE56D0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0.10</w:t>
                  </w:r>
                </w:p>
              </w:tc>
            </w:tr>
            <w:tr w14:paraId="1442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2FC274F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48BD65B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5BF56D5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第三次</w:t>
                  </w:r>
                </w:p>
              </w:tc>
              <w:tc>
                <w:tcPr>
                  <w:tcW w:w="803" w:type="pct"/>
                  <w:vAlign w:val="center"/>
                </w:tcPr>
                <w:p w14:paraId="1493D16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0.07</w:t>
                  </w:r>
                </w:p>
              </w:tc>
              <w:tc>
                <w:tcPr>
                  <w:tcW w:w="735" w:type="pct"/>
                  <w:vAlign w:val="center"/>
                </w:tcPr>
                <w:p w14:paraId="089410F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0.09</w:t>
                  </w:r>
                </w:p>
              </w:tc>
              <w:tc>
                <w:tcPr>
                  <w:tcW w:w="804" w:type="pct"/>
                  <w:gridSpan w:val="3"/>
                  <w:vAlign w:val="center"/>
                </w:tcPr>
                <w:p w14:paraId="4F4E3EC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0.12</w:t>
                  </w:r>
                </w:p>
              </w:tc>
              <w:tc>
                <w:tcPr>
                  <w:tcW w:w="694" w:type="pct"/>
                  <w:vAlign w:val="center"/>
                </w:tcPr>
                <w:p w14:paraId="20B4F0F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0.09</w:t>
                  </w:r>
                </w:p>
              </w:tc>
            </w:tr>
            <w:tr w14:paraId="285D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0E09B0D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0CB4DF3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7B3D0E0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第四次</w:t>
                  </w:r>
                </w:p>
              </w:tc>
              <w:tc>
                <w:tcPr>
                  <w:tcW w:w="803" w:type="pct"/>
                  <w:vAlign w:val="center"/>
                </w:tcPr>
                <w:p w14:paraId="1055211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0.07</w:t>
                  </w:r>
                </w:p>
              </w:tc>
              <w:tc>
                <w:tcPr>
                  <w:tcW w:w="735" w:type="pct"/>
                  <w:vAlign w:val="center"/>
                </w:tcPr>
                <w:p w14:paraId="60FAA65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0.10</w:t>
                  </w:r>
                </w:p>
              </w:tc>
              <w:tc>
                <w:tcPr>
                  <w:tcW w:w="804" w:type="pct"/>
                  <w:gridSpan w:val="3"/>
                  <w:vAlign w:val="center"/>
                </w:tcPr>
                <w:p w14:paraId="650EFDB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0.12</w:t>
                  </w:r>
                </w:p>
              </w:tc>
              <w:tc>
                <w:tcPr>
                  <w:tcW w:w="694" w:type="pct"/>
                  <w:vAlign w:val="center"/>
                </w:tcPr>
                <w:p w14:paraId="3E899FC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0.11</w:t>
                  </w:r>
                </w:p>
              </w:tc>
            </w:tr>
            <w:tr w14:paraId="50FE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2CB531A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12272F7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63974E6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参考限值</w:t>
                  </w:r>
                </w:p>
              </w:tc>
              <w:tc>
                <w:tcPr>
                  <w:tcW w:w="803" w:type="pct"/>
                  <w:vAlign w:val="center"/>
                </w:tcPr>
                <w:p w14:paraId="5C6E3EF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2234" w:type="pct"/>
                  <w:gridSpan w:val="5"/>
                  <w:vAlign w:val="center"/>
                </w:tcPr>
                <w:p w14:paraId="468FF07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r>
            <w:tr w14:paraId="6C84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00C3E6A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restart"/>
                  <w:vAlign w:val="center"/>
                </w:tcPr>
                <w:p w14:paraId="1CEA9F8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硫化氢</w:t>
                  </w:r>
                </w:p>
                <w:p w14:paraId="3EF8656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（mg/m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w:t>
                  </w:r>
                </w:p>
              </w:tc>
              <w:tc>
                <w:tcPr>
                  <w:tcW w:w="753" w:type="pct"/>
                  <w:vAlign w:val="center"/>
                </w:tcPr>
                <w:p w14:paraId="47A8CC1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第一次</w:t>
                  </w:r>
                </w:p>
              </w:tc>
              <w:tc>
                <w:tcPr>
                  <w:tcW w:w="803" w:type="pct"/>
                  <w:vAlign w:val="center"/>
                </w:tcPr>
                <w:p w14:paraId="4053F5E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0.008</w:t>
                  </w:r>
                </w:p>
              </w:tc>
              <w:tc>
                <w:tcPr>
                  <w:tcW w:w="735" w:type="pct"/>
                  <w:vAlign w:val="center"/>
                </w:tcPr>
                <w:p w14:paraId="05B4685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0.019</w:t>
                  </w:r>
                </w:p>
              </w:tc>
              <w:tc>
                <w:tcPr>
                  <w:tcW w:w="804" w:type="pct"/>
                  <w:gridSpan w:val="3"/>
                  <w:vAlign w:val="center"/>
                </w:tcPr>
                <w:p w14:paraId="64C4270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0.020</w:t>
                  </w:r>
                </w:p>
              </w:tc>
              <w:tc>
                <w:tcPr>
                  <w:tcW w:w="694" w:type="pct"/>
                  <w:vAlign w:val="center"/>
                </w:tcPr>
                <w:p w14:paraId="0B2F1C8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0.022</w:t>
                  </w:r>
                </w:p>
              </w:tc>
            </w:tr>
            <w:tr w14:paraId="2D3D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2B4AEBF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1C32CE0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23860F4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第二次</w:t>
                  </w:r>
                </w:p>
              </w:tc>
              <w:tc>
                <w:tcPr>
                  <w:tcW w:w="803" w:type="pct"/>
                  <w:vAlign w:val="center"/>
                </w:tcPr>
                <w:p w14:paraId="6556DD7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0.010</w:t>
                  </w:r>
                </w:p>
              </w:tc>
              <w:tc>
                <w:tcPr>
                  <w:tcW w:w="735" w:type="pct"/>
                  <w:vAlign w:val="center"/>
                </w:tcPr>
                <w:p w14:paraId="130D862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0.020</w:t>
                  </w:r>
                </w:p>
              </w:tc>
              <w:tc>
                <w:tcPr>
                  <w:tcW w:w="804" w:type="pct"/>
                  <w:gridSpan w:val="3"/>
                  <w:vAlign w:val="center"/>
                </w:tcPr>
                <w:p w14:paraId="294ADC9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0.022</w:t>
                  </w:r>
                </w:p>
              </w:tc>
              <w:tc>
                <w:tcPr>
                  <w:tcW w:w="694" w:type="pct"/>
                  <w:vAlign w:val="center"/>
                </w:tcPr>
                <w:p w14:paraId="256B8AA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0.020</w:t>
                  </w:r>
                </w:p>
              </w:tc>
            </w:tr>
            <w:tr w14:paraId="14EA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555A33D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05146C8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480AB3C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第三次</w:t>
                  </w:r>
                </w:p>
              </w:tc>
              <w:tc>
                <w:tcPr>
                  <w:tcW w:w="803" w:type="pct"/>
                  <w:vAlign w:val="center"/>
                </w:tcPr>
                <w:p w14:paraId="1975087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0.008</w:t>
                  </w:r>
                </w:p>
              </w:tc>
              <w:tc>
                <w:tcPr>
                  <w:tcW w:w="735" w:type="pct"/>
                  <w:vAlign w:val="center"/>
                </w:tcPr>
                <w:p w14:paraId="16DB48B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0.022</w:t>
                  </w:r>
                </w:p>
              </w:tc>
              <w:tc>
                <w:tcPr>
                  <w:tcW w:w="804" w:type="pct"/>
                  <w:gridSpan w:val="3"/>
                  <w:vAlign w:val="center"/>
                </w:tcPr>
                <w:p w14:paraId="0C17B19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0.021</w:t>
                  </w:r>
                </w:p>
              </w:tc>
              <w:tc>
                <w:tcPr>
                  <w:tcW w:w="694" w:type="pct"/>
                  <w:vAlign w:val="center"/>
                </w:tcPr>
                <w:p w14:paraId="0F2C8E7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0.019</w:t>
                  </w:r>
                </w:p>
              </w:tc>
            </w:tr>
            <w:tr w14:paraId="3974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05344EB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4C2ECF0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0349B64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第四次</w:t>
                  </w:r>
                </w:p>
              </w:tc>
              <w:tc>
                <w:tcPr>
                  <w:tcW w:w="803" w:type="pct"/>
                  <w:vAlign w:val="center"/>
                </w:tcPr>
                <w:p w14:paraId="7536E26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0.009</w:t>
                  </w:r>
                </w:p>
              </w:tc>
              <w:tc>
                <w:tcPr>
                  <w:tcW w:w="735" w:type="pct"/>
                  <w:vAlign w:val="center"/>
                </w:tcPr>
                <w:p w14:paraId="56420CE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0.023</w:t>
                  </w:r>
                </w:p>
              </w:tc>
              <w:tc>
                <w:tcPr>
                  <w:tcW w:w="804" w:type="pct"/>
                  <w:gridSpan w:val="3"/>
                  <w:vAlign w:val="center"/>
                </w:tcPr>
                <w:p w14:paraId="05E246C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0.020</w:t>
                  </w:r>
                </w:p>
              </w:tc>
              <w:tc>
                <w:tcPr>
                  <w:tcW w:w="694" w:type="pct"/>
                  <w:vAlign w:val="center"/>
                </w:tcPr>
                <w:p w14:paraId="06B348A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0.022</w:t>
                  </w:r>
                </w:p>
              </w:tc>
            </w:tr>
            <w:tr w14:paraId="27F1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1695B01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535373D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378B50A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参考限值</w:t>
                  </w:r>
                </w:p>
              </w:tc>
              <w:tc>
                <w:tcPr>
                  <w:tcW w:w="803" w:type="pct"/>
                  <w:vAlign w:val="center"/>
                </w:tcPr>
                <w:p w14:paraId="7E58D1B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2234" w:type="pct"/>
                  <w:gridSpan w:val="5"/>
                  <w:vAlign w:val="center"/>
                </w:tcPr>
                <w:p w14:paraId="72D366C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0.03</w:t>
                  </w:r>
                </w:p>
              </w:tc>
            </w:tr>
            <w:tr w14:paraId="069A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6B206F1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restart"/>
                  <w:vAlign w:val="center"/>
                </w:tcPr>
                <w:p w14:paraId="720ADF6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臭气浓度（无量纲）</w:t>
                  </w:r>
                </w:p>
              </w:tc>
              <w:tc>
                <w:tcPr>
                  <w:tcW w:w="753" w:type="pct"/>
                  <w:vAlign w:val="center"/>
                </w:tcPr>
                <w:p w14:paraId="6CD75B1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第一次</w:t>
                  </w:r>
                </w:p>
              </w:tc>
              <w:tc>
                <w:tcPr>
                  <w:tcW w:w="803" w:type="pct"/>
                  <w:vAlign w:val="center"/>
                </w:tcPr>
                <w:p w14:paraId="3161AEB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35" w:type="pct"/>
                  <w:vAlign w:val="center"/>
                </w:tcPr>
                <w:p w14:paraId="12F7C37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804" w:type="pct"/>
                  <w:gridSpan w:val="3"/>
                  <w:vAlign w:val="center"/>
                </w:tcPr>
                <w:p w14:paraId="3C54BA0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694" w:type="pct"/>
                  <w:vAlign w:val="center"/>
                </w:tcPr>
                <w:p w14:paraId="5604E0B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r>
            <w:tr w14:paraId="1B59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007A7F3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6BDF030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3899CEB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第二次</w:t>
                  </w:r>
                </w:p>
              </w:tc>
              <w:tc>
                <w:tcPr>
                  <w:tcW w:w="803" w:type="pct"/>
                  <w:vAlign w:val="center"/>
                </w:tcPr>
                <w:p w14:paraId="60F171E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35" w:type="pct"/>
                  <w:vAlign w:val="center"/>
                </w:tcPr>
                <w:p w14:paraId="5CA2F44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804" w:type="pct"/>
                  <w:gridSpan w:val="3"/>
                  <w:vAlign w:val="center"/>
                </w:tcPr>
                <w:p w14:paraId="1D45C7B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694" w:type="pct"/>
                  <w:vAlign w:val="center"/>
                </w:tcPr>
                <w:p w14:paraId="43737B6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r>
            <w:tr w14:paraId="1EA7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743699F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6BD38D9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4C65092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第三次</w:t>
                  </w:r>
                </w:p>
              </w:tc>
              <w:tc>
                <w:tcPr>
                  <w:tcW w:w="803" w:type="pct"/>
                  <w:vAlign w:val="center"/>
                </w:tcPr>
                <w:p w14:paraId="0225606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35" w:type="pct"/>
                  <w:vAlign w:val="center"/>
                </w:tcPr>
                <w:p w14:paraId="4E528D6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804" w:type="pct"/>
                  <w:gridSpan w:val="3"/>
                  <w:vAlign w:val="center"/>
                </w:tcPr>
                <w:p w14:paraId="74B1C5F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694" w:type="pct"/>
                  <w:vAlign w:val="center"/>
                </w:tcPr>
                <w:p w14:paraId="6A9F1F9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r>
            <w:tr w14:paraId="63C9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724D5D6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6472556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4F94795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第四次</w:t>
                  </w:r>
                </w:p>
              </w:tc>
              <w:tc>
                <w:tcPr>
                  <w:tcW w:w="803" w:type="pct"/>
                  <w:vAlign w:val="center"/>
                </w:tcPr>
                <w:p w14:paraId="770A913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35" w:type="pct"/>
                  <w:vAlign w:val="center"/>
                </w:tcPr>
                <w:p w14:paraId="45B1EC0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804" w:type="pct"/>
                  <w:gridSpan w:val="3"/>
                  <w:vAlign w:val="center"/>
                </w:tcPr>
                <w:p w14:paraId="344A09A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694" w:type="pct"/>
                  <w:vAlign w:val="center"/>
                </w:tcPr>
                <w:p w14:paraId="2B03E03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r>
            <w:tr w14:paraId="5D52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421A3A5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3573D76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45BF82F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参考限值（无量纲）</w:t>
                  </w:r>
                </w:p>
              </w:tc>
              <w:tc>
                <w:tcPr>
                  <w:tcW w:w="803" w:type="pct"/>
                  <w:vAlign w:val="center"/>
                </w:tcPr>
                <w:p w14:paraId="7944D1F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2234" w:type="pct"/>
                  <w:gridSpan w:val="5"/>
                  <w:vAlign w:val="center"/>
                </w:tcPr>
                <w:p w14:paraId="1F83E8A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r>
            <w:tr w14:paraId="6E25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restart"/>
                  <w:vAlign w:val="center"/>
                </w:tcPr>
                <w:p w14:paraId="32F4AB8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2021.8.25</w:t>
                  </w:r>
                </w:p>
              </w:tc>
              <w:tc>
                <w:tcPr>
                  <w:tcW w:w="775" w:type="pct"/>
                  <w:vMerge w:val="restart"/>
                  <w:vAlign w:val="center"/>
                </w:tcPr>
                <w:p w14:paraId="1155BD7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氨</w:t>
                  </w:r>
                </w:p>
                <w:p w14:paraId="2345042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（mg/m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w:t>
                  </w:r>
                </w:p>
              </w:tc>
              <w:tc>
                <w:tcPr>
                  <w:tcW w:w="753" w:type="pct"/>
                  <w:vAlign w:val="center"/>
                </w:tcPr>
                <w:p w14:paraId="367A105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第一次</w:t>
                  </w:r>
                </w:p>
              </w:tc>
              <w:tc>
                <w:tcPr>
                  <w:tcW w:w="803" w:type="pct"/>
                  <w:vAlign w:val="center"/>
                </w:tcPr>
                <w:p w14:paraId="53C9B2A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0.07</w:t>
                  </w:r>
                </w:p>
              </w:tc>
              <w:tc>
                <w:tcPr>
                  <w:tcW w:w="735" w:type="pct"/>
                  <w:vAlign w:val="center"/>
                </w:tcPr>
                <w:p w14:paraId="2CE4BF5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0.09</w:t>
                  </w:r>
                </w:p>
              </w:tc>
              <w:tc>
                <w:tcPr>
                  <w:tcW w:w="804" w:type="pct"/>
                  <w:gridSpan w:val="3"/>
                  <w:vAlign w:val="center"/>
                </w:tcPr>
                <w:p w14:paraId="5D2304A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0.09</w:t>
                  </w:r>
                </w:p>
              </w:tc>
              <w:tc>
                <w:tcPr>
                  <w:tcW w:w="694" w:type="pct"/>
                  <w:vAlign w:val="center"/>
                </w:tcPr>
                <w:p w14:paraId="462E825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0.09</w:t>
                  </w:r>
                </w:p>
              </w:tc>
            </w:tr>
            <w:tr w14:paraId="7BFB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15500B9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7DE2228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6FED1CF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第二次</w:t>
                  </w:r>
                </w:p>
              </w:tc>
              <w:tc>
                <w:tcPr>
                  <w:tcW w:w="803" w:type="pct"/>
                  <w:vAlign w:val="center"/>
                </w:tcPr>
                <w:p w14:paraId="38EECB0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0.07</w:t>
                  </w:r>
                </w:p>
              </w:tc>
              <w:tc>
                <w:tcPr>
                  <w:tcW w:w="735" w:type="pct"/>
                  <w:vAlign w:val="center"/>
                </w:tcPr>
                <w:p w14:paraId="4224794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0.09</w:t>
                  </w:r>
                </w:p>
              </w:tc>
              <w:tc>
                <w:tcPr>
                  <w:tcW w:w="804" w:type="pct"/>
                  <w:gridSpan w:val="3"/>
                  <w:vAlign w:val="center"/>
                </w:tcPr>
                <w:p w14:paraId="3382D33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0.10</w:t>
                  </w:r>
                </w:p>
              </w:tc>
              <w:tc>
                <w:tcPr>
                  <w:tcW w:w="694" w:type="pct"/>
                  <w:vAlign w:val="center"/>
                </w:tcPr>
                <w:p w14:paraId="5C64081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0.10</w:t>
                  </w:r>
                </w:p>
              </w:tc>
            </w:tr>
            <w:tr w14:paraId="0619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1EBED88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36D1EA2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5773270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第三次</w:t>
                  </w:r>
                </w:p>
              </w:tc>
              <w:tc>
                <w:tcPr>
                  <w:tcW w:w="803" w:type="pct"/>
                  <w:vAlign w:val="center"/>
                </w:tcPr>
                <w:p w14:paraId="0E946AE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0.06</w:t>
                  </w:r>
                </w:p>
              </w:tc>
              <w:tc>
                <w:tcPr>
                  <w:tcW w:w="735" w:type="pct"/>
                  <w:vAlign w:val="center"/>
                </w:tcPr>
                <w:p w14:paraId="14A5C5A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0.10</w:t>
                  </w:r>
                </w:p>
              </w:tc>
              <w:tc>
                <w:tcPr>
                  <w:tcW w:w="804" w:type="pct"/>
                  <w:gridSpan w:val="3"/>
                  <w:vAlign w:val="center"/>
                </w:tcPr>
                <w:p w14:paraId="17ACED0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0.09</w:t>
                  </w:r>
                </w:p>
              </w:tc>
              <w:tc>
                <w:tcPr>
                  <w:tcW w:w="694" w:type="pct"/>
                  <w:vAlign w:val="center"/>
                </w:tcPr>
                <w:p w14:paraId="215AC4C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0.09</w:t>
                  </w:r>
                </w:p>
              </w:tc>
            </w:tr>
            <w:tr w14:paraId="0917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57CE7C9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118AB8F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0853EB7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第四次</w:t>
                  </w:r>
                </w:p>
              </w:tc>
              <w:tc>
                <w:tcPr>
                  <w:tcW w:w="803" w:type="pct"/>
                  <w:vAlign w:val="center"/>
                </w:tcPr>
                <w:p w14:paraId="0A06F07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0.06</w:t>
                  </w:r>
                </w:p>
              </w:tc>
              <w:tc>
                <w:tcPr>
                  <w:tcW w:w="735" w:type="pct"/>
                  <w:vAlign w:val="center"/>
                </w:tcPr>
                <w:p w14:paraId="28789D2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0.09</w:t>
                  </w:r>
                </w:p>
              </w:tc>
              <w:tc>
                <w:tcPr>
                  <w:tcW w:w="804" w:type="pct"/>
                  <w:gridSpan w:val="3"/>
                  <w:vAlign w:val="center"/>
                </w:tcPr>
                <w:p w14:paraId="35DCF67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0.09</w:t>
                  </w:r>
                </w:p>
              </w:tc>
              <w:tc>
                <w:tcPr>
                  <w:tcW w:w="694" w:type="pct"/>
                  <w:vAlign w:val="center"/>
                </w:tcPr>
                <w:p w14:paraId="180A0E6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0.09</w:t>
                  </w:r>
                </w:p>
              </w:tc>
            </w:tr>
            <w:tr w14:paraId="67A6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7E5AB27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7F5B870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338FAE5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参考限值</w:t>
                  </w:r>
                </w:p>
              </w:tc>
              <w:tc>
                <w:tcPr>
                  <w:tcW w:w="803" w:type="pct"/>
                  <w:vAlign w:val="center"/>
                </w:tcPr>
                <w:p w14:paraId="786FFC8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2234" w:type="pct"/>
                  <w:gridSpan w:val="5"/>
                  <w:vAlign w:val="center"/>
                </w:tcPr>
                <w:p w14:paraId="405E538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r>
            <w:tr w14:paraId="6C4B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2801888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restart"/>
                  <w:vAlign w:val="center"/>
                </w:tcPr>
                <w:p w14:paraId="18203C2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硫化氢</w:t>
                  </w:r>
                </w:p>
                <w:p w14:paraId="2ED1D39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（mg/m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w:t>
                  </w:r>
                </w:p>
              </w:tc>
              <w:tc>
                <w:tcPr>
                  <w:tcW w:w="753" w:type="pct"/>
                  <w:vAlign w:val="center"/>
                </w:tcPr>
                <w:p w14:paraId="6D8267D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第一次</w:t>
                  </w:r>
                </w:p>
              </w:tc>
              <w:tc>
                <w:tcPr>
                  <w:tcW w:w="803" w:type="pct"/>
                  <w:vAlign w:val="center"/>
                </w:tcPr>
                <w:p w14:paraId="30FB60B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0.008</w:t>
                  </w:r>
                </w:p>
              </w:tc>
              <w:tc>
                <w:tcPr>
                  <w:tcW w:w="735" w:type="pct"/>
                  <w:vAlign w:val="center"/>
                </w:tcPr>
                <w:p w14:paraId="2B38643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0.022</w:t>
                  </w:r>
                </w:p>
              </w:tc>
              <w:tc>
                <w:tcPr>
                  <w:tcW w:w="804" w:type="pct"/>
                  <w:gridSpan w:val="3"/>
                  <w:vAlign w:val="center"/>
                </w:tcPr>
                <w:p w14:paraId="708E3B3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0.023</w:t>
                  </w:r>
                </w:p>
              </w:tc>
              <w:tc>
                <w:tcPr>
                  <w:tcW w:w="694" w:type="pct"/>
                  <w:vAlign w:val="center"/>
                </w:tcPr>
                <w:p w14:paraId="1375F09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0.023</w:t>
                  </w:r>
                </w:p>
              </w:tc>
            </w:tr>
            <w:tr w14:paraId="0F27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0E3F115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4396F89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7FA6DD7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第二次</w:t>
                  </w:r>
                </w:p>
              </w:tc>
              <w:tc>
                <w:tcPr>
                  <w:tcW w:w="803" w:type="pct"/>
                  <w:vAlign w:val="center"/>
                </w:tcPr>
                <w:p w14:paraId="5F97158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0.008</w:t>
                  </w:r>
                </w:p>
              </w:tc>
              <w:tc>
                <w:tcPr>
                  <w:tcW w:w="735" w:type="pct"/>
                  <w:vAlign w:val="center"/>
                </w:tcPr>
                <w:p w14:paraId="5A26878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0.023</w:t>
                  </w:r>
                </w:p>
              </w:tc>
              <w:tc>
                <w:tcPr>
                  <w:tcW w:w="804" w:type="pct"/>
                  <w:gridSpan w:val="3"/>
                  <w:vAlign w:val="center"/>
                </w:tcPr>
                <w:p w14:paraId="2BD76E3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0.022</w:t>
                  </w:r>
                </w:p>
              </w:tc>
              <w:tc>
                <w:tcPr>
                  <w:tcW w:w="694" w:type="pct"/>
                  <w:vAlign w:val="center"/>
                </w:tcPr>
                <w:p w14:paraId="6C56C6D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0.023</w:t>
                  </w:r>
                </w:p>
              </w:tc>
            </w:tr>
            <w:tr w14:paraId="171D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4D765D8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23519FD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4096BB2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第三次</w:t>
                  </w:r>
                </w:p>
              </w:tc>
              <w:tc>
                <w:tcPr>
                  <w:tcW w:w="803" w:type="pct"/>
                  <w:vAlign w:val="center"/>
                </w:tcPr>
                <w:p w14:paraId="2B8FB5F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0.009</w:t>
                  </w:r>
                </w:p>
              </w:tc>
              <w:tc>
                <w:tcPr>
                  <w:tcW w:w="735" w:type="pct"/>
                  <w:vAlign w:val="center"/>
                </w:tcPr>
                <w:p w14:paraId="15446AF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0.024</w:t>
                  </w:r>
                </w:p>
              </w:tc>
              <w:tc>
                <w:tcPr>
                  <w:tcW w:w="804" w:type="pct"/>
                  <w:gridSpan w:val="3"/>
                  <w:vAlign w:val="center"/>
                </w:tcPr>
                <w:p w14:paraId="62F9149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0.022</w:t>
                  </w:r>
                </w:p>
              </w:tc>
              <w:tc>
                <w:tcPr>
                  <w:tcW w:w="694" w:type="pct"/>
                  <w:vAlign w:val="center"/>
                </w:tcPr>
                <w:p w14:paraId="787F58F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0.023</w:t>
                  </w:r>
                </w:p>
              </w:tc>
            </w:tr>
            <w:tr w14:paraId="6EC8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7EE4B54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0481097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7296D6A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第四次</w:t>
                  </w:r>
                </w:p>
              </w:tc>
              <w:tc>
                <w:tcPr>
                  <w:tcW w:w="803" w:type="pct"/>
                  <w:vAlign w:val="center"/>
                </w:tcPr>
                <w:p w14:paraId="6D32AAA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0.007</w:t>
                  </w:r>
                </w:p>
              </w:tc>
              <w:tc>
                <w:tcPr>
                  <w:tcW w:w="735" w:type="pct"/>
                  <w:vAlign w:val="center"/>
                </w:tcPr>
                <w:p w14:paraId="63724FD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0.025</w:t>
                  </w:r>
                </w:p>
              </w:tc>
              <w:tc>
                <w:tcPr>
                  <w:tcW w:w="804" w:type="pct"/>
                  <w:gridSpan w:val="3"/>
                  <w:vAlign w:val="center"/>
                </w:tcPr>
                <w:p w14:paraId="178DB70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0.023</w:t>
                  </w:r>
                </w:p>
              </w:tc>
              <w:tc>
                <w:tcPr>
                  <w:tcW w:w="694" w:type="pct"/>
                  <w:vAlign w:val="center"/>
                </w:tcPr>
                <w:p w14:paraId="7749B81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0.022</w:t>
                  </w:r>
                </w:p>
              </w:tc>
            </w:tr>
            <w:tr w14:paraId="79F4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61FDADD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2FEF311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0123E1F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参考限值</w:t>
                  </w:r>
                </w:p>
              </w:tc>
              <w:tc>
                <w:tcPr>
                  <w:tcW w:w="803" w:type="pct"/>
                  <w:vAlign w:val="center"/>
                </w:tcPr>
                <w:p w14:paraId="5158104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2234" w:type="pct"/>
                  <w:gridSpan w:val="5"/>
                  <w:vAlign w:val="center"/>
                </w:tcPr>
                <w:p w14:paraId="620F5B8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0.03</w:t>
                  </w:r>
                </w:p>
              </w:tc>
            </w:tr>
            <w:tr w14:paraId="2123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215ED6A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restart"/>
                  <w:vAlign w:val="center"/>
                </w:tcPr>
                <w:p w14:paraId="502F1A4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臭气浓度（无量纲）</w:t>
                  </w:r>
                </w:p>
              </w:tc>
              <w:tc>
                <w:tcPr>
                  <w:tcW w:w="753" w:type="pct"/>
                  <w:vAlign w:val="center"/>
                </w:tcPr>
                <w:p w14:paraId="56DC6C3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第一次</w:t>
                  </w:r>
                </w:p>
              </w:tc>
              <w:tc>
                <w:tcPr>
                  <w:tcW w:w="803" w:type="pct"/>
                  <w:vAlign w:val="center"/>
                </w:tcPr>
                <w:p w14:paraId="1C30630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44" w:type="pct"/>
                  <w:gridSpan w:val="2"/>
                  <w:vAlign w:val="center"/>
                </w:tcPr>
                <w:p w14:paraId="1B8252E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44" w:type="pct"/>
                  <w:vAlign w:val="center"/>
                </w:tcPr>
                <w:p w14:paraId="692917E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44" w:type="pct"/>
                  <w:gridSpan w:val="2"/>
                  <w:vAlign w:val="center"/>
                </w:tcPr>
                <w:p w14:paraId="1C3C3B0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r>
            <w:tr w14:paraId="19C1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7D6E12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39F6957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4BF6430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第二次</w:t>
                  </w:r>
                </w:p>
              </w:tc>
              <w:tc>
                <w:tcPr>
                  <w:tcW w:w="803" w:type="pct"/>
                  <w:vAlign w:val="center"/>
                </w:tcPr>
                <w:p w14:paraId="3E1E9BC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44" w:type="pct"/>
                  <w:gridSpan w:val="2"/>
                  <w:vAlign w:val="center"/>
                </w:tcPr>
                <w:p w14:paraId="76BF9C1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44" w:type="pct"/>
                  <w:vAlign w:val="center"/>
                </w:tcPr>
                <w:p w14:paraId="5713742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44" w:type="pct"/>
                  <w:gridSpan w:val="2"/>
                  <w:vAlign w:val="center"/>
                </w:tcPr>
                <w:p w14:paraId="2A4529D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r>
            <w:tr w14:paraId="0E0A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7F6DBBE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77C2F96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02181A9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第三次</w:t>
                  </w:r>
                </w:p>
              </w:tc>
              <w:tc>
                <w:tcPr>
                  <w:tcW w:w="803" w:type="pct"/>
                  <w:vAlign w:val="center"/>
                </w:tcPr>
                <w:p w14:paraId="4437657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44" w:type="pct"/>
                  <w:gridSpan w:val="2"/>
                  <w:vAlign w:val="center"/>
                </w:tcPr>
                <w:p w14:paraId="5106E23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44" w:type="pct"/>
                  <w:vAlign w:val="center"/>
                </w:tcPr>
                <w:p w14:paraId="2E115C1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44" w:type="pct"/>
                  <w:gridSpan w:val="2"/>
                  <w:vAlign w:val="center"/>
                </w:tcPr>
                <w:p w14:paraId="4D74094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r>
            <w:tr w14:paraId="5DEB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6A15F2B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04E197C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6C7E723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第四次</w:t>
                  </w:r>
                </w:p>
              </w:tc>
              <w:tc>
                <w:tcPr>
                  <w:tcW w:w="803" w:type="pct"/>
                  <w:vAlign w:val="center"/>
                </w:tcPr>
                <w:p w14:paraId="364CB40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44" w:type="pct"/>
                  <w:gridSpan w:val="2"/>
                  <w:vAlign w:val="center"/>
                </w:tcPr>
                <w:p w14:paraId="6593D30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44" w:type="pct"/>
                  <w:vAlign w:val="center"/>
                </w:tcPr>
                <w:p w14:paraId="609E533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744" w:type="pct"/>
                  <w:gridSpan w:val="2"/>
                  <w:vAlign w:val="center"/>
                </w:tcPr>
                <w:p w14:paraId="36D57C4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r>
            <w:tr w14:paraId="0A4A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vAlign w:val="center"/>
                </w:tcPr>
                <w:p w14:paraId="202BE4D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75" w:type="pct"/>
                  <w:vMerge w:val="continue"/>
                  <w:vAlign w:val="center"/>
                </w:tcPr>
                <w:p w14:paraId="1112498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753" w:type="pct"/>
                  <w:vAlign w:val="center"/>
                </w:tcPr>
                <w:p w14:paraId="25FBB08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参考限值</w:t>
                  </w:r>
                </w:p>
              </w:tc>
              <w:tc>
                <w:tcPr>
                  <w:tcW w:w="803" w:type="pct"/>
                  <w:vAlign w:val="center"/>
                </w:tcPr>
                <w:p w14:paraId="6EA4884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2234" w:type="pct"/>
                  <w:gridSpan w:val="5"/>
                  <w:vAlign w:val="center"/>
                </w:tcPr>
                <w:p w14:paraId="44D2691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r>
          </w:tbl>
          <w:p w14:paraId="12C16EEB">
            <w:pPr>
              <w:pStyle w:val="128"/>
              <w:ind w:firstLine="482"/>
              <w:rPr>
                <w:rFonts w:hint="eastAsia"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由上表可见，原有项目天然气燃烧废气满足《锅炉大气污染物排放标准》（GB13271-2014）表3标准限值；油烟满足《饮食业油烟排放标准（试行）》（GB 18483-2001）表2标准限值；氨、硫化氢及臭气浓度满足《恶臭污染物排放标准》（GB14554-93）表2标准限值。污水处理站周边氨、硫化氢、臭气浓度均满足《医疗机构水污染排放标准》（GB18466-2005）表3标准限值。</w:t>
            </w:r>
          </w:p>
          <w:p w14:paraId="174A9611">
            <w:pPr>
              <w:pStyle w:val="128"/>
              <w:ind w:firstLine="482"/>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2、废水</w:t>
            </w:r>
          </w:p>
          <w:p w14:paraId="5A9C531E">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1）污染防治措施</w:t>
            </w:r>
          </w:p>
          <w:p w14:paraId="412F5400">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原</w:t>
            </w:r>
            <w:r>
              <w:rPr>
                <w:rFonts w:hint="eastAsia" w:ascii="Times New Roman" w:hAnsi="Times New Roman" w:eastAsia="仿宋" w:cs="Times New Roman"/>
                <w:color w:val="auto"/>
                <w:kern w:val="2"/>
                <w:sz w:val="24"/>
                <w:szCs w:val="24"/>
                <w:highlight w:val="none"/>
                <w:lang w:val="en-US" w:eastAsia="zh-CN" w:bidi="ar-SA"/>
              </w:rPr>
              <w:t>项目执行“雨污分类、污水分质处理、集中进行消毒处理”的原则，全院废水经预处理后达标接入城市污水管网，进污水处理厂集中处理。</w:t>
            </w:r>
          </w:p>
          <w:p w14:paraId="4BBE44A8">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①雨水系统排水体系：直接从地面排入院外市政雨水管网的雨水采用自流方式排入管网；对于沉积在地下室的雨水，经潜污泵排至室外雨水系统。</w:t>
            </w:r>
          </w:p>
          <w:p w14:paraId="106BCCAB">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②污水系统排水体系：将传染病房污水与非传染病房污水分开，传染病房的污水、粪便经消毒后与其他污水合并处理，经化粪池预处理的生活污水、经隔油池隔油的厨房废水、由酸碱池预处理后的病理科化验分析产生的废水及医疗区其它废水全部汇集到院内的地埋式污水处理站处理后，达到《医疗机构水污染物排放标准》</w:t>
            </w:r>
            <w:r>
              <w:rPr>
                <w:rFonts w:hint="eastAsia" w:eastAsia="仿宋" w:cs="Times New Roman"/>
                <w:color w:val="auto"/>
                <w:kern w:val="2"/>
                <w:sz w:val="24"/>
                <w:szCs w:val="24"/>
                <w:highlight w:val="none"/>
                <w:lang w:val="en-US" w:eastAsia="zh-CN" w:bidi="ar-SA"/>
              </w:rPr>
              <w:t>（</w:t>
            </w:r>
            <w:r>
              <w:rPr>
                <w:rFonts w:hint="eastAsia" w:ascii="Times New Roman" w:hAnsi="Times New Roman" w:eastAsia="仿宋" w:cs="Times New Roman"/>
                <w:color w:val="auto"/>
                <w:kern w:val="2"/>
                <w:sz w:val="24"/>
                <w:szCs w:val="24"/>
                <w:highlight w:val="none"/>
                <w:lang w:val="en-US" w:eastAsia="zh-CN" w:bidi="ar-SA"/>
              </w:rPr>
              <w:t>GB18466-2005</w:t>
            </w:r>
            <w:r>
              <w:rPr>
                <w:rFonts w:hint="eastAsia" w:eastAsia="仿宋" w:cs="Times New Roman"/>
                <w:color w:val="auto"/>
                <w:kern w:val="2"/>
                <w:sz w:val="24"/>
                <w:szCs w:val="24"/>
                <w:highlight w:val="none"/>
                <w:lang w:val="en-US" w:eastAsia="zh-CN" w:bidi="ar-SA"/>
              </w:rPr>
              <w:t>）</w:t>
            </w:r>
            <w:r>
              <w:rPr>
                <w:rFonts w:hint="eastAsia" w:ascii="Times New Roman" w:hAnsi="Times New Roman" w:eastAsia="仿宋" w:cs="Times New Roman"/>
                <w:color w:val="auto"/>
                <w:kern w:val="2"/>
                <w:sz w:val="24"/>
                <w:szCs w:val="24"/>
                <w:highlight w:val="none"/>
                <w:lang w:val="en-US" w:eastAsia="zh-CN" w:bidi="ar-SA"/>
              </w:rPr>
              <w:t>表2中预处理标准以及《污水排入城镇下水道水质标准》</w:t>
            </w:r>
            <w:r>
              <w:rPr>
                <w:rFonts w:hint="eastAsia" w:eastAsia="仿宋" w:cs="Times New Roman"/>
                <w:color w:val="auto"/>
                <w:kern w:val="2"/>
                <w:sz w:val="24"/>
                <w:szCs w:val="24"/>
                <w:highlight w:val="none"/>
                <w:lang w:val="en-US" w:eastAsia="zh-CN" w:bidi="ar-SA"/>
              </w:rPr>
              <w:t>（</w:t>
            </w:r>
            <w:r>
              <w:rPr>
                <w:rFonts w:hint="eastAsia" w:ascii="Times New Roman" w:hAnsi="Times New Roman" w:eastAsia="仿宋" w:cs="Times New Roman"/>
                <w:color w:val="auto"/>
                <w:kern w:val="2"/>
                <w:sz w:val="24"/>
                <w:szCs w:val="24"/>
                <w:highlight w:val="none"/>
                <w:lang w:val="en-US" w:eastAsia="zh-CN" w:bidi="ar-SA"/>
              </w:rPr>
              <w:t>CJ343-2010</w:t>
            </w:r>
            <w:r>
              <w:rPr>
                <w:rFonts w:hint="eastAsia" w:eastAsia="仿宋" w:cs="Times New Roman"/>
                <w:color w:val="auto"/>
                <w:kern w:val="2"/>
                <w:sz w:val="24"/>
                <w:szCs w:val="24"/>
                <w:highlight w:val="none"/>
                <w:lang w:val="en-US" w:eastAsia="zh-CN" w:bidi="ar-SA"/>
              </w:rPr>
              <w:t>）</w:t>
            </w:r>
            <w:r>
              <w:rPr>
                <w:rFonts w:hint="eastAsia" w:ascii="Times New Roman" w:hAnsi="Times New Roman" w:eastAsia="仿宋" w:cs="Times New Roman"/>
                <w:color w:val="auto"/>
                <w:kern w:val="2"/>
                <w:sz w:val="24"/>
                <w:szCs w:val="24"/>
                <w:highlight w:val="none"/>
                <w:lang w:val="en-US" w:eastAsia="zh-CN" w:bidi="ar-SA"/>
              </w:rPr>
              <w:t>表1中B等级标准后排入城市污水管网，进金坛区第一污水处理厂集中处理。</w:t>
            </w:r>
          </w:p>
          <w:p w14:paraId="75B77382">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（2）废水处理方案</w:t>
            </w:r>
          </w:p>
          <w:p w14:paraId="621D7F60">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根据《医疗机构水污染物排放标准》（GB18466-2005）相关要求进行设计、建造，</w:t>
            </w:r>
            <w:r>
              <w:rPr>
                <w:rFonts w:hint="eastAsia" w:eastAsia="仿宋" w:cs="Times New Roman"/>
                <w:color w:val="auto"/>
                <w:kern w:val="2"/>
                <w:sz w:val="24"/>
                <w:szCs w:val="24"/>
                <w:highlight w:val="none"/>
                <w:lang w:val="en-US" w:eastAsia="zh-CN" w:bidi="ar-SA"/>
              </w:rPr>
              <w:t>废水处理方案见图2-6。</w:t>
            </w:r>
          </w:p>
          <w:p w14:paraId="1826F888">
            <w:pPr>
              <w:spacing w:line="360" w:lineRule="auto"/>
              <w:rPr>
                <w:rFonts w:hint="eastAsia" w:eastAsia="宋体"/>
                <w:color w:val="FF0000"/>
                <w:sz w:val="24"/>
                <w:lang w:eastAsia="zh-CN"/>
              </w:rPr>
            </w:pPr>
            <w:r>
              <w:rPr>
                <w:rFonts w:hint="eastAsia" w:eastAsia="宋体"/>
                <w:color w:val="FF0000"/>
                <w:sz w:val="24"/>
                <w:lang w:eastAsia="zh-CN"/>
              </w:rPr>
              <w:drawing>
                <wp:inline distT="0" distB="0" distL="114300" distR="114300">
                  <wp:extent cx="5327650" cy="6677660"/>
                  <wp:effectExtent l="0" t="0" r="6350" b="8890"/>
                  <wp:docPr id="1" name="图片 1" descr="172368984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3689842222"/>
                          <pic:cNvPicPr>
                            <a:picLocks noChangeAspect="1"/>
                          </pic:cNvPicPr>
                        </pic:nvPicPr>
                        <pic:blipFill>
                          <a:blip r:embed="rId21"/>
                          <a:stretch>
                            <a:fillRect/>
                          </a:stretch>
                        </pic:blipFill>
                        <pic:spPr>
                          <a:xfrm>
                            <a:off x="0" y="0"/>
                            <a:ext cx="5327650" cy="6677660"/>
                          </a:xfrm>
                          <a:prstGeom prst="rect">
                            <a:avLst/>
                          </a:prstGeom>
                        </pic:spPr>
                      </pic:pic>
                    </a:graphicData>
                  </a:graphic>
                </wp:inline>
              </w:drawing>
            </w:r>
          </w:p>
          <w:p w14:paraId="7E7C8F8D">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bCs/>
                <w:color w:val="auto"/>
                <w:kern w:val="0"/>
                <w:sz w:val="24"/>
                <w:szCs w:val="24"/>
                <w:highlight w:val="none"/>
                <w:lang w:val="en-US" w:eastAsia="zh-CN"/>
              </w:rPr>
            </w:pPr>
            <w:r>
              <w:rPr>
                <w:rFonts w:hint="eastAsia" w:ascii="Times New Roman" w:hAnsi="Times New Roman" w:eastAsia="仿宋" w:cs="Times New Roman"/>
                <w:b/>
                <w:bCs/>
                <w:color w:val="auto"/>
                <w:kern w:val="0"/>
                <w:sz w:val="24"/>
                <w:szCs w:val="24"/>
                <w:highlight w:val="none"/>
                <w:lang w:val="en-US" w:eastAsia="zh-CN"/>
              </w:rPr>
              <w:t>图2-</w:t>
            </w:r>
            <w:r>
              <w:rPr>
                <w:rFonts w:hint="eastAsia" w:eastAsia="仿宋" w:cs="Times New Roman"/>
                <w:b/>
                <w:bCs/>
                <w:color w:val="auto"/>
                <w:kern w:val="0"/>
                <w:sz w:val="24"/>
                <w:szCs w:val="24"/>
                <w:highlight w:val="none"/>
                <w:lang w:val="en-US" w:eastAsia="zh-CN"/>
              </w:rPr>
              <w:t>6</w:t>
            </w:r>
            <w:r>
              <w:rPr>
                <w:rFonts w:hint="eastAsia" w:ascii="Times New Roman" w:hAnsi="Times New Roman" w:eastAsia="仿宋" w:cs="Times New Roman"/>
                <w:b/>
                <w:bCs/>
                <w:color w:val="auto"/>
                <w:kern w:val="0"/>
                <w:sz w:val="24"/>
                <w:szCs w:val="24"/>
                <w:highlight w:val="none"/>
                <w:lang w:val="en-US" w:eastAsia="zh-CN"/>
              </w:rPr>
              <w:t xml:space="preserve"> 废水处理方案</w:t>
            </w:r>
          </w:p>
          <w:p w14:paraId="75A1391E">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原有</w:t>
            </w:r>
            <w:r>
              <w:rPr>
                <w:rFonts w:hint="eastAsia" w:ascii="Times New Roman" w:hAnsi="Times New Roman" w:eastAsia="仿宋" w:cs="Times New Roman"/>
                <w:color w:val="auto"/>
                <w:kern w:val="2"/>
                <w:sz w:val="24"/>
                <w:szCs w:val="24"/>
                <w:highlight w:val="none"/>
                <w:lang w:val="en-US" w:eastAsia="zh-CN" w:bidi="ar-SA"/>
              </w:rPr>
              <w:t>工程项目废水排放情况见表2-1</w:t>
            </w:r>
            <w:r>
              <w:rPr>
                <w:rFonts w:hint="eastAsia" w:eastAsia="仿宋" w:cs="Times New Roman"/>
                <w:color w:val="auto"/>
                <w:kern w:val="2"/>
                <w:sz w:val="24"/>
                <w:szCs w:val="24"/>
                <w:highlight w:val="none"/>
                <w:lang w:val="en-US" w:eastAsia="zh-CN" w:bidi="ar-SA"/>
              </w:rPr>
              <w:t>5。</w:t>
            </w:r>
          </w:p>
          <w:p w14:paraId="73238718">
            <w:pPr>
              <w:jc w:val="center"/>
              <w:rPr>
                <w:b/>
                <w:bCs/>
                <w:color w:val="FF0000"/>
                <w:sz w:val="22"/>
                <w:szCs w:val="22"/>
              </w:rPr>
            </w:pPr>
            <w:r>
              <w:rPr>
                <w:rFonts w:hint="default" w:eastAsia="仿宋" w:cs="Times New Roman"/>
                <w:b/>
                <w:bCs/>
                <w:color w:val="auto"/>
                <w:kern w:val="0"/>
                <w:sz w:val="22"/>
                <w:szCs w:val="22"/>
                <w:highlight w:val="none"/>
                <w:lang w:val="en-US" w:eastAsia="zh-CN"/>
              </w:rPr>
              <w:t>表</w:t>
            </w:r>
            <w:r>
              <w:rPr>
                <w:rFonts w:hint="eastAsia" w:eastAsia="仿宋" w:cs="Times New Roman"/>
                <w:b/>
                <w:bCs/>
                <w:color w:val="auto"/>
                <w:kern w:val="0"/>
                <w:sz w:val="22"/>
                <w:szCs w:val="22"/>
                <w:highlight w:val="none"/>
                <w:lang w:val="en-US" w:eastAsia="zh-CN"/>
              </w:rPr>
              <w:t>2-15</w:t>
            </w:r>
            <w:r>
              <w:rPr>
                <w:rFonts w:hint="default" w:eastAsia="仿宋" w:cs="Times New Roman"/>
                <w:b/>
                <w:bCs/>
                <w:color w:val="auto"/>
                <w:kern w:val="0"/>
                <w:sz w:val="22"/>
                <w:szCs w:val="22"/>
                <w:highlight w:val="none"/>
                <w:lang w:val="en-US" w:eastAsia="zh-CN"/>
              </w:rPr>
              <w:t xml:space="preserve">  </w:t>
            </w:r>
            <w:r>
              <w:rPr>
                <w:rFonts w:hint="eastAsia" w:eastAsia="仿宋" w:cs="Times New Roman"/>
                <w:b/>
                <w:bCs/>
                <w:color w:val="auto"/>
                <w:kern w:val="0"/>
                <w:sz w:val="22"/>
                <w:szCs w:val="22"/>
                <w:highlight w:val="none"/>
                <w:lang w:val="en-US" w:eastAsia="zh-CN"/>
              </w:rPr>
              <w:t>原有工程项目综合废水排放</w:t>
            </w:r>
            <w:r>
              <w:rPr>
                <w:rFonts w:hint="default" w:eastAsia="仿宋" w:cs="Times New Roman"/>
                <w:b/>
                <w:bCs/>
                <w:color w:val="auto"/>
                <w:kern w:val="0"/>
                <w:sz w:val="22"/>
                <w:szCs w:val="22"/>
                <w:highlight w:val="none"/>
                <w:lang w:val="en-US" w:eastAsia="zh-CN"/>
              </w:rPr>
              <w:t>情况表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1081"/>
              <w:gridCol w:w="1531"/>
              <w:gridCol w:w="1422"/>
              <w:gridCol w:w="1570"/>
              <w:gridCol w:w="1440"/>
            </w:tblGrid>
            <w:tr w14:paraId="4FC8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pct"/>
                  <w:gridSpan w:val="2"/>
                  <w:tcBorders>
                    <w:tl2br w:val="single" w:color="auto" w:sz="4" w:space="0"/>
                  </w:tcBorders>
                  <w:vAlign w:val="center"/>
                </w:tcPr>
                <w:p w14:paraId="158CD401">
                  <w:pPr>
                    <w:keepNext w:val="0"/>
                    <w:keepLines w:val="0"/>
                    <w:pageBreakBefore w:val="0"/>
                    <w:widowControl w:val="0"/>
                    <w:kinsoku/>
                    <w:wordWrap/>
                    <w:overflowPunct/>
                    <w:topLinePunct w:val="0"/>
                    <w:autoSpaceDE w:val="0"/>
                    <w:autoSpaceDN w:val="0"/>
                    <w:bidi w:val="0"/>
                    <w:adjustRightInd/>
                    <w:snapToGrid/>
                    <w:spacing w:line="240" w:lineRule="auto"/>
                    <w:jc w:val="right"/>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废水类别</w:t>
                  </w:r>
                </w:p>
                <w:p w14:paraId="31AC5AD2">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污染物</w:t>
                  </w:r>
                </w:p>
              </w:tc>
              <w:tc>
                <w:tcPr>
                  <w:tcW w:w="912" w:type="pct"/>
                  <w:vAlign w:val="center"/>
                </w:tcPr>
                <w:p w14:paraId="709D83B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一般生活污水</w:t>
                  </w:r>
                </w:p>
                <w:p w14:paraId="3DB06DD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52735t/a</w:t>
                  </w:r>
                </w:p>
              </w:tc>
              <w:tc>
                <w:tcPr>
                  <w:tcW w:w="847" w:type="pct"/>
                  <w:vAlign w:val="center"/>
                </w:tcPr>
                <w:p w14:paraId="2EA6875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餐饮废水</w:t>
                  </w:r>
                </w:p>
                <w:p w14:paraId="53E7AFA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21973t/a</w:t>
                  </w:r>
                </w:p>
              </w:tc>
              <w:tc>
                <w:tcPr>
                  <w:tcW w:w="935" w:type="pct"/>
                  <w:vAlign w:val="center"/>
                </w:tcPr>
                <w:p w14:paraId="6D79E55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医疗废水</w:t>
                  </w:r>
                </w:p>
                <w:p w14:paraId="53D6697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138430t/a</w:t>
                  </w:r>
                </w:p>
              </w:tc>
              <w:tc>
                <w:tcPr>
                  <w:tcW w:w="858" w:type="pct"/>
                  <w:vAlign w:val="center"/>
                </w:tcPr>
                <w:p w14:paraId="21F7CC5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合计</w:t>
                  </w:r>
                </w:p>
                <w:p w14:paraId="033758D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213138t/a</w:t>
                  </w:r>
                </w:p>
              </w:tc>
            </w:tr>
            <w:tr w14:paraId="3AD2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vAlign w:val="center"/>
                </w:tcPr>
                <w:p w14:paraId="5283F67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COD</w:t>
                  </w:r>
                  <w:r>
                    <w:rPr>
                      <w:rFonts w:hint="eastAsia" w:eastAsia="仿宋" w:cs="Times New Roman"/>
                      <w:color w:val="auto"/>
                      <w:kern w:val="0"/>
                      <w:sz w:val="21"/>
                      <w:szCs w:val="21"/>
                      <w:highlight w:val="none"/>
                      <w:vertAlign w:val="subscript"/>
                      <w:lang w:val="en-US" w:eastAsia="zh-CN"/>
                    </w:rPr>
                    <w:t>Cr</w:t>
                  </w:r>
                </w:p>
              </w:tc>
              <w:tc>
                <w:tcPr>
                  <w:tcW w:w="643" w:type="pct"/>
                  <w:vAlign w:val="center"/>
                </w:tcPr>
                <w:p w14:paraId="7BEE0AE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产生量</w:t>
                  </w:r>
                </w:p>
              </w:tc>
              <w:tc>
                <w:tcPr>
                  <w:tcW w:w="912" w:type="pct"/>
                  <w:vAlign w:val="center"/>
                </w:tcPr>
                <w:p w14:paraId="627D9AA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15.82</w:t>
                  </w:r>
                </w:p>
              </w:tc>
              <w:tc>
                <w:tcPr>
                  <w:tcW w:w="847" w:type="pct"/>
                  <w:vAlign w:val="center"/>
                </w:tcPr>
                <w:p w14:paraId="16E5631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8.79</w:t>
                  </w:r>
                </w:p>
              </w:tc>
              <w:tc>
                <w:tcPr>
                  <w:tcW w:w="935" w:type="pct"/>
                  <w:vAlign w:val="center"/>
                </w:tcPr>
                <w:p w14:paraId="19E8C00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27.69</w:t>
                  </w:r>
                </w:p>
              </w:tc>
              <w:tc>
                <w:tcPr>
                  <w:tcW w:w="858" w:type="pct"/>
                  <w:vAlign w:val="center"/>
                </w:tcPr>
                <w:p w14:paraId="34B0BB4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52.3</w:t>
                  </w:r>
                </w:p>
              </w:tc>
            </w:tr>
            <w:tr w14:paraId="33FF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vAlign w:val="center"/>
                </w:tcPr>
                <w:p w14:paraId="024D9AA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SS</w:t>
                  </w:r>
                </w:p>
              </w:tc>
              <w:tc>
                <w:tcPr>
                  <w:tcW w:w="643" w:type="pct"/>
                  <w:vAlign w:val="center"/>
                </w:tcPr>
                <w:p w14:paraId="481A3F7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产生量</w:t>
                  </w:r>
                </w:p>
              </w:tc>
              <w:tc>
                <w:tcPr>
                  <w:tcW w:w="912" w:type="pct"/>
                  <w:vAlign w:val="center"/>
                </w:tcPr>
                <w:p w14:paraId="391B564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7.91</w:t>
                  </w:r>
                </w:p>
              </w:tc>
              <w:tc>
                <w:tcPr>
                  <w:tcW w:w="847" w:type="pct"/>
                  <w:vAlign w:val="center"/>
                </w:tcPr>
                <w:p w14:paraId="3D0F959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4.39</w:t>
                  </w:r>
                </w:p>
              </w:tc>
              <w:tc>
                <w:tcPr>
                  <w:tcW w:w="935" w:type="pct"/>
                  <w:vAlign w:val="center"/>
                </w:tcPr>
                <w:p w14:paraId="2A7D760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13.84</w:t>
                  </w:r>
                </w:p>
              </w:tc>
              <w:tc>
                <w:tcPr>
                  <w:tcW w:w="858" w:type="pct"/>
                  <w:vAlign w:val="center"/>
                </w:tcPr>
                <w:p w14:paraId="6D0AD93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26.14</w:t>
                  </w:r>
                </w:p>
              </w:tc>
            </w:tr>
            <w:tr w14:paraId="2B76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vAlign w:val="center"/>
                </w:tcPr>
                <w:p w14:paraId="5BE0689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NH</w:t>
                  </w:r>
                  <w:r>
                    <w:rPr>
                      <w:rFonts w:hint="eastAsia" w:eastAsia="仿宋" w:cs="Times New Roman"/>
                      <w:color w:val="auto"/>
                      <w:kern w:val="0"/>
                      <w:sz w:val="21"/>
                      <w:szCs w:val="21"/>
                      <w:highlight w:val="none"/>
                      <w:vertAlign w:val="subscript"/>
                      <w:lang w:val="en-US" w:eastAsia="zh-CN"/>
                    </w:rPr>
                    <w:t>3</w:t>
                  </w:r>
                  <w:r>
                    <w:rPr>
                      <w:rFonts w:hint="eastAsia" w:eastAsia="仿宋" w:cs="Times New Roman"/>
                      <w:color w:val="auto"/>
                      <w:kern w:val="0"/>
                      <w:sz w:val="21"/>
                      <w:szCs w:val="21"/>
                      <w:highlight w:val="none"/>
                      <w:lang w:val="en-US" w:eastAsia="zh-CN"/>
                    </w:rPr>
                    <w:t>-N</w:t>
                  </w:r>
                </w:p>
              </w:tc>
              <w:tc>
                <w:tcPr>
                  <w:tcW w:w="643" w:type="pct"/>
                  <w:vAlign w:val="center"/>
                </w:tcPr>
                <w:p w14:paraId="7BF28DD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产生量</w:t>
                  </w:r>
                </w:p>
              </w:tc>
              <w:tc>
                <w:tcPr>
                  <w:tcW w:w="912" w:type="pct"/>
                  <w:vAlign w:val="center"/>
                </w:tcPr>
                <w:p w14:paraId="6557AFC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1.05</w:t>
                  </w:r>
                </w:p>
              </w:tc>
              <w:tc>
                <w:tcPr>
                  <w:tcW w:w="847" w:type="pct"/>
                  <w:vAlign w:val="center"/>
                </w:tcPr>
                <w:p w14:paraId="563433C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1.10</w:t>
                  </w:r>
                </w:p>
              </w:tc>
              <w:tc>
                <w:tcPr>
                  <w:tcW w:w="935" w:type="pct"/>
                  <w:vAlign w:val="center"/>
                </w:tcPr>
                <w:p w14:paraId="2ED1607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2.77</w:t>
                  </w:r>
                </w:p>
              </w:tc>
              <w:tc>
                <w:tcPr>
                  <w:tcW w:w="858" w:type="pct"/>
                  <w:vAlign w:val="center"/>
                </w:tcPr>
                <w:p w14:paraId="57C741E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4.92</w:t>
                  </w:r>
                </w:p>
              </w:tc>
            </w:tr>
            <w:tr w14:paraId="52D0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vAlign w:val="center"/>
                </w:tcPr>
                <w:p w14:paraId="39E5C87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TP</w:t>
                  </w:r>
                </w:p>
              </w:tc>
              <w:tc>
                <w:tcPr>
                  <w:tcW w:w="643" w:type="pct"/>
                  <w:vAlign w:val="center"/>
                </w:tcPr>
                <w:p w14:paraId="6304683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产生量</w:t>
                  </w:r>
                </w:p>
              </w:tc>
              <w:tc>
                <w:tcPr>
                  <w:tcW w:w="912" w:type="pct"/>
                  <w:vAlign w:val="center"/>
                </w:tcPr>
                <w:p w14:paraId="1C6CB5C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0.16</w:t>
                  </w:r>
                </w:p>
              </w:tc>
              <w:tc>
                <w:tcPr>
                  <w:tcW w:w="847" w:type="pct"/>
                  <w:vAlign w:val="center"/>
                </w:tcPr>
                <w:p w14:paraId="4A0ECF6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0.11</w:t>
                  </w:r>
                </w:p>
              </w:tc>
              <w:tc>
                <w:tcPr>
                  <w:tcW w:w="935" w:type="pct"/>
                  <w:vAlign w:val="center"/>
                </w:tcPr>
                <w:p w14:paraId="7953476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0.42</w:t>
                  </w:r>
                </w:p>
              </w:tc>
              <w:tc>
                <w:tcPr>
                  <w:tcW w:w="858" w:type="pct"/>
                  <w:vAlign w:val="center"/>
                </w:tcPr>
                <w:p w14:paraId="490EB2B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0.69</w:t>
                  </w:r>
                </w:p>
              </w:tc>
            </w:tr>
            <w:tr w14:paraId="2D5B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vAlign w:val="center"/>
                </w:tcPr>
                <w:p w14:paraId="2D9D9AB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动植物油</w:t>
                  </w:r>
                </w:p>
              </w:tc>
              <w:tc>
                <w:tcPr>
                  <w:tcW w:w="643" w:type="pct"/>
                  <w:vAlign w:val="center"/>
                </w:tcPr>
                <w:p w14:paraId="27ABB18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产生量</w:t>
                  </w:r>
                </w:p>
              </w:tc>
              <w:tc>
                <w:tcPr>
                  <w:tcW w:w="912" w:type="pct"/>
                  <w:vAlign w:val="center"/>
                </w:tcPr>
                <w:p w14:paraId="47E51C3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1.06</w:t>
                  </w:r>
                </w:p>
              </w:tc>
              <w:tc>
                <w:tcPr>
                  <w:tcW w:w="847" w:type="pct"/>
                  <w:vAlign w:val="center"/>
                </w:tcPr>
                <w:p w14:paraId="6B7A9B6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1.76</w:t>
                  </w:r>
                </w:p>
              </w:tc>
              <w:tc>
                <w:tcPr>
                  <w:tcW w:w="935" w:type="pct"/>
                  <w:vAlign w:val="center"/>
                </w:tcPr>
                <w:p w14:paraId="667E8BD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2.77</w:t>
                  </w:r>
                </w:p>
              </w:tc>
              <w:tc>
                <w:tcPr>
                  <w:tcW w:w="858" w:type="pct"/>
                  <w:vAlign w:val="center"/>
                </w:tcPr>
                <w:p w14:paraId="5D0A194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5.59</w:t>
                  </w:r>
                </w:p>
              </w:tc>
            </w:tr>
            <w:tr w14:paraId="797C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vAlign w:val="center"/>
                </w:tcPr>
                <w:p w14:paraId="1221D5D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粪大肠杆菌</w:t>
                  </w:r>
                </w:p>
              </w:tc>
              <w:tc>
                <w:tcPr>
                  <w:tcW w:w="643" w:type="pct"/>
                  <w:vAlign w:val="center"/>
                </w:tcPr>
                <w:p w14:paraId="6E11923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产生量</w:t>
                  </w:r>
                </w:p>
              </w:tc>
              <w:tc>
                <w:tcPr>
                  <w:tcW w:w="912" w:type="pct"/>
                  <w:vAlign w:val="center"/>
                </w:tcPr>
                <w:p w14:paraId="51B617D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47" w:type="pct"/>
                  <w:vAlign w:val="center"/>
                </w:tcPr>
                <w:p w14:paraId="6C605C3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935" w:type="pct"/>
                  <w:vAlign w:val="center"/>
                </w:tcPr>
                <w:p w14:paraId="5FDD440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2.1×10</w:t>
                  </w:r>
                  <w:r>
                    <w:rPr>
                      <w:rFonts w:hint="eastAsia" w:eastAsia="仿宋" w:cs="Times New Roman"/>
                      <w:color w:val="auto"/>
                      <w:kern w:val="0"/>
                      <w:sz w:val="21"/>
                      <w:szCs w:val="21"/>
                      <w:highlight w:val="none"/>
                      <w:vertAlign w:val="superscript"/>
                      <w:lang w:val="en-US" w:eastAsia="zh-CN"/>
                    </w:rPr>
                    <w:t>16</w:t>
                  </w:r>
                </w:p>
              </w:tc>
              <w:tc>
                <w:tcPr>
                  <w:tcW w:w="858" w:type="pct"/>
                  <w:vAlign w:val="center"/>
                </w:tcPr>
                <w:p w14:paraId="4ACDAC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2.1×10</w:t>
                  </w:r>
                  <w:r>
                    <w:rPr>
                      <w:rFonts w:hint="eastAsia" w:eastAsia="仿宋" w:cs="Times New Roman"/>
                      <w:color w:val="auto"/>
                      <w:kern w:val="0"/>
                      <w:sz w:val="21"/>
                      <w:szCs w:val="21"/>
                      <w:highlight w:val="none"/>
                      <w:vertAlign w:val="superscript"/>
                      <w:lang w:val="en-US" w:eastAsia="zh-CN"/>
                    </w:rPr>
                    <w:t>16</w:t>
                  </w:r>
                </w:p>
              </w:tc>
            </w:tr>
            <w:tr w14:paraId="18CD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vAlign w:val="center"/>
                </w:tcPr>
                <w:p w14:paraId="3046B77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总余氯</w:t>
                  </w:r>
                </w:p>
              </w:tc>
              <w:tc>
                <w:tcPr>
                  <w:tcW w:w="643" w:type="pct"/>
                  <w:vAlign w:val="center"/>
                </w:tcPr>
                <w:p w14:paraId="336979B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产生量</w:t>
                  </w:r>
                </w:p>
              </w:tc>
              <w:tc>
                <w:tcPr>
                  <w:tcW w:w="2694" w:type="pct"/>
                  <w:gridSpan w:val="3"/>
                  <w:vAlign w:val="center"/>
                </w:tcPr>
                <w:p w14:paraId="77E2E0A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1.07</w:t>
                  </w:r>
                </w:p>
              </w:tc>
              <w:tc>
                <w:tcPr>
                  <w:tcW w:w="858" w:type="pct"/>
                  <w:vAlign w:val="center"/>
                </w:tcPr>
                <w:p w14:paraId="4FD19C4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1.07</w:t>
                  </w:r>
                </w:p>
              </w:tc>
            </w:tr>
          </w:tbl>
          <w:p w14:paraId="5D51318D">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（3</w:t>
            </w:r>
            <w:r>
              <w:rPr>
                <w:rFonts w:hint="eastAsia" w:ascii="Times New Roman" w:hAnsi="Times New Roman" w:eastAsia="仿宋" w:cs="Times New Roman"/>
                <w:color w:val="auto"/>
                <w:kern w:val="2"/>
                <w:sz w:val="24"/>
                <w:szCs w:val="24"/>
                <w:highlight w:val="none"/>
                <w:lang w:val="en-US" w:eastAsia="zh-CN" w:bidi="ar-SA"/>
              </w:rPr>
              <w:t>）达标排放情况</w:t>
            </w:r>
          </w:p>
          <w:p w14:paraId="2BC8832B">
            <w:pPr>
              <w:pStyle w:val="128"/>
              <w:ind w:firstLine="482"/>
              <w:rPr>
                <w:rFonts w:hint="eastAsia"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根据常州市金坛区卫生和计划生育局金坛区人民医院、金坛区血站整体迁建项目验收检测报告（QSWT2108072），原有项目接管废水验收监测情况见下表：</w:t>
            </w:r>
          </w:p>
          <w:p w14:paraId="45C7340F">
            <w:pPr>
              <w:jc w:val="center"/>
              <w:rPr>
                <w:rFonts w:hint="default" w:eastAsia="仿宋" w:cs="Times New Roman"/>
                <w:b/>
                <w:bCs/>
                <w:color w:val="auto"/>
                <w:kern w:val="0"/>
                <w:sz w:val="22"/>
                <w:szCs w:val="22"/>
                <w:highlight w:val="none"/>
                <w:lang w:val="en-US" w:eastAsia="zh-CN"/>
              </w:rPr>
            </w:pPr>
            <w:r>
              <w:rPr>
                <w:rFonts w:hint="default" w:eastAsia="仿宋" w:cs="Times New Roman"/>
                <w:b/>
                <w:bCs/>
                <w:color w:val="auto"/>
                <w:kern w:val="0"/>
                <w:sz w:val="22"/>
                <w:szCs w:val="22"/>
                <w:highlight w:val="none"/>
                <w:lang w:val="en-US" w:eastAsia="zh-CN"/>
              </w:rPr>
              <w:t>表</w:t>
            </w:r>
            <w:r>
              <w:rPr>
                <w:rFonts w:hint="eastAsia" w:eastAsia="仿宋" w:cs="Times New Roman"/>
                <w:b/>
                <w:bCs/>
                <w:color w:val="auto"/>
                <w:kern w:val="0"/>
                <w:sz w:val="22"/>
                <w:szCs w:val="22"/>
                <w:highlight w:val="none"/>
                <w:lang w:val="en-US" w:eastAsia="zh-CN"/>
              </w:rPr>
              <w:t>2-16</w:t>
            </w:r>
            <w:r>
              <w:rPr>
                <w:rFonts w:hint="default" w:eastAsia="仿宋" w:cs="Times New Roman"/>
                <w:b/>
                <w:bCs/>
                <w:color w:val="auto"/>
                <w:kern w:val="0"/>
                <w:sz w:val="22"/>
                <w:szCs w:val="22"/>
                <w:highlight w:val="none"/>
                <w:lang w:val="en-US" w:eastAsia="zh-CN"/>
              </w:rPr>
              <w:t xml:space="preserve">  </w:t>
            </w:r>
            <w:r>
              <w:rPr>
                <w:rFonts w:hint="eastAsia" w:eastAsia="仿宋" w:cs="Times New Roman"/>
                <w:b/>
                <w:bCs/>
                <w:color w:val="auto"/>
                <w:kern w:val="0"/>
                <w:sz w:val="22"/>
                <w:szCs w:val="22"/>
                <w:highlight w:val="none"/>
                <w:lang w:val="en-US" w:eastAsia="zh-CN"/>
              </w:rPr>
              <w:t>原有项目接管废水出口浓度监测结果</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7"/>
              <w:gridCol w:w="790"/>
              <w:gridCol w:w="901"/>
              <w:gridCol w:w="901"/>
              <w:gridCol w:w="901"/>
              <w:gridCol w:w="901"/>
              <w:gridCol w:w="901"/>
              <w:gridCol w:w="901"/>
              <w:gridCol w:w="901"/>
              <w:gridCol w:w="901"/>
            </w:tblGrid>
            <w:tr w14:paraId="2A417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restart"/>
                  <w:tcBorders>
                    <w:tl2br w:val="nil"/>
                    <w:tr2bl w:val="nil"/>
                  </w:tcBorders>
                  <w:vAlign w:val="center"/>
                </w:tcPr>
                <w:p w14:paraId="3B135ED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采样地点</w:t>
                  </w:r>
                </w:p>
              </w:tc>
              <w:tc>
                <w:tcPr>
                  <w:tcW w:w="569" w:type="pct"/>
                  <w:vMerge w:val="restart"/>
                  <w:tcBorders>
                    <w:tl2br w:val="nil"/>
                    <w:tr2bl w:val="nil"/>
                  </w:tcBorders>
                  <w:vAlign w:val="center"/>
                </w:tcPr>
                <w:p w14:paraId="73DD576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检测项目</w:t>
                  </w:r>
                </w:p>
              </w:tc>
              <w:tc>
                <w:tcPr>
                  <w:tcW w:w="4014" w:type="pct"/>
                  <w:gridSpan w:val="8"/>
                  <w:tcBorders>
                    <w:tl2br w:val="nil"/>
                    <w:tr2bl w:val="nil"/>
                  </w:tcBorders>
                  <w:vAlign w:val="center"/>
                </w:tcPr>
                <w:p w14:paraId="6F9EB93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检测结果（mg/L）</w:t>
                  </w:r>
                </w:p>
              </w:tc>
            </w:tr>
            <w:tr w14:paraId="4DCEA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5E51119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p>
              </w:tc>
              <w:tc>
                <w:tcPr>
                  <w:tcW w:w="569" w:type="pct"/>
                  <w:vMerge w:val="continue"/>
                  <w:tcBorders>
                    <w:tl2br w:val="nil"/>
                    <w:tr2bl w:val="nil"/>
                  </w:tcBorders>
                  <w:vAlign w:val="center"/>
                </w:tcPr>
                <w:p w14:paraId="318E242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921" w:type="pct"/>
                  <w:gridSpan w:val="4"/>
                  <w:tcBorders>
                    <w:tl2br w:val="nil"/>
                    <w:tr2bl w:val="nil"/>
                  </w:tcBorders>
                  <w:vAlign w:val="center"/>
                </w:tcPr>
                <w:p w14:paraId="69692EA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2021.8.24</w:t>
                  </w:r>
                </w:p>
              </w:tc>
              <w:tc>
                <w:tcPr>
                  <w:tcW w:w="2092" w:type="pct"/>
                  <w:gridSpan w:val="4"/>
                  <w:tcBorders>
                    <w:tl2br w:val="nil"/>
                    <w:tr2bl w:val="nil"/>
                  </w:tcBorders>
                  <w:vAlign w:val="center"/>
                </w:tcPr>
                <w:p w14:paraId="32AD654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2021.8.25</w:t>
                  </w:r>
                </w:p>
              </w:tc>
            </w:tr>
            <w:tr w14:paraId="6B848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0A1BFC4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569" w:type="pct"/>
                  <w:vMerge w:val="continue"/>
                  <w:tcBorders>
                    <w:tl2br w:val="nil"/>
                    <w:tr2bl w:val="nil"/>
                  </w:tcBorders>
                  <w:vAlign w:val="center"/>
                </w:tcPr>
                <w:p w14:paraId="31DED9D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450" w:type="pct"/>
                  <w:tcBorders>
                    <w:tl2br w:val="nil"/>
                    <w:tr2bl w:val="nil"/>
                  </w:tcBorders>
                  <w:vAlign w:val="center"/>
                </w:tcPr>
                <w:p w14:paraId="7B81EA3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1</w:t>
                  </w:r>
                </w:p>
              </w:tc>
              <w:tc>
                <w:tcPr>
                  <w:tcW w:w="455" w:type="pct"/>
                  <w:tcBorders>
                    <w:tl2br w:val="nil"/>
                    <w:tr2bl w:val="nil"/>
                  </w:tcBorders>
                  <w:vAlign w:val="center"/>
                </w:tcPr>
                <w:p w14:paraId="3647F9F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2</w:t>
                  </w:r>
                </w:p>
              </w:tc>
              <w:tc>
                <w:tcPr>
                  <w:tcW w:w="456" w:type="pct"/>
                  <w:tcBorders>
                    <w:tl2br w:val="nil"/>
                    <w:tr2bl w:val="nil"/>
                  </w:tcBorders>
                  <w:vAlign w:val="center"/>
                </w:tcPr>
                <w:p w14:paraId="3EC8E2C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3</w:t>
                  </w:r>
                </w:p>
              </w:tc>
              <w:tc>
                <w:tcPr>
                  <w:tcW w:w="559" w:type="pct"/>
                  <w:tcBorders>
                    <w:tl2br w:val="nil"/>
                    <w:tr2bl w:val="nil"/>
                  </w:tcBorders>
                  <w:vAlign w:val="center"/>
                </w:tcPr>
                <w:p w14:paraId="42A96C9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日均值</w:t>
                  </w:r>
                </w:p>
              </w:tc>
              <w:tc>
                <w:tcPr>
                  <w:tcW w:w="491" w:type="pct"/>
                  <w:tcBorders>
                    <w:tl2br w:val="nil"/>
                    <w:tr2bl w:val="nil"/>
                  </w:tcBorders>
                  <w:vAlign w:val="center"/>
                </w:tcPr>
                <w:p w14:paraId="32F2C0F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1</w:t>
                  </w:r>
                </w:p>
              </w:tc>
              <w:tc>
                <w:tcPr>
                  <w:tcW w:w="491" w:type="pct"/>
                  <w:tcBorders>
                    <w:tl2br w:val="nil"/>
                    <w:tr2bl w:val="nil"/>
                  </w:tcBorders>
                  <w:vAlign w:val="center"/>
                </w:tcPr>
                <w:p w14:paraId="4AE5FC8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2</w:t>
                  </w:r>
                </w:p>
              </w:tc>
              <w:tc>
                <w:tcPr>
                  <w:tcW w:w="566" w:type="pct"/>
                  <w:tcBorders>
                    <w:tl2br w:val="nil"/>
                    <w:tr2bl w:val="nil"/>
                  </w:tcBorders>
                  <w:vAlign w:val="center"/>
                </w:tcPr>
                <w:p w14:paraId="765F173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3</w:t>
                  </w:r>
                </w:p>
              </w:tc>
              <w:tc>
                <w:tcPr>
                  <w:tcW w:w="543" w:type="pct"/>
                  <w:tcBorders>
                    <w:tl2br w:val="nil"/>
                    <w:tr2bl w:val="nil"/>
                  </w:tcBorders>
                  <w:vAlign w:val="center"/>
                </w:tcPr>
                <w:p w14:paraId="7ECDC91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日均值</w:t>
                  </w:r>
                </w:p>
              </w:tc>
            </w:tr>
            <w:tr w14:paraId="11596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16" w:type="pct"/>
                  <w:vMerge w:val="restart"/>
                  <w:tcBorders>
                    <w:tl2br w:val="nil"/>
                    <w:tr2bl w:val="nil"/>
                  </w:tcBorders>
                  <w:vAlign w:val="center"/>
                </w:tcPr>
                <w:p w14:paraId="72793C2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污水处理站出口</w:t>
                  </w:r>
                </w:p>
              </w:tc>
              <w:tc>
                <w:tcPr>
                  <w:tcW w:w="569" w:type="pct"/>
                  <w:tcBorders>
                    <w:tl2br w:val="nil"/>
                    <w:tr2bl w:val="nil"/>
                  </w:tcBorders>
                  <w:vAlign w:val="center"/>
                </w:tcPr>
                <w:p w14:paraId="3B907AB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pH</w:t>
                  </w:r>
                </w:p>
              </w:tc>
              <w:tc>
                <w:tcPr>
                  <w:tcW w:w="450" w:type="pct"/>
                  <w:tcBorders>
                    <w:tl2br w:val="nil"/>
                    <w:tr2bl w:val="nil"/>
                  </w:tcBorders>
                  <w:vAlign w:val="center"/>
                </w:tcPr>
                <w:p w14:paraId="05888DA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7.6</w:t>
                  </w:r>
                </w:p>
              </w:tc>
              <w:tc>
                <w:tcPr>
                  <w:tcW w:w="455" w:type="pct"/>
                  <w:tcBorders>
                    <w:tl2br w:val="nil"/>
                    <w:tr2bl w:val="nil"/>
                  </w:tcBorders>
                  <w:vAlign w:val="center"/>
                </w:tcPr>
                <w:p w14:paraId="4AEAF97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7.6</w:t>
                  </w:r>
                </w:p>
              </w:tc>
              <w:tc>
                <w:tcPr>
                  <w:tcW w:w="456" w:type="pct"/>
                  <w:tcBorders>
                    <w:tl2br w:val="nil"/>
                    <w:tr2bl w:val="nil"/>
                  </w:tcBorders>
                  <w:vAlign w:val="center"/>
                </w:tcPr>
                <w:p w14:paraId="5BC5380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7.6</w:t>
                  </w:r>
                </w:p>
              </w:tc>
              <w:tc>
                <w:tcPr>
                  <w:tcW w:w="559" w:type="pct"/>
                  <w:tcBorders>
                    <w:tl2br w:val="nil"/>
                    <w:tr2bl w:val="nil"/>
                  </w:tcBorders>
                  <w:vAlign w:val="center"/>
                </w:tcPr>
                <w:p w14:paraId="4A2ED26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7.6</w:t>
                  </w:r>
                </w:p>
              </w:tc>
              <w:tc>
                <w:tcPr>
                  <w:tcW w:w="491" w:type="pct"/>
                  <w:tcBorders>
                    <w:tl2br w:val="nil"/>
                    <w:tr2bl w:val="nil"/>
                  </w:tcBorders>
                  <w:vAlign w:val="center"/>
                </w:tcPr>
                <w:p w14:paraId="04E5E57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7.6</w:t>
                  </w:r>
                </w:p>
              </w:tc>
              <w:tc>
                <w:tcPr>
                  <w:tcW w:w="491" w:type="pct"/>
                  <w:tcBorders>
                    <w:tl2br w:val="nil"/>
                    <w:tr2bl w:val="nil"/>
                  </w:tcBorders>
                  <w:vAlign w:val="center"/>
                </w:tcPr>
                <w:p w14:paraId="392F262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7.6</w:t>
                  </w:r>
                </w:p>
              </w:tc>
              <w:tc>
                <w:tcPr>
                  <w:tcW w:w="566" w:type="pct"/>
                  <w:tcBorders>
                    <w:tl2br w:val="nil"/>
                    <w:tr2bl w:val="nil"/>
                  </w:tcBorders>
                  <w:vAlign w:val="center"/>
                </w:tcPr>
                <w:p w14:paraId="1BAFC60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7.6</w:t>
                  </w:r>
                </w:p>
              </w:tc>
              <w:tc>
                <w:tcPr>
                  <w:tcW w:w="543" w:type="pct"/>
                  <w:tcBorders>
                    <w:tl2br w:val="nil"/>
                    <w:tr2bl w:val="nil"/>
                  </w:tcBorders>
                  <w:vAlign w:val="center"/>
                </w:tcPr>
                <w:p w14:paraId="7E82568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7.6</w:t>
                  </w:r>
                </w:p>
              </w:tc>
            </w:tr>
            <w:tr w14:paraId="1E14A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2D02391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252C344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化学需氧量</w:t>
                  </w:r>
                </w:p>
              </w:tc>
              <w:tc>
                <w:tcPr>
                  <w:tcW w:w="450" w:type="pct"/>
                  <w:tcBorders>
                    <w:tl2br w:val="nil"/>
                    <w:tr2bl w:val="nil"/>
                  </w:tcBorders>
                  <w:vAlign w:val="center"/>
                </w:tcPr>
                <w:p w14:paraId="7083277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22</w:t>
                  </w:r>
                </w:p>
              </w:tc>
              <w:tc>
                <w:tcPr>
                  <w:tcW w:w="455" w:type="pct"/>
                  <w:tcBorders>
                    <w:tl2br w:val="nil"/>
                    <w:tr2bl w:val="nil"/>
                  </w:tcBorders>
                  <w:vAlign w:val="center"/>
                </w:tcPr>
                <w:p w14:paraId="694FBA3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23</w:t>
                  </w:r>
                </w:p>
              </w:tc>
              <w:tc>
                <w:tcPr>
                  <w:tcW w:w="456" w:type="pct"/>
                  <w:tcBorders>
                    <w:tl2br w:val="nil"/>
                    <w:tr2bl w:val="nil"/>
                  </w:tcBorders>
                  <w:vAlign w:val="center"/>
                </w:tcPr>
                <w:p w14:paraId="0F7D381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21</w:t>
                  </w:r>
                </w:p>
              </w:tc>
              <w:tc>
                <w:tcPr>
                  <w:tcW w:w="559" w:type="pct"/>
                  <w:tcBorders>
                    <w:tl2br w:val="nil"/>
                    <w:tr2bl w:val="nil"/>
                  </w:tcBorders>
                  <w:vAlign w:val="center"/>
                </w:tcPr>
                <w:p w14:paraId="781752D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22</w:t>
                  </w:r>
                </w:p>
              </w:tc>
              <w:tc>
                <w:tcPr>
                  <w:tcW w:w="491" w:type="pct"/>
                  <w:tcBorders>
                    <w:tl2br w:val="nil"/>
                    <w:tr2bl w:val="nil"/>
                  </w:tcBorders>
                  <w:vAlign w:val="center"/>
                </w:tcPr>
                <w:p w14:paraId="697A7E4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w:t>
                  </w:r>
                </w:p>
              </w:tc>
              <w:tc>
                <w:tcPr>
                  <w:tcW w:w="491" w:type="pct"/>
                  <w:tcBorders>
                    <w:tl2br w:val="nil"/>
                    <w:tr2bl w:val="nil"/>
                  </w:tcBorders>
                  <w:vAlign w:val="center"/>
                </w:tcPr>
                <w:p w14:paraId="4359465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23</w:t>
                  </w:r>
                </w:p>
              </w:tc>
              <w:tc>
                <w:tcPr>
                  <w:tcW w:w="566" w:type="pct"/>
                  <w:tcBorders>
                    <w:tl2br w:val="nil"/>
                    <w:tr2bl w:val="nil"/>
                  </w:tcBorders>
                  <w:vAlign w:val="center"/>
                </w:tcPr>
                <w:p w14:paraId="65288F3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19</w:t>
                  </w:r>
                </w:p>
              </w:tc>
              <w:tc>
                <w:tcPr>
                  <w:tcW w:w="543" w:type="pct"/>
                  <w:tcBorders>
                    <w:tl2br w:val="nil"/>
                    <w:tr2bl w:val="nil"/>
                  </w:tcBorders>
                  <w:vAlign w:val="center"/>
                </w:tcPr>
                <w:p w14:paraId="76C78D9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21</w:t>
                  </w:r>
                </w:p>
              </w:tc>
            </w:tr>
            <w:tr w14:paraId="2D047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5FAD7B6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6695FEE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五日生化需氧量</w:t>
                  </w:r>
                </w:p>
              </w:tc>
              <w:tc>
                <w:tcPr>
                  <w:tcW w:w="450" w:type="pct"/>
                  <w:tcBorders>
                    <w:tl2br w:val="nil"/>
                    <w:tr2bl w:val="nil"/>
                  </w:tcBorders>
                  <w:vAlign w:val="center"/>
                </w:tcPr>
                <w:p w14:paraId="5E9B906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7.5</w:t>
                  </w:r>
                </w:p>
              </w:tc>
              <w:tc>
                <w:tcPr>
                  <w:tcW w:w="455" w:type="pct"/>
                  <w:tcBorders>
                    <w:tl2br w:val="nil"/>
                    <w:tr2bl w:val="nil"/>
                  </w:tcBorders>
                  <w:vAlign w:val="center"/>
                </w:tcPr>
                <w:p w14:paraId="781AF2F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7.4</w:t>
                  </w:r>
                </w:p>
              </w:tc>
              <w:tc>
                <w:tcPr>
                  <w:tcW w:w="456" w:type="pct"/>
                  <w:tcBorders>
                    <w:tl2br w:val="nil"/>
                    <w:tr2bl w:val="nil"/>
                  </w:tcBorders>
                  <w:vAlign w:val="center"/>
                </w:tcPr>
                <w:p w14:paraId="17E1B0D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7.5</w:t>
                  </w:r>
                </w:p>
              </w:tc>
              <w:tc>
                <w:tcPr>
                  <w:tcW w:w="559" w:type="pct"/>
                  <w:tcBorders>
                    <w:tl2br w:val="nil"/>
                    <w:tr2bl w:val="nil"/>
                  </w:tcBorders>
                  <w:vAlign w:val="center"/>
                </w:tcPr>
                <w:p w14:paraId="3F9BDFA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7.5</w:t>
                  </w:r>
                </w:p>
              </w:tc>
              <w:tc>
                <w:tcPr>
                  <w:tcW w:w="491" w:type="pct"/>
                  <w:tcBorders>
                    <w:tl2br w:val="nil"/>
                    <w:tr2bl w:val="nil"/>
                  </w:tcBorders>
                  <w:vAlign w:val="center"/>
                </w:tcPr>
                <w:p w14:paraId="33388A8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7.4</w:t>
                  </w:r>
                </w:p>
              </w:tc>
              <w:tc>
                <w:tcPr>
                  <w:tcW w:w="491" w:type="pct"/>
                  <w:tcBorders>
                    <w:tl2br w:val="nil"/>
                    <w:tr2bl w:val="nil"/>
                  </w:tcBorders>
                  <w:vAlign w:val="center"/>
                </w:tcPr>
                <w:p w14:paraId="61DDDF7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7.2</w:t>
                  </w:r>
                </w:p>
              </w:tc>
              <w:tc>
                <w:tcPr>
                  <w:tcW w:w="566" w:type="pct"/>
                  <w:tcBorders>
                    <w:tl2br w:val="nil"/>
                    <w:tr2bl w:val="nil"/>
                  </w:tcBorders>
                  <w:vAlign w:val="center"/>
                </w:tcPr>
                <w:p w14:paraId="509E322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7.9</w:t>
                  </w:r>
                </w:p>
              </w:tc>
              <w:tc>
                <w:tcPr>
                  <w:tcW w:w="543" w:type="pct"/>
                  <w:tcBorders>
                    <w:tl2br w:val="nil"/>
                    <w:tr2bl w:val="nil"/>
                  </w:tcBorders>
                  <w:vAlign w:val="center"/>
                </w:tcPr>
                <w:p w14:paraId="7514C1D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7.5</w:t>
                  </w:r>
                </w:p>
              </w:tc>
            </w:tr>
            <w:tr w14:paraId="060E4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4CBAA1C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16F72A0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悬浮物</w:t>
                  </w:r>
                </w:p>
              </w:tc>
              <w:tc>
                <w:tcPr>
                  <w:tcW w:w="450" w:type="pct"/>
                  <w:tcBorders>
                    <w:tl2br w:val="nil"/>
                    <w:tr2bl w:val="nil"/>
                  </w:tcBorders>
                  <w:vAlign w:val="center"/>
                </w:tcPr>
                <w:p w14:paraId="18F741B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28</w:t>
                  </w:r>
                </w:p>
              </w:tc>
              <w:tc>
                <w:tcPr>
                  <w:tcW w:w="455" w:type="pct"/>
                  <w:tcBorders>
                    <w:tl2br w:val="nil"/>
                    <w:tr2bl w:val="nil"/>
                  </w:tcBorders>
                  <w:vAlign w:val="center"/>
                </w:tcPr>
                <w:p w14:paraId="29C8D31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37</w:t>
                  </w:r>
                </w:p>
              </w:tc>
              <w:tc>
                <w:tcPr>
                  <w:tcW w:w="456" w:type="pct"/>
                  <w:tcBorders>
                    <w:tl2br w:val="nil"/>
                    <w:tr2bl w:val="nil"/>
                  </w:tcBorders>
                  <w:vAlign w:val="center"/>
                </w:tcPr>
                <w:p w14:paraId="6E1B7F5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31</w:t>
                  </w:r>
                </w:p>
              </w:tc>
              <w:tc>
                <w:tcPr>
                  <w:tcW w:w="559" w:type="pct"/>
                  <w:tcBorders>
                    <w:tl2br w:val="nil"/>
                    <w:tr2bl w:val="nil"/>
                  </w:tcBorders>
                  <w:vAlign w:val="center"/>
                </w:tcPr>
                <w:p w14:paraId="275BE84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32</w:t>
                  </w:r>
                </w:p>
              </w:tc>
              <w:tc>
                <w:tcPr>
                  <w:tcW w:w="491" w:type="pct"/>
                  <w:tcBorders>
                    <w:tl2br w:val="nil"/>
                    <w:tr2bl w:val="nil"/>
                  </w:tcBorders>
                  <w:vAlign w:val="center"/>
                </w:tcPr>
                <w:p w14:paraId="0FADD80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33</w:t>
                  </w:r>
                </w:p>
              </w:tc>
              <w:tc>
                <w:tcPr>
                  <w:tcW w:w="491" w:type="pct"/>
                  <w:tcBorders>
                    <w:tl2br w:val="nil"/>
                    <w:tr2bl w:val="nil"/>
                  </w:tcBorders>
                  <w:vAlign w:val="center"/>
                </w:tcPr>
                <w:p w14:paraId="6C7870B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40</w:t>
                  </w:r>
                </w:p>
              </w:tc>
              <w:tc>
                <w:tcPr>
                  <w:tcW w:w="566" w:type="pct"/>
                  <w:tcBorders>
                    <w:tl2br w:val="nil"/>
                    <w:tr2bl w:val="nil"/>
                  </w:tcBorders>
                  <w:vAlign w:val="center"/>
                </w:tcPr>
                <w:p w14:paraId="48139B2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36</w:t>
                  </w:r>
                </w:p>
              </w:tc>
              <w:tc>
                <w:tcPr>
                  <w:tcW w:w="543" w:type="pct"/>
                  <w:tcBorders>
                    <w:tl2br w:val="nil"/>
                    <w:tr2bl w:val="nil"/>
                  </w:tcBorders>
                  <w:vAlign w:val="center"/>
                </w:tcPr>
                <w:p w14:paraId="45DB451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36</w:t>
                  </w:r>
                </w:p>
              </w:tc>
            </w:tr>
            <w:tr w14:paraId="58847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2695CA7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1D9AFAE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氨氮</w:t>
                  </w:r>
                </w:p>
              </w:tc>
              <w:tc>
                <w:tcPr>
                  <w:tcW w:w="450" w:type="pct"/>
                  <w:tcBorders>
                    <w:tl2br w:val="nil"/>
                    <w:tr2bl w:val="nil"/>
                  </w:tcBorders>
                  <w:vAlign w:val="center"/>
                </w:tcPr>
                <w:p w14:paraId="280F12C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6.07</w:t>
                  </w:r>
                </w:p>
              </w:tc>
              <w:tc>
                <w:tcPr>
                  <w:tcW w:w="455" w:type="pct"/>
                  <w:tcBorders>
                    <w:tl2br w:val="nil"/>
                    <w:tr2bl w:val="nil"/>
                  </w:tcBorders>
                  <w:vAlign w:val="center"/>
                </w:tcPr>
                <w:p w14:paraId="3F17EF2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6.64</w:t>
                  </w:r>
                </w:p>
              </w:tc>
              <w:tc>
                <w:tcPr>
                  <w:tcW w:w="456" w:type="pct"/>
                  <w:tcBorders>
                    <w:tl2br w:val="nil"/>
                    <w:tr2bl w:val="nil"/>
                  </w:tcBorders>
                  <w:vAlign w:val="center"/>
                </w:tcPr>
                <w:p w14:paraId="41454E1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6.92</w:t>
                  </w:r>
                </w:p>
              </w:tc>
              <w:tc>
                <w:tcPr>
                  <w:tcW w:w="559" w:type="pct"/>
                  <w:tcBorders>
                    <w:tl2br w:val="nil"/>
                    <w:tr2bl w:val="nil"/>
                  </w:tcBorders>
                  <w:vAlign w:val="center"/>
                </w:tcPr>
                <w:p w14:paraId="398E221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6.54</w:t>
                  </w:r>
                </w:p>
              </w:tc>
              <w:tc>
                <w:tcPr>
                  <w:tcW w:w="491" w:type="pct"/>
                  <w:tcBorders>
                    <w:tl2br w:val="nil"/>
                    <w:tr2bl w:val="nil"/>
                  </w:tcBorders>
                  <w:vAlign w:val="center"/>
                </w:tcPr>
                <w:p w14:paraId="6A3089E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6.89</w:t>
                  </w:r>
                </w:p>
              </w:tc>
              <w:tc>
                <w:tcPr>
                  <w:tcW w:w="491" w:type="pct"/>
                  <w:tcBorders>
                    <w:tl2br w:val="nil"/>
                    <w:tr2bl w:val="nil"/>
                  </w:tcBorders>
                  <w:vAlign w:val="center"/>
                </w:tcPr>
                <w:p w14:paraId="091165A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7.49</w:t>
                  </w:r>
                </w:p>
              </w:tc>
              <w:tc>
                <w:tcPr>
                  <w:tcW w:w="566" w:type="pct"/>
                  <w:tcBorders>
                    <w:tl2br w:val="nil"/>
                    <w:tr2bl w:val="nil"/>
                  </w:tcBorders>
                  <w:vAlign w:val="center"/>
                </w:tcPr>
                <w:p w14:paraId="53EA759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7.14</w:t>
                  </w:r>
                </w:p>
              </w:tc>
              <w:tc>
                <w:tcPr>
                  <w:tcW w:w="543" w:type="pct"/>
                  <w:tcBorders>
                    <w:tl2br w:val="nil"/>
                    <w:tr2bl w:val="nil"/>
                  </w:tcBorders>
                  <w:vAlign w:val="center"/>
                </w:tcPr>
                <w:p w14:paraId="2B47CF0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7.17</w:t>
                  </w:r>
                </w:p>
              </w:tc>
            </w:tr>
            <w:tr w14:paraId="17B88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0CAA7D5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669E075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总磷</w:t>
                  </w:r>
                </w:p>
              </w:tc>
              <w:tc>
                <w:tcPr>
                  <w:tcW w:w="450" w:type="pct"/>
                  <w:tcBorders>
                    <w:tl2br w:val="nil"/>
                    <w:tr2bl w:val="nil"/>
                  </w:tcBorders>
                  <w:vAlign w:val="center"/>
                </w:tcPr>
                <w:p w14:paraId="448E4E6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0.68</w:t>
                  </w:r>
                </w:p>
              </w:tc>
              <w:tc>
                <w:tcPr>
                  <w:tcW w:w="455" w:type="pct"/>
                  <w:tcBorders>
                    <w:tl2br w:val="nil"/>
                    <w:tr2bl w:val="nil"/>
                  </w:tcBorders>
                  <w:vAlign w:val="center"/>
                </w:tcPr>
                <w:p w14:paraId="057D8A0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0.69</w:t>
                  </w:r>
                </w:p>
              </w:tc>
              <w:tc>
                <w:tcPr>
                  <w:tcW w:w="456" w:type="pct"/>
                  <w:tcBorders>
                    <w:tl2br w:val="nil"/>
                    <w:tr2bl w:val="nil"/>
                  </w:tcBorders>
                  <w:vAlign w:val="center"/>
                </w:tcPr>
                <w:p w14:paraId="5DFBE54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0.68</w:t>
                  </w:r>
                </w:p>
              </w:tc>
              <w:tc>
                <w:tcPr>
                  <w:tcW w:w="559" w:type="pct"/>
                  <w:tcBorders>
                    <w:tl2br w:val="nil"/>
                    <w:tr2bl w:val="nil"/>
                  </w:tcBorders>
                  <w:vAlign w:val="center"/>
                </w:tcPr>
                <w:p w14:paraId="792654E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0.68</w:t>
                  </w:r>
                </w:p>
              </w:tc>
              <w:tc>
                <w:tcPr>
                  <w:tcW w:w="491" w:type="pct"/>
                  <w:tcBorders>
                    <w:tl2br w:val="nil"/>
                    <w:tr2bl w:val="nil"/>
                  </w:tcBorders>
                  <w:vAlign w:val="center"/>
                </w:tcPr>
                <w:p w14:paraId="6AA0080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0.68</w:t>
                  </w:r>
                </w:p>
              </w:tc>
              <w:tc>
                <w:tcPr>
                  <w:tcW w:w="491" w:type="pct"/>
                  <w:tcBorders>
                    <w:tl2br w:val="nil"/>
                    <w:tr2bl w:val="nil"/>
                  </w:tcBorders>
                  <w:vAlign w:val="center"/>
                </w:tcPr>
                <w:p w14:paraId="1BD00FB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0.69</w:t>
                  </w:r>
                </w:p>
              </w:tc>
              <w:tc>
                <w:tcPr>
                  <w:tcW w:w="566" w:type="pct"/>
                  <w:tcBorders>
                    <w:tl2br w:val="nil"/>
                    <w:tr2bl w:val="nil"/>
                  </w:tcBorders>
                  <w:vAlign w:val="center"/>
                </w:tcPr>
                <w:p w14:paraId="7C9B4F9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0.70</w:t>
                  </w:r>
                </w:p>
              </w:tc>
              <w:tc>
                <w:tcPr>
                  <w:tcW w:w="543" w:type="pct"/>
                  <w:tcBorders>
                    <w:tl2br w:val="nil"/>
                    <w:tr2bl w:val="nil"/>
                  </w:tcBorders>
                  <w:vAlign w:val="center"/>
                </w:tcPr>
                <w:p w14:paraId="7705EA4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0.69</w:t>
                  </w:r>
                </w:p>
              </w:tc>
            </w:tr>
            <w:tr w14:paraId="07A95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2F72549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4A439CE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总氮</w:t>
                  </w:r>
                </w:p>
              </w:tc>
              <w:tc>
                <w:tcPr>
                  <w:tcW w:w="450" w:type="pct"/>
                  <w:tcBorders>
                    <w:tl2br w:val="nil"/>
                    <w:tr2bl w:val="nil"/>
                  </w:tcBorders>
                  <w:vAlign w:val="center"/>
                </w:tcPr>
                <w:p w14:paraId="1786FC5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9.46</w:t>
                  </w:r>
                </w:p>
              </w:tc>
              <w:tc>
                <w:tcPr>
                  <w:tcW w:w="455" w:type="pct"/>
                  <w:tcBorders>
                    <w:tl2br w:val="nil"/>
                    <w:tr2bl w:val="nil"/>
                  </w:tcBorders>
                  <w:vAlign w:val="center"/>
                </w:tcPr>
                <w:p w14:paraId="33511B2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8.93</w:t>
                  </w:r>
                </w:p>
              </w:tc>
              <w:tc>
                <w:tcPr>
                  <w:tcW w:w="456" w:type="pct"/>
                  <w:tcBorders>
                    <w:tl2br w:val="nil"/>
                    <w:tr2bl w:val="nil"/>
                  </w:tcBorders>
                  <w:vAlign w:val="center"/>
                </w:tcPr>
                <w:p w14:paraId="546EE6C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8.52</w:t>
                  </w:r>
                </w:p>
              </w:tc>
              <w:tc>
                <w:tcPr>
                  <w:tcW w:w="559" w:type="pct"/>
                  <w:tcBorders>
                    <w:tl2br w:val="nil"/>
                    <w:tr2bl w:val="nil"/>
                  </w:tcBorders>
                  <w:vAlign w:val="center"/>
                </w:tcPr>
                <w:p w14:paraId="36EDAC1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8.97</w:t>
                  </w:r>
                </w:p>
              </w:tc>
              <w:tc>
                <w:tcPr>
                  <w:tcW w:w="491" w:type="pct"/>
                  <w:tcBorders>
                    <w:tl2br w:val="nil"/>
                    <w:tr2bl w:val="nil"/>
                  </w:tcBorders>
                  <w:vAlign w:val="center"/>
                </w:tcPr>
                <w:p w14:paraId="300C1FD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10.4</w:t>
                  </w:r>
                </w:p>
              </w:tc>
              <w:tc>
                <w:tcPr>
                  <w:tcW w:w="491" w:type="pct"/>
                  <w:tcBorders>
                    <w:tl2br w:val="nil"/>
                    <w:tr2bl w:val="nil"/>
                  </w:tcBorders>
                  <w:vAlign w:val="center"/>
                </w:tcPr>
                <w:p w14:paraId="1EFF4EF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11.7</w:t>
                  </w:r>
                </w:p>
              </w:tc>
              <w:tc>
                <w:tcPr>
                  <w:tcW w:w="566" w:type="pct"/>
                  <w:tcBorders>
                    <w:tl2br w:val="nil"/>
                    <w:tr2bl w:val="nil"/>
                  </w:tcBorders>
                  <w:vAlign w:val="center"/>
                </w:tcPr>
                <w:p w14:paraId="0134C1A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10.7</w:t>
                  </w:r>
                </w:p>
              </w:tc>
              <w:tc>
                <w:tcPr>
                  <w:tcW w:w="543" w:type="pct"/>
                  <w:tcBorders>
                    <w:tl2br w:val="nil"/>
                    <w:tr2bl w:val="nil"/>
                  </w:tcBorders>
                  <w:vAlign w:val="center"/>
                </w:tcPr>
                <w:p w14:paraId="0C71BED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10.9</w:t>
                  </w:r>
                </w:p>
              </w:tc>
            </w:tr>
            <w:tr w14:paraId="2E148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6C29FA4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6D52474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动植物油类</w:t>
                  </w:r>
                </w:p>
              </w:tc>
              <w:tc>
                <w:tcPr>
                  <w:tcW w:w="450" w:type="pct"/>
                  <w:tcBorders>
                    <w:tl2br w:val="nil"/>
                    <w:tr2bl w:val="nil"/>
                  </w:tcBorders>
                  <w:vAlign w:val="center"/>
                </w:tcPr>
                <w:p w14:paraId="5255A2F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0.11</w:t>
                  </w:r>
                </w:p>
              </w:tc>
              <w:tc>
                <w:tcPr>
                  <w:tcW w:w="455" w:type="pct"/>
                  <w:tcBorders>
                    <w:tl2br w:val="nil"/>
                    <w:tr2bl w:val="nil"/>
                  </w:tcBorders>
                  <w:vAlign w:val="center"/>
                </w:tcPr>
                <w:p w14:paraId="50651FA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0.18</w:t>
                  </w:r>
                </w:p>
              </w:tc>
              <w:tc>
                <w:tcPr>
                  <w:tcW w:w="456" w:type="pct"/>
                  <w:tcBorders>
                    <w:tl2br w:val="nil"/>
                    <w:tr2bl w:val="nil"/>
                  </w:tcBorders>
                  <w:vAlign w:val="center"/>
                </w:tcPr>
                <w:p w14:paraId="47D495A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0.12</w:t>
                  </w:r>
                </w:p>
              </w:tc>
              <w:tc>
                <w:tcPr>
                  <w:tcW w:w="559" w:type="pct"/>
                  <w:tcBorders>
                    <w:tl2br w:val="nil"/>
                    <w:tr2bl w:val="nil"/>
                  </w:tcBorders>
                  <w:vAlign w:val="center"/>
                </w:tcPr>
                <w:p w14:paraId="3C8DDF5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0.14</w:t>
                  </w:r>
                </w:p>
              </w:tc>
              <w:tc>
                <w:tcPr>
                  <w:tcW w:w="491" w:type="pct"/>
                  <w:tcBorders>
                    <w:tl2br w:val="nil"/>
                    <w:tr2bl w:val="nil"/>
                  </w:tcBorders>
                  <w:vAlign w:val="center"/>
                </w:tcPr>
                <w:p w14:paraId="4BAE2DE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0.18</w:t>
                  </w:r>
                </w:p>
              </w:tc>
              <w:tc>
                <w:tcPr>
                  <w:tcW w:w="491" w:type="pct"/>
                  <w:tcBorders>
                    <w:tl2br w:val="nil"/>
                    <w:tr2bl w:val="nil"/>
                  </w:tcBorders>
                  <w:vAlign w:val="center"/>
                </w:tcPr>
                <w:p w14:paraId="638AF52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0.14</w:t>
                  </w:r>
                </w:p>
              </w:tc>
              <w:tc>
                <w:tcPr>
                  <w:tcW w:w="566" w:type="pct"/>
                  <w:tcBorders>
                    <w:tl2br w:val="nil"/>
                    <w:tr2bl w:val="nil"/>
                  </w:tcBorders>
                  <w:vAlign w:val="center"/>
                </w:tcPr>
                <w:p w14:paraId="4289A29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0.23</w:t>
                  </w:r>
                </w:p>
              </w:tc>
              <w:tc>
                <w:tcPr>
                  <w:tcW w:w="543" w:type="pct"/>
                  <w:tcBorders>
                    <w:tl2br w:val="nil"/>
                    <w:tr2bl w:val="nil"/>
                  </w:tcBorders>
                  <w:vAlign w:val="center"/>
                </w:tcPr>
                <w:p w14:paraId="4055D38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0.18</w:t>
                  </w:r>
                </w:p>
              </w:tc>
            </w:tr>
            <w:tr w14:paraId="3B2AF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6C62964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39031F2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石油类</w:t>
                  </w:r>
                </w:p>
              </w:tc>
              <w:tc>
                <w:tcPr>
                  <w:tcW w:w="450" w:type="pct"/>
                  <w:tcBorders>
                    <w:tl2br w:val="nil"/>
                    <w:tr2bl w:val="nil"/>
                  </w:tcBorders>
                  <w:vAlign w:val="center"/>
                </w:tcPr>
                <w:p w14:paraId="5045D82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0.17</w:t>
                  </w:r>
                </w:p>
              </w:tc>
              <w:tc>
                <w:tcPr>
                  <w:tcW w:w="455" w:type="pct"/>
                  <w:tcBorders>
                    <w:tl2br w:val="nil"/>
                    <w:tr2bl w:val="nil"/>
                  </w:tcBorders>
                  <w:vAlign w:val="center"/>
                </w:tcPr>
                <w:p w14:paraId="126182D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0.21</w:t>
                  </w:r>
                </w:p>
              </w:tc>
              <w:tc>
                <w:tcPr>
                  <w:tcW w:w="456" w:type="pct"/>
                  <w:tcBorders>
                    <w:tl2br w:val="nil"/>
                    <w:tr2bl w:val="nil"/>
                  </w:tcBorders>
                  <w:vAlign w:val="center"/>
                </w:tcPr>
                <w:p w14:paraId="39D887A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0.23</w:t>
                  </w:r>
                </w:p>
              </w:tc>
              <w:tc>
                <w:tcPr>
                  <w:tcW w:w="559" w:type="pct"/>
                  <w:tcBorders>
                    <w:tl2br w:val="nil"/>
                    <w:tr2bl w:val="nil"/>
                  </w:tcBorders>
                  <w:vAlign w:val="center"/>
                </w:tcPr>
                <w:p w14:paraId="35B7046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0.20</w:t>
                  </w:r>
                </w:p>
              </w:tc>
              <w:tc>
                <w:tcPr>
                  <w:tcW w:w="491" w:type="pct"/>
                  <w:tcBorders>
                    <w:tl2br w:val="nil"/>
                    <w:tr2bl w:val="nil"/>
                  </w:tcBorders>
                  <w:vAlign w:val="center"/>
                </w:tcPr>
                <w:p w14:paraId="09F4600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0.23</w:t>
                  </w:r>
                </w:p>
              </w:tc>
              <w:tc>
                <w:tcPr>
                  <w:tcW w:w="491" w:type="pct"/>
                  <w:tcBorders>
                    <w:tl2br w:val="nil"/>
                    <w:tr2bl w:val="nil"/>
                  </w:tcBorders>
                  <w:vAlign w:val="center"/>
                </w:tcPr>
                <w:p w14:paraId="5E37B30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0.27</w:t>
                  </w:r>
                </w:p>
              </w:tc>
              <w:tc>
                <w:tcPr>
                  <w:tcW w:w="566" w:type="pct"/>
                  <w:tcBorders>
                    <w:tl2br w:val="nil"/>
                    <w:tr2bl w:val="nil"/>
                  </w:tcBorders>
                  <w:vAlign w:val="center"/>
                </w:tcPr>
                <w:p w14:paraId="0B7B291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0.17</w:t>
                  </w:r>
                </w:p>
              </w:tc>
              <w:tc>
                <w:tcPr>
                  <w:tcW w:w="543" w:type="pct"/>
                  <w:tcBorders>
                    <w:tl2br w:val="nil"/>
                    <w:tr2bl w:val="nil"/>
                  </w:tcBorders>
                  <w:vAlign w:val="center"/>
                </w:tcPr>
                <w:p w14:paraId="4DC46EE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0.22</w:t>
                  </w:r>
                </w:p>
              </w:tc>
            </w:tr>
            <w:tr w14:paraId="62EA9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3E49AF3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6828484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色度（倍）</w:t>
                  </w:r>
                </w:p>
              </w:tc>
              <w:tc>
                <w:tcPr>
                  <w:tcW w:w="450" w:type="pct"/>
                  <w:tcBorders>
                    <w:tl2br w:val="nil"/>
                    <w:tr2bl w:val="nil"/>
                  </w:tcBorders>
                  <w:vAlign w:val="center"/>
                </w:tcPr>
                <w:p w14:paraId="097868A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c>
                <w:tcPr>
                  <w:tcW w:w="455" w:type="pct"/>
                  <w:tcBorders>
                    <w:tl2br w:val="nil"/>
                    <w:tr2bl w:val="nil"/>
                  </w:tcBorders>
                  <w:vAlign w:val="center"/>
                </w:tcPr>
                <w:p w14:paraId="69AC01E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c>
                <w:tcPr>
                  <w:tcW w:w="456" w:type="pct"/>
                  <w:tcBorders>
                    <w:tl2br w:val="nil"/>
                    <w:tr2bl w:val="nil"/>
                  </w:tcBorders>
                  <w:vAlign w:val="center"/>
                </w:tcPr>
                <w:p w14:paraId="137E6A8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c>
                <w:tcPr>
                  <w:tcW w:w="559" w:type="pct"/>
                  <w:tcBorders>
                    <w:tl2br w:val="nil"/>
                    <w:tr2bl w:val="nil"/>
                  </w:tcBorders>
                  <w:vAlign w:val="center"/>
                </w:tcPr>
                <w:p w14:paraId="44B03DD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c>
                <w:tcPr>
                  <w:tcW w:w="491" w:type="pct"/>
                  <w:tcBorders>
                    <w:tl2br w:val="nil"/>
                    <w:tr2bl w:val="nil"/>
                  </w:tcBorders>
                  <w:vAlign w:val="center"/>
                </w:tcPr>
                <w:p w14:paraId="2FBBF8F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c>
                <w:tcPr>
                  <w:tcW w:w="491" w:type="pct"/>
                  <w:tcBorders>
                    <w:tl2br w:val="nil"/>
                    <w:tr2bl w:val="nil"/>
                  </w:tcBorders>
                  <w:vAlign w:val="center"/>
                </w:tcPr>
                <w:p w14:paraId="4FFE2EB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c>
                <w:tcPr>
                  <w:tcW w:w="566" w:type="pct"/>
                  <w:tcBorders>
                    <w:tl2br w:val="nil"/>
                    <w:tr2bl w:val="nil"/>
                  </w:tcBorders>
                  <w:vAlign w:val="center"/>
                </w:tcPr>
                <w:p w14:paraId="4EB839B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c>
                <w:tcPr>
                  <w:tcW w:w="543" w:type="pct"/>
                  <w:tcBorders>
                    <w:tl2br w:val="nil"/>
                    <w:tr2bl w:val="nil"/>
                  </w:tcBorders>
                  <w:vAlign w:val="center"/>
                </w:tcPr>
                <w:p w14:paraId="611AC7A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w:t>
                  </w:r>
                </w:p>
              </w:tc>
            </w:tr>
            <w:tr w14:paraId="65B4C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321FA1B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6182A84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总氯</w:t>
                  </w:r>
                </w:p>
              </w:tc>
              <w:tc>
                <w:tcPr>
                  <w:tcW w:w="450" w:type="pct"/>
                  <w:tcBorders>
                    <w:tl2br w:val="nil"/>
                    <w:tr2bl w:val="nil"/>
                  </w:tcBorders>
                  <w:vAlign w:val="center"/>
                </w:tcPr>
                <w:p w14:paraId="7E4B76C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0.10</w:t>
                  </w:r>
                </w:p>
              </w:tc>
              <w:tc>
                <w:tcPr>
                  <w:tcW w:w="455" w:type="pct"/>
                  <w:tcBorders>
                    <w:tl2br w:val="nil"/>
                    <w:tr2bl w:val="nil"/>
                  </w:tcBorders>
                  <w:vAlign w:val="center"/>
                </w:tcPr>
                <w:p w14:paraId="548AD28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0.12</w:t>
                  </w:r>
                </w:p>
              </w:tc>
              <w:tc>
                <w:tcPr>
                  <w:tcW w:w="456" w:type="pct"/>
                  <w:tcBorders>
                    <w:tl2br w:val="nil"/>
                    <w:tr2bl w:val="nil"/>
                  </w:tcBorders>
                  <w:vAlign w:val="center"/>
                </w:tcPr>
                <w:p w14:paraId="147890A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0.12</w:t>
                  </w:r>
                </w:p>
              </w:tc>
              <w:tc>
                <w:tcPr>
                  <w:tcW w:w="559" w:type="pct"/>
                  <w:tcBorders>
                    <w:tl2br w:val="nil"/>
                    <w:tr2bl w:val="nil"/>
                  </w:tcBorders>
                  <w:vAlign w:val="center"/>
                </w:tcPr>
                <w:p w14:paraId="799A69D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0.11</w:t>
                  </w:r>
                </w:p>
              </w:tc>
              <w:tc>
                <w:tcPr>
                  <w:tcW w:w="491" w:type="pct"/>
                  <w:tcBorders>
                    <w:tl2br w:val="nil"/>
                    <w:tr2bl w:val="nil"/>
                  </w:tcBorders>
                  <w:vAlign w:val="center"/>
                </w:tcPr>
                <w:p w14:paraId="69A380B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0.12</w:t>
                  </w:r>
                </w:p>
              </w:tc>
              <w:tc>
                <w:tcPr>
                  <w:tcW w:w="491" w:type="pct"/>
                  <w:tcBorders>
                    <w:tl2br w:val="nil"/>
                    <w:tr2bl w:val="nil"/>
                  </w:tcBorders>
                  <w:vAlign w:val="center"/>
                </w:tcPr>
                <w:p w14:paraId="4201D7A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0.10</w:t>
                  </w:r>
                </w:p>
              </w:tc>
              <w:tc>
                <w:tcPr>
                  <w:tcW w:w="566" w:type="pct"/>
                  <w:tcBorders>
                    <w:tl2br w:val="nil"/>
                    <w:tr2bl w:val="nil"/>
                  </w:tcBorders>
                  <w:vAlign w:val="center"/>
                </w:tcPr>
                <w:p w14:paraId="5C4B036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0.11</w:t>
                  </w:r>
                </w:p>
              </w:tc>
              <w:tc>
                <w:tcPr>
                  <w:tcW w:w="543" w:type="pct"/>
                  <w:tcBorders>
                    <w:tl2br w:val="nil"/>
                    <w:tr2bl w:val="nil"/>
                  </w:tcBorders>
                  <w:vAlign w:val="center"/>
                </w:tcPr>
                <w:p w14:paraId="6ED073F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0.11</w:t>
                  </w:r>
                </w:p>
              </w:tc>
            </w:tr>
            <w:tr w14:paraId="6A960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6A843BC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6981BF9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阴离子表面活性剂</w:t>
                  </w:r>
                </w:p>
              </w:tc>
              <w:tc>
                <w:tcPr>
                  <w:tcW w:w="450" w:type="pct"/>
                  <w:tcBorders>
                    <w:tl2br w:val="nil"/>
                    <w:tr2bl w:val="nil"/>
                  </w:tcBorders>
                  <w:vAlign w:val="center"/>
                </w:tcPr>
                <w:p w14:paraId="3C90400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455" w:type="pct"/>
                  <w:tcBorders>
                    <w:tl2br w:val="nil"/>
                    <w:tr2bl w:val="nil"/>
                  </w:tcBorders>
                  <w:vAlign w:val="center"/>
                </w:tcPr>
                <w:p w14:paraId="57816DD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456" w:type="pct"/>
                  <w:tcBorders>
                    <w:tl2br w:val="nil"/>
                    <w:tr2bl w:val="nil"/>
                  </w:tcBorders>
                  <w:vAlign w:val="center"/>
                </w:tcPr>
                <w:p w14:paraId="5AAB189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559" w:type="pct"/>
                  <w:tcBorders>
                    <w:tl2br w:val="nil"/>
                    <w:tr2bl w:val="nil"/>
                  </w:tcBorders>
                  <w:vAlign w:val="center"/>
                </w:tcPr>
                <w:p w14:paraId="178DD53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491" w:type="pct"/>
                  <w:tcBorders>
                    <w:tl2br w:val="nil"/>
                    <w:tr2bl w:val="nil"/>
                  </w:tcBorders>
                  <w:vAlign w:val="center"/>
                </w:tcPr>
                <w:p w14:paraId="687775B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491" w:type="pct"/>
                  <w:tcBorders>
                    <w:tl2br w:val="nil"/>
                    <w:tr2bl w:val="nil"/>
                  </w:tcBorders>
                  <w:vAlign w:val="center"/>
                </w:tcPr>
                <w:p w14:paraId="77779FD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566" w:type="pct"/>
                  <w:tcBorders>
                    <w:tl2br w:val="nil"/>
                    <w:tr2bl w:val="nil"/>
                  </w:tcBorders>
                  <w:vAlign w:val="center"/>
                </w:tcPr>
                <w:p w14:paraId="137A365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543" w:type="pct"/>
                  <w:tcBorders>
                    <w:tl2br w:val="nil"/>
                    <w:tr2bl w:val="nil"/>
                  </w:tcBorders>
                  <w:vAlign w:val="center"/>
                </w:tcPr>
                <w:p w14:paraId="5CF1E60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r>
            <w:tr w14:paraId="22F60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03E69FF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44CFB3E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总氰化物</w:t>
                  </w:r>
                </w:p>
              </w:tc>
              <w:tc>
                <w:tcPr>
                  <w:tcW w:w="450" w:type="pct"/>
                  <w:tcBorders>
                    <w:tl2br w:val="nil"/>
                    <w:tr2bl w:val="nil"/>
                  </w:tcBorders>
                  <w:vAlign w:val="center"/>
                </w:tcPr>
                <w:p w14:paraId="18125F3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455" w:type="pct"/>
                  <w:tcBorders>
                    <w:tl2br w:val="nil"/>
                    <w:tr2bl w:val="nil"/>
                  </w:tcBorders>
                  <w:vAlign w:val="center"/>
                </w:tcPr>
                <w:p w14:paraId="754F6E6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456" w:type="pct"/>
                  <w:tcBorders>
                    <w:tl2br w:val="nil"/>
                    <w:tr2bl w:val="nil"/>
                  </w:tcBorders>
                  <w:vAlign w:val="center"/>
                </w:tcPr>
                <w:p w14:paraId="4538998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559" w:type="pct"/>
                  <w:tcBorders>
                    <w:tl2br w:val="nil"/>
                    <w:tr2bl w:val="nil"/>
                  </w:tcBorders>
                  <w:vAlign w:val="center"/>
                </w:tcPr>
                <w:p w14:paraId="1991D9E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491" w:type="pct"/>
                  <w:tcBorders>
                    <w:tl2br w:val="nil"/>
                    <w:tr2bl w:val="nil"/>
                  </w:tcBorders>
                  <w:vAlign w:val="center"/>
                </w:tcPr>
                <w:p w14:paraId="37AFAEB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491" w:type="pct"/>
                  <w:tcBorders>
                    <w:tl2br w:val="nil"/>
                    <w:tr2bl w:val="nil"/>
                  </w:tcBorders>
                  <w:vAlign w:val="center"/>
                </w:tcPr>
                <w:p w14:paraId="1A39411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566" w:type="pct"/>
                  <w:tcBorders>
                    <w:tl2br w:val="nil"/>
                    <w:tr2bl w:val="nil"/>
                  </w:tcBorders>
                  <w:vAlign w:val="center"/>
                </w:tcPr>
                <w:p w14:paraId="0515775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543" w:type="pct"/>
                  <w:tcBorders>
                    <w:tl2br w:val="nil"/>
                    <w:tr2bl w:val="nil"/>
                  </w:tcBorders>
                  <w:vAlign w:val="center"/>
                </w:tcPr>
                <w:p w14:paraId="7CC2740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r>
            <w:tr w14:paraId="28DD2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4ADA327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61E29E4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挥发酚</w:t>
                  </w:r>
                </w:p>
              </w:tc>
              <w:tc>
                <w:tcPr>
                  <w:tcW w:w="450" w:type="pct"/>
                  <w:tcBorders>
                    <w:tl2br w:val="nil"/>
                    <w:tr2bl w:val="nil"/>
                  </w:tcBorders>
                  <w:vAlign w:val="center"/>
                </w:tcPr>
                <w:p w14:paraId="61376DD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455" w:type="pct"/>
                  <w:tcBorders>
                    <w:tl2br w:val="nil"/>
                    <w:tr2bl w:val="nil"/>
                  </w:tcBorders>
                  <w:vAlign w:val="center"/>
                </w:tcPr>
                <w:p w14:paraId="796D2F5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456" w:type="pct"/>
                  <w:tcBorders>
                    <w:tl2br w:val="nil"/>
                    <w:tr2bl w:val="nil"/>
                  </w:tcBorders>
                  <w:vAlign w:val="center"/>
                </w:tcPr>
                <w:p w14:paraId="51409CF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559" w:type="pct"/>
                  <w:tcBorders>
                    <w:tl2br w:val="nil"/>
                    <w:tr2bl w:val="nil"/>
                  </w:tcBorders>
                  <w:vAlign w:val="center"/>
                </w:tcPr>
                <w:p w14:paraId="289A01F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491" w:type="pct"/>
                  <w:tcBorders>
                    <w:tl2br w:val="nil"/>
                    <w:tr2bl w:val="nil"/>
                  </w:tcBorders>
                  <w:vAlign w:val="center"/>
                </w:tcPr>
                <w:p w14:paraId="3443EF4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491" w:type="pct"/>
                  <w:tcBorders>
                    <w:tl2br w:val="nil"/>
                    <w:tr2bl w:val="nil"/>
                  </w:tcBorders>
                  <w:vAlign w:val="center"/>
                </w:tcPr>
                <w:p w14:paraId="0C411B3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566" w:type="pct"/>
                  <w:tcBorders>
                    <w:tl2br w:val="nil"/>
                    <w:tr2bl w:val="nil"/>
                  </w:tcBorders>
                  <w:vAlign w:val="center"/>
                </w:tcPr>
                <w:p w14:paraId="290B3E0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c>
                <w:tcPr>
                  <w:tcW w:w="543" w:type="pct"/>
                  <w:tcBorders>
                    <w:tl2br w:val="nil"/>
                    <w:tr2bl w:val="nil"/>
                  </w:tcBorders>
                  <w:vAlign w:val="center"/>
                </w:tcPr>
                <w:p w14:paraId="1BE065B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ND</w:t>
                  </w:r>
                </w:p>
              </w:tc>
            </w:tr>
            <w:tr w14:paraId="589D7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6" w:type="pct"/>
                  <w:vMerge w:val="continue"/>
                  <w:tcBorders>
                    <w:tl2br w:val="nil"/>
                    <w:tr2bl w:val="nil"/>
                  </w:tcBorders>
                  <w:vAlign w:val="center"/>
                </w:tcPr>
                <w:p w14:paraId="712F9C5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569" w:type="pct"/>
                  <w:tcBorders>
                    <w:tl2br w:val="nil"/>
                    <w:tr2bl w:val="nil"/>
                  </w:tcBorders>
                  <w:vAlign w:val="center"/>
                </w:tcPr>
                <w:p w14:paraId="7926484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粪大肠杆菌</w:t>
                  </w:r>
                </w:p>
              </w:tc>
              <w:tc>
                <w:tcPr>
                  <w:tcW w:w="450" w:type="pct"/>
                  <w:tcBorders>
                    <w:tl2br w:val="nil"/>
                    <w:tr2bl w:val="nil"/>
                  </w:tcBorders>
                  <w:vAlign w:val="center"/>
                </w:tcPr>
                <w:p w14:paraId="6BD576D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4.0×10</w:t>
                  </w:r>
                  <w:r>
                    <w:rPr>
                      <w:rFonts w:hint="eastAsia" w:eastAsia="仿宋" w:cs="Times New Roman"/>
                      <w:color w:val="auto"/>
                      <w:kern w:val="0"/>
                      <w:sz w:val="21"/>
                      <w:szCs w:val="21"/>
                      <w:highlight w:val="none"/>
                      <w:vertAlign w:val="superscript"/>
                      <w:lang w:val="en-US" w:eastAsia="zh-CN"/>
                    </w:rPr>
                    <w:t>3</w:t>
                  </w:r>
                </w:p>
              </w:tc>
              <w:tc>
                <w:tcPr>
                  <w:tcW w:w="455" w:type="pct"/>
                  <w:tcBorders>
                    <w:tl2br w:val="nil"/>
                    <w:tr2bl w:val="nil"/>
                  </w:tcBorders>
                  <w:vAlign w:val="center"/>
                </w:tcPr>
                <w:p w14:paraId="24082B8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1.4×10</w:t>
                  </w:r>
                  <w:r>
                    <w:rPr>
                      <w:rFonts w:hint="eastAsia" w:eastAsia="仿宋" w:cs="Times New Roman"/>
                      <w:color w:val="auto"/>
                      <w:kern w:val="0"/>
                      <w:sz w:val="21"/>
                      <w:szCs w:val="21"/>
                      <w:highlight w:val="none"/>
                      <w:vertAlign w:val="superscript"/>
                      <w:lang w:val="en-US" w:eastAsia="zh-CN"/>
                    </w:rPr>
                    <w:t>3</w:t>
                  </w:r>
                </w:p>
              </w:tc>
              <w:tc>
                <w:tcPr>
                  <w:tcW w:w="456" w:type="pct"/>
                  <w:tcBorders>
                    <w:tl2br w:val="nil"/>
                    <w:tr2bl w:val="nil"/>
                  </w:tcBorders>
                  <w:vAlign w:val="center"/>
                </w:tcPr>
                <w:p w14:paraId="3D4B4A8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2.8×10</w:t>
                  </w:r>
                  <w:r>
                    <w:rPr>
                      <w:rFonts w:hint="eastAsia" w:eastAsia="仿宋" w:cs="Times New Roman"/>
                      <w:color w:val="auto"/>
                      <w:kern w:val="0"/>
                      <w:sz w:val="21"/>
                      <w:szCs w:val="21"/>
                      <w:highlight w:val="none"/>
                      <w:vertAlign w:val="superscript"/>
                      <w:lang w:val="en-US" w:eastAsia="zh-CN"/>
                    </w:rPr>
                    <w:t>3</w:t>
                  </w:r>
                </w:p>
              </w:tc>
              <w:tc>
                <w:tcPr>
                  <w:tcW w:w="559" w:type="pct"/>
                  <w:tcBorders>
                    <w:tl2br w:val="nil"/>
                    <w:tr2bl w:val="nil"/>
                  </w:tcBorders>
                  <w:vAlign w:val="center"/>
                </w:tcPr>
                <w:p w14:paraId="03E19C0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2.7×10</w:t>
                  </w:r>
                  <w:r>
                    <w:rPr>
                      <w:rFonts w:hint="eastAsia" w:eastAsia="仿宋" w:cs="Times New Roman"/>
                      <w:color w:val="auto"/>
                      <w:kern w:val="0"/>
                      <w:sz w:val="21"/>
                      <w:szCs w:val="21"/>
                      <w:highlight w:val="none"/>
                      <w:vertAlign w:val="superscript"/>
                      <w:lang w:val="en-US" w:eastAsia="zh-CN"/>
                    </w:rPr>
                    <w:t>3</w:t>
                  </w:r>
                </w:p>
              </w:tc>
              <w:tc>
                <w:tcPr>
                  <w:tcW w:w="491" w:type="pct"/>
                  <w:tcBorders>
                    <w:tl2br w:val="nil"/>
                    <w:tr2bl w:val="nil"/>
                  </w:tcBorders>
                  <w:vAlign w:val="center"/>
                </w:tcPr>
                <w:p w14:paraId="7FBA0B5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2.0×10</w:t>
                  </w:r>
                  <w:r>
                    <w:rPr>
                      <w:rFonts w:hint="eastAsia" w:eastAsia="仿宋" w:cs="Times New Roman"/>
                      <w:color w:val="auto"/>
                      <w:kern w:val="0"/>
                      <w:sz w:val="21"/>
                      <w:szCs w:val="21"/>
                      <w:highlight w:val="none"/>
                      <w:vertAlign w:val="superscript"/>
                      <w:lang w:val="en-US" w:eastAsia="zh-CN"/>
                    </w:rPr>
                    <w:t>3</w:t>
                  </w:r>
                </w:p>
              </w:tc>
              <w:tc>
                <w:tcPr>
                  <w:tcW w:w="491" w:type="pct"/>
                  <w:tcBorders>
                    <w:tl2br w:val="nil"/>
                    <w:tr2bl w:val="nil"/>
                  </w:tcBorders>
                  <w:vAlign w:val="center"/>
                </w:tcPr>
                <w:p w14:paraId="133F0DD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2.3×10</w:t>
                  </w:r>
                  <w:r>
                    <w:rPr>
                      <w:rFonts w:hint="eastAsia" w:eastAsia="仿宋" w:cs="Times New Roman"/>
                      <w:color w:val="auto"/>
                      <w:kern w:val="0"/>
                      <w:sz w:val="21"/>
                      <w:szCs w:val="21"/>
                      <w:highlight w:val="none"/>
                      <w:vertAlign w:val="superscript"/>
                      <w:lang w:val="en-US" w:eastAsia="zh-CN"/>
                    </w:rPr>
                    <w:t>3</w:t>
                  </w:r>
                </w:p>
              </w:tc>
              <w:tc>
                <w:tcPr>
                  <w:tcW w:w="566" w:type="pct"/>
                  <w:tcBorders>
                    <w:tl2br w:val="nil"/>
                    <w:tr2bl w:val="nil"/>
                  </w:tcBorders>
                  <w:vAlign w:val="center"/>
                </w:tcPr>
                <w:p w14:paraId="0973730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1.1×10</w:t>
                  </w:r>
                  <w:r>
                    <w:rPr>
                      <w:rFonts w:hint="eastAsia" w:eastAsia="仿宋" w:cs="Times New Roman"/>
                      <w:color w:val="auto"/>
                      <w:kern w:val="0"/>
                      <w:sz w:val="21"/>
                      <w:szCs w:val="21"/>
                      <w:highlight w:val="none"/>
                      <w:vertAlign w:val="superscript"/>
                      <w:lang w:val="en-US" w:eastAsia="zh-CN"/>
                    </w:rPr>
                    <w:t>3</w:t>
                  </w:r>
                </w:p>
              </w:tc>
              <w:tc>
                <w:tcPr>
                  <w:tcW w:w="543" w:type="pct"/>
                  <w:tcBorders>
                    <w:tl2br w:val="nil"/>
                    <w:tr2bl w:val="nil"/>
                  </w:tcBorders>
                  <w:vAlign w:val="center"/>
                </w:tcPr>
                <w:p w14:paraId="44A8B24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1.8×10</w:t>
                  </w:r>
                  <w:r>
                    <w:rPr>
                      <w:rFonts w:hint="eastAsia" w:eastAsia="仿宋" w:cs="Times New Roman"/>
                      <w:color w:val="auto"/>
                      <w:kern w:val="0"/>
                      <w:sz w:val="21"/>
                      <w:szCs w:val="21"/>
                      <w:highlight w:val="none"/>
                      <w:vertAlign w:val="superscript"/>
                      <w:lang w:val="en-US" w:eastAsia="zh-CN"/>
                    </w:rPr>
                    <w:t>3</w:t>
                  </w:r>
                </w:p>
              </w:tc>
            </w:tr>
          </w:tbl>
          <w:p w14:paraId="0DEE2EB0">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由上表可见，</w:t>
            </w:r>
            <w:r>
              <w:rPr>
                <w:rFonts w:hint="eastAsia" w:eastAsia="仿宋" w:cs="Times New Roman"/>
                <w:color w:val="auto"/>
                <w:kern w:val="2"/>
                <w:sz w:val="24"/>
                <w:szCs w:val="24"/>
                <w:highlight w:val="none"/>
                <w:lang w:val="en-US" w:eastAsia="zh-CN" w:bidi="ar-SA"/>
              </w:rPr>
              <w:t>原有</w:t>
            </w:r>
            <w:r>
              <w:rPr>
                <w:rFonts w:hint="eastAsia" w:ascii="Times New Roman" w:hAnsi="Times New Roman" w:eastAsia="仿宋" w:cs="Times New Roman"/>
                <w:color w:val="auto"/>
                <w:kern w:val="2"/>
                <w:sz w:val="24"/>
                <w:szCs w:val="24"/>
                <w:highlight w:val="none"/>
                <w:lang w:val="en-US" w:eastAsia="zh-CN" w:bidi="ar-SA"/>
              </w:rPr>
              <w:t>项目废水总排放口中氨氮、总磷、总氮排放限值满足《污水排入城镇下水道水质标准》（GB/T31962-2015）表1B级标准；pH值、化学需氧量、悬浮物、动植物油类、色度、挥发酚、总氯、粪大肠菌群、五日生化需氧量、阴离子表面活性剂、总氰化物、石油类排放限值满足《医疗机构水污染排放标准》（GB18466-2005）表2中预处理标准。</w:t>
            </w:r>
          </w:p>
          <w:p w14:paraId="1281D6F5">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3、噪声</w:t>
            </w:r>
          </w:p>
          <w:p w14:paraId="3C7CD8D6">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1）污染防治措施</w:t>
            </w:r>
          </w:p>
          <w:p w14:paraId="2A697680">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①结合周边环境特点，对噪声敏感的住院大楼、医疗大楼布局在院区中部，四周临交通道区域作为停车场、通道及辅助功能用房；</w:t>
            </w:r>
          </w:p>
          <w:p w14:paraId="306418E5">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②对空调机房、锅炉房等产生设备运行噪声的功能用房进行单独隔声设计，隔声能力不低于25dB(A)；</w:t>
            </w:r>
          </w:p>
          <w:p w14:paraId="45236FC2">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③将各类加压水泵、潜污泵安置在地下室泵房内，并对泵房采取吸音、密闭等降噪隔声措施，对水泵的基础、管道采取减振降噪措施，防止噪声外传；</w:t>
            </w:r>
          </w:p>
          <w:p w14:paraId="49780115">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④冷却塔设置在住院楼楼顶,选用低噪声型号,并在其周围安装隔声屏,起到既不影响通风、散热，又能阻隔冷却塔水流噪声的作用；</w:t>
            </w:r>
          </w:p>
          <w:p w14:paraId="1DCAF6E2">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⑤对各出入口车辆进出时可能产生的暴露噪声，主要通过加强管理、增设基础设施，以实现车辆低速通过、不鸣笛，从而控制暴露源强，减轻对周边声环境影响；</w:t>
            </w:r>
          </w:p>
          <w:p w14:paraId="6A467DC5">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⑥为传染病楼安装双层隔音玻璃等降噪措施，使其室内噪声满足《民用建筑隔声设计规范》(GBJ118-1988)中</w:t>
            </w:r>
            <w:r>
              <w:rPr>
                <w:rFonts w:hint="eastAsia" w:eastAsia="仿宋" w:cs="Times New Roman"/>
                <w:color w:val="auto"/>
                <w:kern w:val="2"/>
                <w:sz w:val="24"/>
                <w:szCs w:val="24"/>
                <w:highlight w:val="none"/>
                <w:lang w:val="en-US" w:eastAsia="zh-CN" w:bidi="ar-SA"/>
              </w:rPr>
              <w:t>“</w:t>
            </w:r>
            <w:r>
              <w:rPr>
                <w:rFonts w:hint="default" w:ascii="Times New Roman" w:hAnsi="Times New Roman" w:eastAsia="仿宋" w:cs="Times New Roman"/>
                <w:color w:val="auto"/>
                <w:kern w:val="2"/>
                <w:sz w:val="24"/>
                <w:szCs w:val="24"/>
                <w:highlight w:val="none"/>
                <w:lang w:val="en-US" w:eastAsia="zh-CN" w:bidi="ar-SA"/>
              </w:rPr>
              <w:t>病房、医护人员休息室</w:t>
            </w:r>
            <w:r>
              <w:rPr>
                <w:rFonts w:hint="eastAsia" w:eastAsia="仿宋" w:cs="Times New Roman"/>
                <w:color w:val="auto"/>
                <w:kern w:val="2"/>
                <w:sz w:val="24"/>
                <w:szCs w:val="24"/>
                <w:highlight w:val="none"/>
                <w:lang w:val="en-US" w:eastAsia="zh-CN" w:bidi="ar-SA"/>
              </w:rPr>
              <w:t>”</w:t>
            </w:r>
            <w:r>
              <w:rPr>
                <w:rFonts w:hint="default" w:ascii="Times New Roman" w:hAnsi="Times New Roman" w:eastAsia="仿宋" w:cs="Times New Roman"/>
                <w:color w:val="auto"/>
                <w:kern w:val="2"/>
                <w:sz w:val="24"/>
                <w:szCs w:val="24"/>
                <w:highlight w:val="none"/>
                <w:lang w:val="en-US" w:eastAsia="zh-CN" w:bidi="ar-SA"/>
              </w:rPr>
              <w:t>标准。</w:t>
            </w:r>
          </w:p>
          <w:p w14:paraId="341FBBD7">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2）达标排放情况</w:t>
            </w:r>
          </w:p>
          <w:p w14:paraId="61C303A3">
            <w:pPr>
              <w:pStyle w:val="128"/>
              <w:ind w:firstLine="482"/>
              <w:rPr>
                <w:rFonts w:hint="eastAsia"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根据常州市金坛区卫生和计划生育局金坛区人民医院、金坛区血站整体迁建项目检测报告（QSWT2108072），原有项目噪声验收监测情况见下表：</w:t>
            </w:r>
          </w:p>
          <w:p w14:paraId="438AA1FD">
            <w:pPr>
              <w:jc w:val="center"/>
              <w:rPr>
                <w:rFonts w:hint="default" w:eastAsia="仿宋" w:cs="Times New Roman"/>
                <w:b/>
                <w:bCs/>
                <w:color w:val="auto"/>
                <w:kern w:val="0"/>
                <w:sz w:val="22"/>
                <w:szCs w:val="22"/>
                <w:highlight w:val="none"/>
                <w:lang w:val="en-US" w:eastAsia="zh-CN"/>
              </w:rPr>
            </w:pPr>
            <w:r>
              <w:rPr>
                <w:rFonts w:hint="eastAsia" w:eastAsia="仿宋" w:cs="Times New Roman"/>
                <w:b/>
                <w:bCs/>
                <w:color w:val="auto"/>
                <w:kern w:val="0"/>
                <w:sz w:val="22"/>
                <w:szCs w:val="22"/>
                <w:highlight w:val="none"/>
                <w:lang w:val="en-US" w:eastAsia="zh-CN"/>
              </w:rPr>
              <w:t>表2-17 原有工程项目噪声监测结果 单位：dB（A）</w:t>
            </w:r>
          </w:p>
          <w:tbl>
            <w:tblPr>
              <w:tblStyle w:val="32"/>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110"/>
              <w:gridCol w:w="1012"/>
              <w:gridCol w:w="1012"/>
              <w:gridCol w:w="1012"/>
              <w:gridCol w:w="1012"/>
              <w:gridCol w:w="1012"/>
              <w:gridCol w:w="1014"/>
            </w:tblGrid>
            <w:tr w14:paraId="070E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restart"/>
                  <w:vAlign w:val="center"/>
                </w:tcPr>
                <w:p w14:paraId="029B403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监测时间</w:t>
                  </w:r>
                </w:p>
              </w:tc>
              <w:tc>
                <w:tcPr>
                  <w:tcW w:w="1110" w:type="dxa"/>
                  <w:vMerge w:val="restart"/>
                  <w:vAlign w:val="center"/>
                </w:tcPr>
                <w:p w14:paraId="1C499E8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监测点位</w:t>
                  </w:r>
                </w:p>
              </w:tc>
              <w:tc>
                <w:tcPr>
                  <w:tcW w:w="2024" w:type="dxa"/>
                  <w:gridSpan w:val="2"/>
                  <w:vAlign w:val="center"/>
                </w:tcPr>
                <w:p w14:paraId="7523AC2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监测值</w:t>
                  </w:r>
                </w:p>
              </w:tc>
              <w:tc>
                <w:tcPr>
                  <w:tcW w:w="2024" w:type="dxa"/>
                  <w:gridSpan w:val="2"/>
                  <w:vAlign w:val="center"/>
                </w:tcPr>
                <w:p w14:paraId="6258960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标准值</w:t>
                  </w:r>
                </w:p>
              </w:tc>
              <w:tc>
                <w:tcPr>
                  <w:tcW w:w="2026" w:type="dxa"/>
                  <w:gridSpan w:val="2"/>
                  <w:vAlign w:val="center"/>
                </w:tcPr>
                <w:p w14:paraId="49A4FF5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达标情况</w:t>
                  </w:r>
                </w:p>
              </w:tc>
            </w:tr>
            <w:tr w14:paraId="5276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12170FC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110" w:type="dxa"/>
                  <w:vMerge w:val="continue"/>
                  <w:vAlign w:val="center"/>
                </w:tcPr>
                <w:p w14:paraId="02E35DF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012" w:type="dxa"/>
                  <w:vAlign w:val="center"/>
                </w:tcPr>
                <w:p w14:paraId="6ADE90B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昼间</w:t>
                  </w:r>
                </w:p>
              </w:tc>
              <w:tc>
                <w:tcPr>
                  <w:tcW w:w="1012" w:type="dxa"/>
                  <w:vAlign w:val="center"/>
                </w:tcPr>
                <w:p w14:paraId="656AC09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夜间</w:t>
                  </w:r>
                </w:p>
              </w:tc>
              <w:tc>
                <w:tcPr>
                  <w:tcW w:w="1012" w:type="dxa"/>
                  <w:vAlign w:val="center"/>
                </w:tcPr>
                <w:p w14:paraId="553F4A3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昼间</w:t>
                  </w:r>
                </w:p>
              </w:tc>
              <w:tc>
                <w:tcPr>
                  <w:tcW w:w="1012" w:type="dxa"/>
                  <w:vAlign w:val="center"/>
                </w:tcPr>
                <w:p w14:paraId="09D9AB9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夜间</w:t>
                  </w:r>
                </w:p>
              </w:tc>
              <w:tc>
                <w:tcPr>
                  <w:tcW w:w="1012" w:type="dxa"/>
                  <w:vAlign w:val="center"/>
                </w:tcPr>
                <w:p w14:paraId="23FF4A6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昼间</w:t>
                  </w:r>
                </w:p>
              </w:tc>
              <w:tc>
                <w:tcPr>
                  <w:tcW w:w="1014" w:type="dxa"/>
                  <w:vAlign w:val="center"/>
                </w:tcPr>
                <w:p w14:paraId="7F4C53A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夜间</w:t>
                  </w:r>
                </w:p>
              </w:tc>
            </w:tr>
            <w:tr w14:paraId="4EC8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restart"/>
                  <w:vAlign w:val="center"/>
                </w:tcPr>
                <w:p w14:paraId="5ED6EC7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2021.8.24</w:t>
                  </w:r>
                </w:p>
              </w:tc>
              <w:tc>
                <w:tcPr>
                  <w:tcW w:w="1110" w:type="dxa"/>
                  <w:vAlign w:val="center"/>
                </w:tcPr>
                <w:p w14:paraId="36D1239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东厂界外1米（Z1）</w:t>
                  </w:r>
                </w:p>
              </w:tc>
              <w:tc>
                <w:tcPr>
                  <w:tcW w:w="1012" w:type="dxa"/>
                  <w:vAlign w:val="center"/>
                </w:tcPr>
                <w:p w14:paraId="78FD1AD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59.2</w:t>
                  </w:r>
                </w:p>
              </w:tc>
              <w:tc>
                <w:tcPr>
                  <w:tcW w:w="1012" w:type="dxa"/>
                  <w:vAlign w:val="center"/>
                </w:tcPr>
                <w:p w14:paraId="4B24E5E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48.3</w:t>
                  </w:r>
                </w:p>
              </w:tc>
              <w:tc>
                <w:tcPr>
                  <w:tcW w:w="1012" w:type="dxa"/>
                  <w:vMerge w:val="restart"/>
                  <w:vAlign w:val="center"/>
                </w:tcPr>
                <w:p w14:paraId="2F44A9C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70</w:t>
                  </w:r>
                </w:p>
              </w:tc>
              <w:tc>
                <w:tcPr>
                  <w:tcW w:w="1012" w:type="dxa"/>
                  <w:vMerge w:val="restart"/>
                  <w:vAlign w:val="center"/>
                </w:tcPr>
                <w:p w14:paraId="721A1EB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55</w:t>
                  </w:r>
                </w:p>
              </w:tc>
              <w:tc>
                <w:tcPr>
                  <w:tcW w:w="1012" w:type="dxa"/>
                  <w:vMerge w:val="restart"/>
                  <w:vAlign w:val="center"/>
                </w:tcPr>
                <w:p w14:paraId="09FC059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达标</w:t>
                  </w:r>
                </w:p>
              </w:tc>
              <w:tc>
                <w:tcPr>
                  <w:tcW w:w="1014" w:type="dxa"/>
                  <w:vMerge w:val="restart"/>
                  <w:vAlign w:val="center"/>
                </w:tcPr>
                <w:p w14:paraId="3352700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达标</w:t>
                  </w:r>
                </w:p>
              </w:tc>
            </w:tr>
            <w:tr w14:paraId="498B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3DF266A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5AC1D99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南厂界外1米（Z2）</w:t>
                  </w:r>
                </w:p>
              </w:tc>
              <w:tc>
                <w:tcPr>
                  <w:tcW w:w="1012" w:type="dxa"/>
                  <w:vAlign w:val="center"/>
                </w:tcPr>
                <w:p w14:paraId="12B0D54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62.2</w:t>
                  </w:r>
                </w:p>
              </w:tc>
              <w:tc>
                <w:tcPr>
                  <w:tcW w:w="1012" w:type="dxa"/>
                  <w:vAlign w:val="center"/>
                </w:tcPr>
                <w:p w14:paraId="32A6969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50.2</w:t>
                  </w:r>
                </w:p>
              </w:tc>
              <w:tc>
                <w:tcPr>
                  <w:tcW w:w="1012" w:type="dxa"/>
                  <w:vMerge w:val="continue"/>
                  <w:vAlign w:val="center"/>
                </w:tcPr>
                <w:p w14:paraId="43D0216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55050CC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6DA4B26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4AAA500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5F1F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5FA3249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52A3DC9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西厂界外1米（Z3）</w:t>
                  </w:r>
                </w:p>
              </w:tc>
              <w:tc>
                <w:tcPr>
                  <w:tcW w:w="1012" w:type="dxa"/>
                  <w:vAlign w:val="center"/>
                </w:tcPr>
                <w:p w14:paraId="74D32C2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58.4</w:t>
                  </w:r>
                </w:p>
              </w:tc>
              <w:tc>
                <w:tcPr>
                  <w:tcW w:w="1012" w:type="dxa"/>
                  <w:vAlign w:val="center"/>
                </w:tcPr>
                <w:p w14:paraId="7F1DAA0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49.1</w:t>
                  </w:r>
                </w:p>
              </w:tc>
              <w:tc>
                <w:tcPr>
                  <w:tcW w:w="1012" w:type="dxa"/>
                  <w:vMerge w:val="continue"/>
                  <w:vAlign w:val="center"/>
                </w:tcPr>
                <w:p w14:paraId="4A67986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12A571E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7AA7B51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12B0781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0055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00BD53E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0F75548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北厂界外1米（Z4）</w:t>
                  </w:r>
                </w:p>
              </w:tc>
              <w:tc>
                <w:tcPr>
                  <w:tcW w:w="1012" w:type="dxa"/>
                  <w:vAlign w:val="center"/>
                </w:tcPr>
                <w:p w14:paraId="4F43044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57.7</w:t>
                  </w:r>
                </w:p>
              </w:tc>
              <w:tc>
                <w:tcPr>
                  <w:tcW w:w="1012" w:type="dxa"/>
                  <w:vAlign w:val="center"/>
                </w:tcPr>
                <w:p w14:paraId="15DA372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48.0</w:t>
                  </w:r>
                </w:p>
              </w:tc>
              <w:tc>
                <w:tcPr>
                  <w:tcW w:w="1012" w:type="dxa"/>
                  <w:vMerge w:val="continue"/>
                  <w:vAlign w:val="center"/>
                </w:tcPr>
                <w:p w14:paraId="3D3AB5C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105403C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70A49E2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29273FC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0F92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restart"/>
                  <w:vAlign w:val="center"/>
                </w:tcPr>
                <w:p w14:paraId="7967D27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2021.8.25</w:t>
                  </w:r>
                </w:p>
              </w:tc>
              <w:tc>
                <w:tcPr>
                  <w:tcW w:w="1110" w:type="dxa"/>
                  <w:vAlign w:val="center"/>
                </w:tcPr>
                <w:p w14:paraId="2AEE204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东厂界外1米（Z1）</w:t>
                  </w:r>
                </w:p>
              </w:tc>
              <w:tc>
                <w:tcPr>
                  <w:tcW w:w="1012" w:type="dxa"/>
                  <w:vAlign w:val="center"/>
                </w:tcPr>
                <w:p w14:paraId="3F821F6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58.9</w:t>
                  </w:r>
                </w:p>
              </w:tc>
              <w:tc>
                <w:tcPr>
                  <w:tcW w:w="1012" w:type="dxa"/>
                  <w:vAlign w:val="center"/>
                </w:tcPr>
                <w:p w14:paraId="4F817D5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47.9</w:t>
                  </w:r>
                </w:p>
              </w:tc>
              <w:tc>
                <w:tcPr>
                  <w:tcW w:w="1012" w:type="dxa"/>
                  <w:vMerge w:val="continue"/>
                  <w:vAlign w:val="center"/>
                </w:tcPr>
                <w:p w14:paraId="7F268E6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2C98D3E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66F329E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0CD560F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5722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06F4D34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0537CB7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南厂界外1米（Z2）</w:t>
                  </w:r>
                </w:p>
              </w:tc>
              <w:tc>
                <w:tcPr>
                  <w:tcW w:w="1012" w:type="dxa"/>
                  <w:vAlign w:val="center"/>
                </w:tcPr>
                <w:p w14:paraId="1BEB96C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62.6</w:t>
                  </w:r>
                </w:p>
              </w:tc>
              <w:tc>
                <w:tcPr>
                  <w:tcW w:w="1012" w:type="dxa"/>
                  <w:vAlign w:val="center"/>
                </w:tcPr>
                <w:p w14:paraId="4A7B29C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50.4</w:t>
                  </w:r>
                </w:p>
              </w:tc>
              <w:tc>
                <w:tcPr>
                  <w:tcW w:w="1012" w:type="dxa"/>
                  <w:vMerge w:val="continue"/>
                  <w:vAlign w:val="center"/>
                </w:tcPr>
                <w:p w14:paraId="11497AD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6986A23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64E0DD1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414C1D6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0C28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57AA332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3A353A2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西厂界外1米（Z3）</w:t>
                  </w:r>
                </w:p>
              </w:tc>
              <w:tc>
                <w:tcPr>
                  <w:tcW w:w="1012" w:type="dxa"/>
                  <w:vAlign w:val="center"/>
                </w:tcPr>
                <w:p w14:paraId="54ECCF0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58.8</w:t>
                  </w:r>
                </w:p>
              </w:tc>
              <w:tc>
                <w:tcPr>
                  <w:tcW w:w="1012" w:type="dxa"/>
                  <w:vAlign w:val="center"/>
                </w:tcPr>
                <w:p w14:paraId="6FB8050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49.6</w:t>
                  </w:r>
                </w:p>
              </w:tc>
              <w:tc>
                <w:tcPr>
                  <w:tcW w:w="1012" w:type="dxa"/>
                  <w:vMerge w:val="continue"/>
                  <w:vAlign w:val="center"/>
                </w:tcPr>
                <w:p w14:paraId="6F6F926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7B69A7F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6440927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02CFB21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2DB9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3633813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404A7F4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北厂界外1米（Z4）</w:t>
                  </w:r>
                </w:p>
              </w:tc>
              <w:tc>
                <w:tcPr>
                  <w:tcW w:w="1012" w:type="dxa"/>
                  <w:vAlign w:val="center"/>
                </w:tcPr>
                <w:p w14:paraId="161838B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57.2</w:t>
                  </w:r>
                </w:p>
              </w:tc>
              <w:tc>
                <w:tcPr>
                  <w:tcW w:w="1012" w:type="dxa"/>
                  <w:vAlign w:val="center"/>
                </w:tcPr>
                <w:p w14:paraId="05EEAC2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48.1</w:t>
                  </w:r>
                </w:p>
              </w:tc>
              <w:tc>
                <w:tcPr>
                  <w:tcW w:w="1012" w:type="dxa"/>
                  <w:vMerge w:val="continue"/>
                  <w:vAlign w:val="center"/>
                </w:tcPr>
                <w:p w14:paraId="5E7EF6E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497FA0A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0E5E081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2008489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bl>
          <w:p w14:paraId="319FC94E">
            <w:pPr>
              <w:pStyle w:val="128"/>
              <w:keepNext w:val="0"/>
              <w:keepLines w:val="0"/>
              <w:pageBreakBefore w:val="0"/>
              <w:widowControl w:val="0"/>
              <w:kinsoku/>
              <w:wordWrap/>
              <w:overflowPunct/>
              <w:topLinePunct w:val="0"/>
              <w:autoSpaceDE/>
              <w:autoSpaceDN/>
              <w:bidi w:val="0"/>
              <w:adjustRightInd w:val="0"/>
              <w:snapToGrid/>
              <w:ind w:firstLine="482"/>
              <w:jc w:val="left"/>
              <w:textAlignment w:val="auto"/>
              <w:rPr>
                <w:rFonts w:hint="eastAsia"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由上表可见，</w:t>
            </w:r>
            <w:r>
              <w:rPr>
                <w:rFonts w:hint="eastAsia" w:eastAsia="仿宋" w:cs="Times New Roman"/>
                <w:color w:val="auto"/>
                <w:kern w:val="2"/>
                <w:sz w:val="24"/>
                <w:szCs w:val="24"/>
                <w:highlight w:val="none"/>
                <w:lang w:val="en-US" w:eastAsia="zh-CN" w:bidi="ar-SA"/>
              </w:rPr>
              <w:t>原有</w:t>
            </w:r>
            <w:r>
              <w:rPr>
                <w:rFonts w:hint="eastAsia" w:ascii="Times New Roman" w:hAnsi="Times New Roman" w:eastAsia="仿宋" w:cs="Times New Roman"/>
                <w:color w:val="auto"/>
                <w:kern w:val="2"/>
                <w:sz w:val="24"/>
                <w:szCs w:val="24"/>
                <w:highlight w:val="none"/>
                <w:lang w:val="en-US" w:eastAsia="zh-CN" w:bidi="ar-SA"/>
              </w:rPr>
              <w:t>项目东、南、西、北侧厂界满足《工业企业厂界环境噪声排放标准》（GB12348-2008）4类标准限值</w:t>
            </w:r>
            <w:r>
              <w:rPr>
                <w:rFonts w:hint="eastAsia" w:eastAsia="仿宋" w:cs="Times New Roman"/>
                <w:color w:val="auto"/>
                <w:kern w:val="2"/>
                <w:sz w:val="24"/>
                <w:szCs w:val="24"/>
                <w:highlight w:val="none"/>
                <w:lang w:val="en-US" w:eastAsia="zh-CN" w:bidi="ar-SA"/>
              </w:rPr>
              <w:t>。</w:t>
            </w:r>
          </w:p>
          <w:p w14:paraId="0E030567">
            <w:pPr>
              <w:pStyle w:val="128"/>
              <w:keepNext w:val="0"/>
              <w:keepLines w:val="0"/>
              <w:pageBreakBefore w:val="0"/>
              <w:widowControl w:val="0"/>
              <w:kinsoku/>
              <w:wordWrap/>
              <w:overflowPunct/>
              <w:topLinePunct w:val="0"/>
              <w:autoSpaceDE/>
              <w:autoSpaceDN/>
              <w:bidi w:val="0"/>
              <w:adjustRightInd w:val="0"/>
              <w:snapToGrid/>
              <w:ind w:firstLine="482"/>
              <w:jc w:val="left"/>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根据常州市金坛区卫生和计划生育局金坛区人民医院、金坛区血站整体迁建项目检测报告（QSWT2108072），</w:t>
            </w:r>
            <w:r>
              <w:rPr>
                <w:rFonts w:hint="eastAsia" w:eastAsia="仿宋" w:cs="Times New Roman"/>
                <w:color w:val="auto"/>
                <w:kern w:val="2"/>
                <w:sz w:val="24"/>
                <w:szCs w:val="24"/>
                <w:highlight w:val="none"/>
                <w:lang w:val="en-US" w:eastAsia="zh-CN" w:bidi="ar-SA"/>
              </w:rPr>
              <w:t>原有</w:t>
            </w:r>
            <w:r>
              <w:rPr>
                <w:rFonts w:hint="eastAsia" w:ascii="Times New Roman" w:hAnsi="Times New Roman" w:eastAsia="仿宋" w:cs="Times New Roman"/>
                <w:color w:val="auto"/>
                <w:kern w:val="2"/>
                <w:sz w:val="24"/>
                <w:szCs w:val="24"/>
                <w:highlight w:val="none"/>
                <w:lang w:val="en-US" w:eastAsia="zh-CN" w:bidi="ar-SA"/>
              </w:rPr>
              <w:t>项目噪声</w:t>
            </w:r>
            <w:r>
              <w:rPr>
                <w:rFonts w:hint="eastAsia" w:eastAsia="仿宋" w:cs="Times New Roman"/>
                <w:color w:val="auto"/>
                <w:kern w:val="2"/>
                <w:sz w:val="24"/>
                <w:szCs w:val="24"/>
                <w:highlight w:val="none"/>
                <w:lang w:val="en-US" w:eastAsia="zh-CN" w:bidi="ar-SA"/>
              </w:rPr>
              <w:t>敏感点</w:t>
            </w:r>
            <w:r>
              <w:rPr>
                <w:rFonts w:hint="eastAsia" w:ascii="Times New Roman" w:hAnsi="Times New Roman" w:eastAsia="仿宋" w:cs="Times New Roman"/>
                <w:color w:val="auto"/>
                <w:kern w:val="2"/>
                <w:sz w:val="24"/>
                <w:szCs w:val="24"/>
                <w:highlight w:val="none"/>
                <w:lang w:val="en-US" w:eastAsia="zh-CN" w:bidi="ar-SA"/>
              </w:rPr>
              <w:t>验收监测情况见下表：</w:t>
            </w:r>
          </w:p>
          <w:p w14:paraId="3EC4EDC7">
            <w:pPr>
              <w:jc w:val="center"/>
              <w:rPr>
                <w:rFonts w:hint="default" w:eastAsia="仿宋" w:cs="Times New Roman"/>
                <w:b/>
                <w:bCs/>
                <w:color w:val="auto"/>
                <w:kern w:val="0"/>
                <w:sz w:val="22"/>
                <w:szCs w:val="22"/>
                <w:highlight w:val="none"/>
                <w:lang w:val="en-US" w:eastAsia="zh-CN"/>
              </w:rPr>
            </w:pPr>
            <w:r>
              <w:rPr>
                <w:rFonts w:hint="eastAsia" w:eastAsia="仿宋" w:cs="Times New Roman"/>
                <w:b/>
                <w:bCs/>
                <w:color w:val="auto"/>
                <w:kern w:val="0"/>
                <w:sz w:val="22"/>
                <w:szCs w:val="22"/>
                <w:highlight w:val="none"/>
                <w:lang w:val="en-US" w:eastAsia="zh-CN"/>
              </w:rPr>
              <w:t>表2-18 原有工程项目敏感点噪声监测结果 单位：dB（A）</w:t>
            </w:r>
          </w:p>
          <w:tbl>
            <w:tblPr>
              <w:tblStyle w:val="32"/>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110"/>
              <w:gridCol w:w="1012"/>
              <w:gridCol w:w="1012"/>
              <w:gridCol w:w="1012"/>
              <w:gridCol w:w="1012"/>
              <w:gridCol w:w="1012"/>
              <w:gridCol w:w="1014"/>
            </w:tblGrid>
            <w:tr w14:paraId="0F03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restart"/>
                  <w:vAlign w:val="center"/>
                </w:tcPr>
                <w:p w14:paraId="521AFCA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监测时间</w:t>
                  </w:r>
                </w:p>
              </w:tc>
              <w:tc>
                <w:tcPr>
                  <w:tcW w:w="1110" w:type="dxa"/>
                  <w:vMerge w:val="restart"/>
                  <w:vAlign w:val="center"/>
                </w:tcPr>
                <w:p w14:paraId="4C612CA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监测点位</w:t>
                  </w:r>
                </w:p>
              </w:tc>
              <w:tc>
                <w:tcPr>
                  <w:tcW w:w="2024" w:type="dxa"/>
                  <w:gridSpan w:val="2"/>
                  <w:vAlign w:val="center"/>
                </w:tcPr>
                <w:p w14:paraId="45213D8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监测值</w:t>
                  </w:r>
                </w:p>
              </w:tc>
              <w:tc>
                <w:tcPr>
                  <w:tcW w:w="2024" w:type="dxa"/>
                  <w:gridSpan w:val="2"/>
                  <w:vAlign w:val="center"/>
                </w:tcPr>
                <w:p w14:paraId="2744EB9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标准值</w:t>
                  </w:r>
                </w:p>
              </w:tc>
              <w:tc>
                <w:tcPr>
                  <w:tcW w:w="2026" w:type="dxa"/>
                  <w:gridSpan w:val="2"/>
                  <w:vAlign w:val="center"/>
                </w:tcPr>
                <w:p w14:paraId="1185B8E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达标情况</w:t>
                  </w:r>
                </w:p>
              </w:tc>
            </w:tr>
            <w:tr w14:paraId="7B71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1F0076C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110" w:type="dxa"/>
                  <w:vMerge w:val="continue"/>
                  <w:vAlign w:val="center"/>
                </w:tcPr>
                <w:p w14:paraId="29D3D3C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012" w:type="dxa"/>
                  <w:vAlign w:val="center"/>
                </w:tcPr>
                <w:p w14:paraId="28DA0CF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昼间</w:t>
                  </w:r>
                </w:p>
              </w:tc>
              <w:tc>
                <w:tcPr>
                  <w:tcW w:w="1012" w:type="dxa"/>
                  <w:vAlign w:val="center"/>
                </w:tcPr>
                <w:p w14:paraId="003934D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夜间</w:t>
                  </w:r>
                </w:p>
              </w:tc>
              <w:tc>
                <w:tcPr>
                  <w:tcW w:w="1012" w:type="dxa"/>
                  <w:vAlign w:val="center"/>
                </w:tcPr>
                <w:p w14:paraId="573525D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昼间</w:t>
                  </w:r>
                </w:p>
              </w:tc>
              <w:tc>
                <w:tcPr>
                  <w:tcW w:w="1012" w:type="dxa"/>
                  <w:vAlign w:val="center"/>
                </w:tcPr>
                <w:p w14:paraId="1F8459F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夜间</w:t>
                  </w:r>
                </w:p>
              </w:tc>
              <w:tc>
                <w:tcPr>
                  <w:tcW w:w="1012" w:type="dxa"/>
                  <w:vAlign w:val="center"/>
                </w:tcPr>
                <w:p w14:paraId="59BE90C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昼间</w:t>
                  </w:r>
                </w:p>
              </w:tc>
              <w:tc>
                <w:tcPr>
                  <w:tcW w:w="1014" w:type="dxa"/>
                  <w:vAlign w:val="center"/>
                </w:tcPr>
                <w:p w14:paraId="3B0EBCB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夜间</w:t>
                  </w:r>
                </w:p>
              </w:tc>
            </w:tr>
            <w:tr w14:paraId="0841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restart"/>
                  <w:vAlign w:val="center"/>
                </w:tcPr>
                <w:p w14:paraId="1323634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2021.8.24</w:t>
                  </w:r>
                </w:p>
              </w:tc>
              <w:tc>
                <w:tcPr>
                  <w:tcW w:w="1110" w:type="dxa"/>
                  <w:vAlign w:val="center"/>
                </w:tcPr>
                <w:p w14:paraId="57EA851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N1</w:t>
                  </w:r>
                </w:p>
              </w:tc>
              <w:tc>
                <w:tcPr>
                  <w:tcW w:w="1012" w:type="dxa"/>
                  <w:vAlign w:val="center"/>
                </w:tcPr>
                <w:p w14:paraId="731438E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48</w:t>
                  </w:r>
                </w:p>
              </w:tc>
              <w:tc>
                <w:tcPr>
                  <w:tcW w:w="1012" w:type="dxa"/>
                  <w:vAlign w:val="center"/>
                </w:tcPr>
                <w:p w14:paraId="4A2F4CA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39</w:t>
                  </w:r>
                </w:p>
              </w:tc>
              <w:tc>
                <w:tcPr>
                  <w:tcW w:w="1012" w:type="dxa"/>
                  <w:vMerge w:val="restart"/>
                  <w:vAlign w:val="center"/>
                </w:tcPr>
                <w:p w14:paraId="538CC04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50</w:t>
                  </w:r>
                </w:p>
              </w:tc>
              <w:tc>
                <w:tcPr>
                  <w:tcW w:w="1012" w:type="dxa"/>
                  <w:vMerge w:val="restart"/>
                  <w:vAlign w:val="center"/>
                </w:tcPr>
                <w:p w14:paraId="36EBA38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40</w:t>
                  </w:r>
                </w:p>
              </w:tc>
              <w:tc>
                <w:tcPr>
                  <w:tcW w:w="1012" w:type="dxa"/>
                  <w:vMerge w:val="restart"/>
                  <w:vAlign w:val="center"/>
                </w:tcPr>
                <w:p w14:paraId="7581A28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达标</w:t>
                  </w:r>
                </w:p>
              </w:tc>
              <w:tc>
                <w:tcPr>
                  <w:tcW w:w="1014" w:type="dxa"/>
                  <w:vMerge w:val="restart"/>
                  <w:vAlign w:val="center"/>
                </w:tcPr>
                <w:p w14:paraId="448E183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达标</w:t>
                  </w:r>
                </w:p>
              </w:tc>
            </w:tr>
            <w:tr w14:paraId="5EDD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493EC64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148C4EB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N2</w:t>
                  </w:r>
                </w:p>
              </w:tc>
              <w:tc>
                <w:tcPr>
                  <w:tcW w:w="1012" w:type="dxa"/>
                  <w:vAlign w:val="center"/>
                </w:tcPr>
                <w:p w14:paraId="27DA93A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48</w:t>
                  </w:r>
                </w:p>
              </w:tc>
              <w:tc>
                <w:tcPr>
                  <w:tcW w:w="1012" w:type="dxa"/>
                  <w:vAlign w:val="center"/>
                </w:tcPr>
                <w:p w14:paraId="26EECE0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39</w:t>
                  </w:r>
                </w:p>
              </w:tc>
              <w:tc>
                <w:tcPr>
                  <w:tcW w:w="1012" w:type="dxa"/>
                  <w:vMerge w:val="continue"/>
                  <w:vAlign w:val="center"/>
                </w:tcPr>
                <w:p w14:paraId="7D005FE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4C820BC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2CC84C3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3477B38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0653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63BE58F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00A174E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N3</w:t>
                  </w:r>
                </w:p>
              </w:tc>
              <w:tc>
                <w:tcPr>
                  <w:tcW w:w="1012" w:type="dxa"/>
                  <w:vAlign w:val="center"/>
                </w:tcPr>
                <w:p w14:paraId="60F5999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012" w:type="dxa"/>
                  <w:vAlign w:val="center"/>
                </w:tcPr>
                <w:p w14:paraId="71697F6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39</w:t>
                  </w:r>
                </w:p>
              </w:tc>
              <w:tc>
                <w:tcPr>
                  <w:tcW w:w="1012" w:type="dxa"/>
                  <w:vMerge w:val="continue"/>
                  <w:vAlign w:val="center"/>
                </w:tcPr>
                <w:p w14:paraId="27A5221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7A94EDC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4DE0278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75147F6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488F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23A5C86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403322F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N4</w:t>
                  </w:r>
                </w:p>
              </w:tc>
              <w:tc>
                <w:tcPr>
                  <w:tcW w:w="1012" w:type="dxa"/>
                  <w:vAlign w:val="center"/>
                </w:tcPr>
                <w:p w14:paraId="660D6E9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012" w:type="dxa"/>
                  <w:vAlign w:val="center"/>
                </w:tcPr>
                <w:p w14:paraId="30F9645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38</w:t>
                  </w:r>
                </w:p>
              </w:tc>
              <w:tc>
                <w:tcPr>
                  <w:tcW w:w="1012" w:type="dxa"/>
                  <w:vMerge w:val="continue"/>
                  <w:vAlign w:val="center"/>
                </w:tcPr>
                <w:p w14:paraId="55B8F50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1BC2291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1085F0D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755591E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69B8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46433D7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081A9B4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N5</w:t>
                  </w:r>
                </w:p>
              </w:tc>
              <w:tc>
                <w:tcPr>
                  <w:tcW w:w="1012" w:type="dxa"/>
                  <w:vAlign w:val="center"/>
                </w:tcPr>
                <w:p w14:paraId="44D5320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012" w:type="dxa"/>
                  <w:vAlign w:val="center"/>
                </w:tcPr>
                <w:p w14:paraId="160FACC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40</w:t>
                  </w:r>
                </w:p>
              </w:tc>
              <w:tc>
                <w:tcPr>
                  <w:tcW w:w="1012" w:type="dxa"/>
                  <w:vMerge w:val="continue"/>
                  <w:vAlign w:val="center"/>
                </w:tcPr>
                <w:p w14:paraId="1D941AD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7E6202B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531C21E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5845287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34A2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78830F3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56E5F5F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N6</w:t>
                  </w:r>
                </w:p>
              </w:tc>
              <w:tc>
                <w:tcPr>
                  <w:tcW w:w="1012" w:type="dxa"/>
                  <w:vAlign w:val="center"/>
                </w:tcPr>
                <w:p w14:paraId="2CF5F05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012" w:type="dxa"/>
                  <w:vAlign w:val="center"/>
                </w:tcPr>
                <w:p w14:paraId="234FD0A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39</w:t>
                  </w:r>
                </w:p>
              </w:tc>
              <w:tc>
                <w:tcPr>
                  <w:tcW w:w="1012" w:type="dxa"/>
                  <w:vMerge w:val="continue"/>
                  <w:vAlign w:val="center"/>
                </w:tcPr>
                <w:p w14:paraId="2BE5896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75A0BB4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4D3F179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2A54B20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0C27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5F372A8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27FE57F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N7</w:t>
                  </w:r>
                </w:p>
              </w:tc>
              <w:tc>
                <w:tcPr>
                  <w:tcW w:w="1012" w:type="dxa"/>
                  <w:vAlign w:val="center"/>
                </w:tcPr>
                <w:p w14:paraId="136B61E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47</w:t>
                  </w:r>
                </w:p>
              </w:tc>
              <w:tc>
                <w:tcPr>
                  <w:tcW w:w="1012" w:type="dxa"/>
                  <w:vAlign w:val="center"/>
                </w:tcPr>
                <w:p w14:paraId="60ECD2A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40</w:t>
                  </w:r>
                </w:p>
              </w:tc>
              <w:tc>
                <w:tcPr>
                  <w:tcW w:w="1012" w:type="dxa"/>
                  <w:vMerge w:val="continue"/>
                  <w:vAlign w:val="center"/>
                </w:tcPr>
                <w:p w14:paraId="46A769C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3487307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1306DAA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47BAB52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3599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48DF8FD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2C31CFE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N8</w:t>
                  </w:r>
                </w:p>
              </w:tc>
              <w:tc>
                <w:tcPr>
                  <w:tcW w:w="1012" w:type="dxa"/>
                  <w:vAlign w:val="center"/>
                </w:tcPr>
                <w:p w14:paraId="141DEA6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48</w:t>
                  </w:r>
                </w:p>
              </w:tc>
              <w:tc>
                <w:tcPr>
                  <w:tcW w:w="1012" w:type="dxa"/>
                  <w:vAlign w:val="center"/>
                </w:tcPr>
                <w:p w14:paraId="1478571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39</w:t>
                  </w:r>
                </w:p>
              </w:tc>
              <w:tc>
                <w:tcPr>
                  <w:tcW w:w="1012" w:type="dxa"/>
                  <w:vMerge w:val="continue"/>
                  <w:vAlign w:val="center"/>
                </w:tcPr>
                <w:p w14:paraId="4773439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4330799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176E7B6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2E2F703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0393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51E5585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1C279F2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N9</w:t>
                  </w:r>
                </w:p>
              </w:tc>
              <w:tc>
                <w:tcPr>
                  <w:tcW w:w="1012" w:type="dxa"/>
                  <w:vAlign w:val="center"/>
                </w:tcPr>
                <w:p w14:paraId="3A1EE1E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58</w:t>
                  </w:r>
                </w:p>
              </w:tc>
              <w:tc>
                <w:tcPr>
                  <w:tcW w:w="1012" w:type="dxa"/>
                  <w:vAlign w:val="center"/>
                </w:tcPr>
                <w:p w14:paraId="75F813B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012" w:type="dxa"/>
                  <w:vMerge w:val="restart"/>
                  <w:vAlign w:val="center"/>
                </w:tcPr>
                <w:p w14:paraId="72B70F8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60</w:t>
                  </w:r>
                </w:p>
              </w:tc>
              <w:tc>
                <w:tcPr>
                  <w:tcW w:w="1012" w:type="dxa"/>
                  <w:vMerge w:val="restart"/>
                  <w:vAlign w:val="center"/>
                </w:tcPr>
                <w:p w14:paraId="2B79BFB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50</w:t>
                  </w:r>
                </w:p>
              </w:tc>
              <w:tc>
                <w:tcPr>
                  <w:tcW w:w="1012" w:type="dxa"/>
                  <w:vMerge w:val="continue"/>
                  <w:vAlign w:val="center"/>
                </w:tcPr>
                <w:p w14:paraId="7E7CA92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6EE4C7C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6823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26FBA9D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110" w:type="dxa"/>
                  <w:vAlign w:val="center"/>
                </w:tcPr>
                <w:p w14:paraId="604B255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N10</w:t>
                  </w:r>
                </w:p>
              </w:tc>
              <w:tc>
                <w:tcPr>
                  <w:tcW w:w="1012" w:type="dxa"/>
                  <w:vAlign w:val="center"/>
                </w:tcPr>
                <w:p w14:paraId="6C5C6A2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58</w:t>
                  </w:r>
                </w:p>
              </w:tc>
              <w:tc>
                <w:tcPr>
                  <w:tcW w:w="1012" w:type="dxa"/>
                  <w:vAlign w:val="center"/>
                </w:tcPr>
                <w:p w14:paraId="3F4562A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48</w:t>
                  </w:r>
                </w:p>
              </w:tc>
              <w:tc>
                <w:tcPr>
                  <w:tcW w:w="1012" w:type="dxa"/>
                  <w:vMerge w:val="continue"/>
                  <w:vAlign w:val="center"/>
                </w:tcPr>
                <w:p w14:paraId="26B2448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43A63BC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5B26686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4" w:type="dxa"/>
                  <w:vMerge w:val="continue"/>
                  <w:vAlign w:val="center"/>
                </w:tcPr>
                <w:p w14:paraId="58D7724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r>
            <w:tr w14:paraId="15FC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restart"/>
                  <w:vAlign w:val="center"/>
                </w:tcPr>
                <w:p w14:paraId="437E7C8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2021.8.24</w:t>
                  </w:r>
                </w:p>
              </w:tc>
              <w:tc>
                <w:tcPr>
                  <w:tcW w:w="1110" w:type="dxa"/>
                  <w:vAlign w:val="center"/>
                </w:tcPr>
                <w:p w14:paraId="3340EDF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N1</w:t>
                  </w:r>
                </w:p>
              </w:tc>
              <w:tc>
                <w:tcPr>
                  <w:tcW w:w="1012" w:type="dxa"/>
                  <w:vAlign w:val="center"/>
                </w:tcPr>
                <w:p w14:paraId="4AA8AB0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012" w:type="dxa"/>
                  <w:vAlign w:val="center"/>
                </w:tcPr>
                <w:p w14:paraId="47236BB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39</w:t>
                  </w:r>
                </w:p>
              </w:tc>
              <w:tc>
                <w:tcPr>
                  <w:tcW w:w="1012" w:type="dxa"/>
                  <w:vMerge w:val="restart"/>
                  <w:vAlign w:val="center"/>
                </w:tcPr>
                <w:p w14:paraId="41BEF82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50</w:t>
                  </w:r>
                </w:p>
              </w:tc>
              <w:tc>
                <w:tcPr>
                  <w:tcW w:w="1012" w:type="dxa"/>
                  <w:vMerge w:val="restart"/>
                  <w:vAlign w:val="center"/>
                </w:tcPr>
                <w:p w14:paraId="7FAF646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40</w:t>
                  </w:r>
                </w:p>
              </w:tc>
              <w:tc>
                <w:tcPr>
                  <w:tcW w:w="1012" w:type="dxa"/>
                  <w:vMerge w:val="restart"/>
                  <w:vAlign w:val="center"/>
                </w:tcPr>
                <w:p w14:paraId="2B0E5E3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达标</w:t>
                  </w:r>
                </w:p>
              </w:tc>
              <w:tc>
                <w:tcPr>
                  <w:tcW w:w="1014" w:type="dxa"/>
                  <w:vMerge w:val="restart"/>
                  <w:vAlign w:val="center"/>
                </w:tcPr>
                <w:p w14:paraId="5133DE5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达标</w:t>
                  </w:r>
                </w:p>
              </w:tc>
            </w:tr>
            <w:tr w14:paraId="5105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051CB8A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110" w:type="dxa"/>
                  <w:vAlign w:val="center"/>
                </w:tcPr>
                <w:p w14:paraId="51C9211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N2</w:t>
                  </w:r>
                </w:p>
              </w:tc>
              <w:tc>
                <w:tcPr>
                  <w:tcW w:w="1012" w:type="dxa"/>
                  <w:vAlign w:val="center"/>
                </w:tcPr>
                <w:p w14:paraId="1A858C6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012" w:type="dxa"/>
                  <w:vAlign w:val="center"/>
                </w:tcPr>
                <w:p w14:paraId="00A236D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38</w:t>
                  </w:r>
                </w:p>
              </w:tc>
              <w:tc>
                <w:tcPr>
                  <w:tcW w:w="1012" w:type="dxa"/>
                  <w:vMerge w:val="continue"/>
                  <w:vAlign w:val="center"/>
                </w:tcPr>
                <w:p w14:paraId="154F13A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0E4893D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73D6F15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014" w:type="dxa"/>
                  <w:vMerge w:val="continue"/>
                  <w:vAlign w:val="center"/>
                </w:tcPr>
                <w:p w14:paraId="6C22994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r>
            <w:tr w14:paraId="2C92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2F53980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110" w:type="dxa"/>
                  <w:vAlign w:val="center"/>
                </w:tcPr>
                <w:p w14:paraId="77BAB7D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N3</w:t>
                  </w:r>
                </w:p>
              </w:tc>
              <w:tc>
                <w:tcPr>
                  <w:tcW w:w="1012" w:type="dxa"/>
                  <w:vAlign w:val="center"/>
                </w:tcPr>
                <w:p w14:paraId="6303FFF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48</w:t>
                  </w:r>
                </w:p>
              </w:tc>
              <w:tc>
                <w:tcPr>
                  <w:tcW w:w="1012" w:type="dxa"/>
                  <w:vAlign w:val="center"/>
                </w:tcPr>
                <w:p w14:paraId="6E4E307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39</w:t>
                  </w:r>
                </w:p>
              </w:tc>
              <w:tc>
                <w:tcPr>
                  <w:tcW w:w="1012" w:type="dxa"/>
                  <w:vMerge w:val="continue"/>
                  <w:vAlign w:val="center"/>
                </w:tcPr>
                <w:p w14:paraId="3BB10CE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1B1DBED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438A4A9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014" w:type="dxa"/>
                  <w:vMerge w:val="continue"/>
                  <w:vAlign w:val="center"/>
                </w:tcPr>
                <w:p w14:paraId="02709CD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r>
            <w:tr w14:paraId="7DF0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4F2D70A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110" w:type="dxa"/>
                  <w:vAlign w:val="center"/>
                </w:tcPr>
                <w:p w14:paraId="0C418E0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N4</w:t>
                  </w:r>
                </w:p>
              </w:tc>
              <w:tc>
                <w:tcPr>
                  <w:tcW w:w="1012" w:type="dxa"/>
                  <w:vAlign w:val="center"/>
                </w:tcPr>
                <w:p w14:paraId="4487873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48</w:t>
                  </w:r>
                </w:p>
              </w:tc>
              <w:tc>
                <w:tcPr>
                  <w:tcW w:w="1012" w:type="dxa"/>
                  <w:vAlign w:val="center"/>
                </w:tcPr>
                <w:p w14:paraId="1E8B2ED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39</w:t>
                  </w:r>
                </w:p>
              </w:tc>
              <w:tc>
                <w:tcPr>
                  <w:tcW w:w="1012" w:type="dxa"/>
                  <w:vMerge w:val="continue"/>
                  <w:vAlign w:val="center"/>
                </w:tcPr>
                <w:p w14:paraId="269024A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4E68648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7C29E47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014" w:type="dxa"/>
                  <w:vMerge w:val="continue"/>
                  <w:vAlign w:val="center"/>
                </w:tcPr>
                <w:p w14:paraId="43298FA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r>
            <w:tr w14:paraId="2FF1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341EAC3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110" w:type="dxa"/>
                  <w:vAlign w:val="center"/>
                </w:tcPr>
                <w:p w14:paraId="44DC551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N5</w:t>
                  </w:r>
                </w:p>
              </w:tc>
              <w:tc>
                <w:tcPr>
                  <w:tcW w:w="1012" w:type="dxa"/>
                  <w:vAlign w:val="center"/>
                </w:tcPr>
                <w:p w14:paraId="1A41897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012" w:type="dxa"/>
                  <w:vAlign w:val="center"/>
                </w:tcPr>
                <w:p w14:paraId="68DE815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39</w:t>
                  </w:r>
                </w:p>
              </w:tc>
              <w:tc>
                <w:tcPr>
                  <w:tcW w:w="1012" w:type="dxa"/>
                  <w:vMerge w:val="continue"/>
                  <w:vAlign w:val="center"/>
                </w:tcPr>
                <w:p w14:paraId="41C7871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20F9393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6C9F9ED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014" w:type="dxa"/>
                  <w:vMerge w:val="continue"/>
                  <w:vAlign w:val="center"/>
                </w:tcPr>
                <w:p w14:paraId="3ADD6D8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r>
            <w:tr w14:paraId="16C0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14E8984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110" w:type="dxa"/>
                  <w:vAlign w:val="center"/>
                </w:tcPr>
                <w:p w14:paraId="3665A29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N6</w:t>
                  </w:r>
                </w:p>
              </w:tc>
              <w:tc>
                <w:tcPr>
                  <w:tcW w:w="1012" w:type="dxa"/>
                  <w:vAlign w:val="center"/>
                </w:tcPr>
                <w:p w14:paraId="2AD3E33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012" w:type="dxa"/>
                  <w:vAlign w:val="center"/>
                </w:tcPr>
                <w:p w14:paraId="3D39F7F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38</w:t>
                  </w:r>
                </w:p>
              </w:tc>
              <w:tc>
                <w:tcPr>
                  <w:tcW w:w="1012" w:type="dxa"/>
                  <w:vMerge w:val="continue"/>
                  <w:vAlign w:val="center"/>
                </w:tcPr>
                <w:p w14:paraId="05650D6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6953A3C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38839CC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014" w:type="dxa"/>
                  <w:vMerge w:val="continue"/>
                  <w:vAlign w:val="center"/>
                </w:tcPr>
                <w:p w14:paraId="7D4A534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r>
            <w:tr w14:paraId="4C28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742D955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110" w:type="dxa"/>
                  <w:vAlign w:val="center"/>
                </w:tcPr>
                <w:p w14:paraId="4E261E0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N7</w:t>
                  </w:r>
                </w:p>
              </w:tc>
              <w:tc>
                <w:tcPr>
                  <w:tcW w:w="1012" w:type="dxa"/>
                  <w:vAlign w:val="center"/>
                </w:tcPr>
                <w:p w14:paraId="41A791F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012" w:type="dxa"/>
                  <w:vAlign w:val="center"/>
                </w:tcPr>
                <w:p w14:paraId="23F2971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40</w:t>
                  </w:r>
                </w:p>
              </w:tc>
              <w:tc>
                <w:tcPr>
                  <w:tcW w:w="1012" w:type="dxa"/>
                  <w:vMerge w:val="continue"/>
                  <w:vAlign w:val="center"/>
                </w:tcPr>
                <w:p w14:paraId="04462A2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510D65E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3D79398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014" w:type="dxa"/>
                  <w:vMerge w:val="continue"/>
                  <w:vAlign w:val="center"/>
                </w:tcPr>
                <w:p w14:paraId="30DEC22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r>
            <w:tr w14:paraId="7563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6BAB5FC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110" w:type="dxa"/>
                  <w:vAlign w:val="center"/>
                </w:tcPr>
                <w:p w14:paraId="69E8392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N8</w:t>
                  </w:r>
                </w:p>
              </w:tc>
              <w:tc>
                <w:tcPr>
                  <w:tcW w:w="1012" w:type="dxa"/>
                  <w:vAlign w:val="center"/>
                </w:tcPr>
                <w:p w14:paraId="43A64A2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012" w:type="dxa"/>
                  <w:vAlign w:val="center"/>
                </w:tcPr>
                <w:p w14:paraId="73E1A00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39</w:t>
                  </w:r>
                </w:p>
              </w:tc>
              <w:tc>
                <w:tcPr>
                  <w:tcW w:w="1012" w:type="dxa"/>
                  <w:vMerge w:val="continue"/>
                  <w:vAlign w:val="center"/>
                </w:tcPr>
                <w:p w14:paraId="53CF14E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556A26C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p>
              </w:tc>
              <w:tc>
                <w:tcPr>
                  <w:tcW w:w="1012" w:type="dxa"/>
                  <w:vMerge w:val="continue"/>
                  <w:vAlign w:val="center"/>
                </w:tcPr>
                <w:p w14:paraId="01C931C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014" w:type="dxa"/>
                  <w:vMerge w:val="continue"/>
                  <w:vAlign w:val="center"/>
                </w:tcPr>
                <w:p w14:paraId="080E185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r>
            <w:tr w14:paraId="3DD0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76D8AAC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110" w:type="dxa"/>
                  <w:vAlign w:val="center"/>
                </w:tcPr>
                <w:p w14:paraId="03C7399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N9</w:t>
                  </w:r>
                </w:p>
              </w:tc>
              <w:tc>
                <w:tcPr>
                  <w:tcW w:w="1012" w:type="dxa"/>
                  <w:vAlign w:val="center"/>
                </w:tcPr>
                <w:p w14:paraId="4236779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58</w:t>
                  </w:r>
                </w:p>
              </w:tc>
              <w:tc>
                <w:tcPr>
                  <w:tcW w:w="1012" w:type="dxa"/>
                  <w:vAlign w:val="center"/>
                </w:tcPr>
                <w:p w14:paraId="700A263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012" w:type="dxa"/>
                  <w:vMerge w:val="restart"/>
                  <w:vAlign w:val="center"/>
                </w:tcPr>
                <w:p w14:paraId="42409D5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60</w:t>
                  </w:r>
                </w:p>
              </w:tc>
              <w:tc>
                <w:tcPr>
                  <w:tcW w:w="1012" w:type="dxa"/>
                  <w:vMerge w:val="restart"/>
                  <w:vAlign w:val="center"/>
                </w:tcPr>
                <w:p w14:paraId="62F9612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50</w:t>
                  </w:r>
                </w:p>
              </w:tc>
              <w:tc>
                <w:tcPr>
                  <w:tcW w:w="1012" w:type="dxa"/>
                  <w:vMerge w:val="continue"/>
                  <w:vAlign w:val="center"/>
                </w:tcPr>
                <w:p w14:paraId="51D5560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014" w:type="dxa"/>
                  <w:vMerge w:val="continue"/>
                  <w:vAlign w:val="center"/>
                </w:tcPr>
                <w:p w14:paraId="3BAA828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r>
            <w:tr w14:paraId="5C0D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vAlign w:val="center"/>
                </w:tcPr>
                <w:p w14:paraId="21AB97D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110" w:type="dxa"/>
                  <w:vAlign w:val="center"/>
                </w:tcPr>
                <w:p w14:paraId="60D2CA0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N10</w:t>
                  </w:r>
                </w:p>
              </w:tc>
              <w:tc>
                <w:tcPr>
                  <w:tcW w:w="1012" w:type="dxa"/>
                  <w:vAlign w:val="center"/>
                </w:tcPr>
                <w:p w14:paraId="23E50C9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59</w:t>
                  </w:r>
                </w:p>
              </w:tc>
              <w:tc>
                <w:tcPr>
                  <w:tcW w:w="1012" w:type="dxa"/>
                  <w:vAlign w:val="center"/>
                </w:tcPr>
                <w:p w14:paraId="02C322C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012" w:type="dxa"/>
                  <w:vMerge w:val="continue"/>
                  <w:vAlign w:val="center"/>
                </w:tcPr>
                <w:p w14:paraId="1B0D68D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012" w:type="dxa"/>
                  <w:vMerge w:val="continue"/>
                  <w:vAlign w:val="center"/>
                </w:tcPr>
                <w:p w14:paraId="4908DFF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012" w:type="dxa"/>
                  <w:vMerge w:val="continue"/>
                  <w:vAlign w:val="center"/>
                </w:tcPr>
                <w:p w14:paraId="4733A9C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c>
                <w:tcPr>
                  <w:tcW w:w="1014" w:type="dxa"/>
                  <w:vMerge w:val="continue"/>
                  <w:vAlign w:val="center"/>
                </w:tcPr>
                <w:p w14:paraId="1EB0EA1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仿宋" w:cs="Times New Roman"/>
                      <w:b/>
                      <w:bCs/>
                      <w:color w:val="auto"/>
                      <w:kern w:val="0"/>
                      <w:sz w:val="21"/>
                      <w:szCs w:val="21"/>
                      <w:highlight w:val="none"/>
                      <w:lang w:val="en-US" w:eastAsia="zh-CN"/>
                    </w:rPr>
                  </w:pPr>
                </w:p>
              </w:tc>
            </w:tr>
          </w:tbl>
          <w:p w14:paraId="41E04157">
            <w:pPr>
              <w:pStyle w:val="128"/>
              <w:keepNext w:val="0"/>
              <w:keepLines w:val="0"/>
              <w:pageBreakBefore w:val="0"/>
              <w:widowControl w:val="0"/>
              <w:kinsoku/>
              <w:wordWrap/>
              <w:overflowPunct/>
              <w:topLinePunct w:val="0"/>
              <w:autoSpaceDE/>
              <w:autoSpaceDN/>
              <w:bidi w:val="0"/>
              <w:adjustRightInd w:val="0"/>
              <w:snapToGrid/>
              <w:ind w:firstLine="482"/>
              <w:jc w:val="left"/>
              <w:textAlignment w:val="auto"/>
              <w:rPr>
                <w:rFonts w:hint="eastAsia"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由上表可见，</w:t>
            </w:r>
            <w:r>
              <w:rPr>
                <w:rFonts w:hint="eastAsia" w:eastAsia="仿宋" w:cs="Times New Roman"/>
                <w:color w:val="auto"/>
                <w:kern w:val="2"/>
                <w:sz w:val="24"/>
                <w:szCs w:val="24"/>
                <w:highlight w:val="none"/>
                <w:lang w:val="en-US" w:eastAsia="zh-CN" w:bidi="ar-SA"/>
              </w:rPr>
              <w:t>原有</w:t>
            </w:r>
            <w:r>
              <w:rPr>
                <w:rFonts w:hint="eastAsia" w:ascii="Times New Roman" w:hAnsi="Times New Roman" w:eastAsia="仿宋" w:cs="Times New Roman"/>
                <w:color w:val="auto"/>
                <w:kern w:val="2"/>
                <w:sz w:val="24"/>
                <w:szCs w:val="24"/>
                <w:highlight w:val="none"/>
                <w:lang w:val="en-US" w:eastAsia="zh-CN" w:bidi="ar-SA"/>
              </w:rPr>
              <w:t>项目周围环境敏感点噪声满足《声环境质量标准》（GB3096-2008）2类标准限值</w:t>
            </w:r>
            <w:r>
              <w:rPr>
                <w:rFonts w:hint="eastAsia" w:eastAsia="仿宋" w:cs="Times New Roman"/>
                <w:color w:val="auto"/>
                <w:kern w:val="2"/>
                <w:sz w:val="24"/>
                <w:szCs w:val="24"/>
                <w:highlight w:val="none"/>
                <w:lang w:val="en-US" w:eastAsia="zh-CN" w:bidi="ar-SA"/>
              </w:rPr>
              <w:t>。</w:t>
            </w:r>
          </w:p>
          <w:p w14:paraId="1DFBC190">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b w:val="0"/>
                <w:bCs w:val="0"/>
                <w:color w:val="auto"/>
                <w:kern w:val="2"/>
                <w:sz w:val="24"/>
                <w:szCs w:val="24"/>
                <w:highlight w:val="none"/>
                <w:lang w:val="en-US" w:eastAsia="zh-CN" w:bidi="ar-SA"/>
              </w:rPr>
            </w:pPr>
            <w:r>
              <w:rPr>
                <w:rFonts w:hint="eastAsia" w:ascii="Times New Roman" w:hAnsi="Times New Roman" w:eastAsia="仿宋" w:cs="Times New Roman"/>
                <w:b w:val="0"/>
                <w:bCs w:val="0"/>
                <w:color w:val="auto"/>
                <w:kern w:val="2"/>
                <w:sz w:val="24"/>
                <w:szCs w:val="24"/>
                <w:highlight w:val="none"/>
                <w:lang w:val="en-US" w:eastAsia="zh-CN" w:bidi="ar-SA"/>
              </w:rPr>
              <w:t>4、固体废物</w:t>
            </w:r>
          </w:p>
          <w:p w14:paraId="763DEB0E">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1）污染防治措施</w:t>
            </w:r>
          </w:p>
          <w:p w14:paraId="19B61DBC">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对已产生的医疗废物、危险废物，本院已建设危险废物仓库进行医疗废物、危险废物的储存，并建立危险废物标志、分类存放，加强固废运输中的安全管理。</w:t>
            </w:r>
          </w:p>
          <w:p w14:paraId="7108D57F">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危险废物的贮存设施满足防渗、防雨、防漏要求。</w:t>
            </w:r>
          </w:p>
          <w:p w14:paraId="2B5580CF">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生活垃圾：</w:t>
            </w:r>
            <w:r>
              <w:rPr>
                <w:rFonts w:hint="eastAsia" w:eastAsia="仿宋" w:cs="Times New Roman"/>
                <w:color w:val="auto"/>
                <w:kern w:val="2"/>
                <w:sz w:val="24"/>
                <w:szCs w:val="24"/>
                <w:highlight w:val="none"/>
                <w:lang w:val="en-US" w:eastAsia="zh-CN" w:bidi="ar-SA"/>
              </w:rPr>
              <w:t>原项目</w:t>
            </w:r>
            <w:r>
              <w:rPr>
                <w:rFonts w:hint="eastAsia" w:ascii="Times New Roman" w:hAnsi="Times New Roman" w:eastAsia="仿宋" w:cs="Times New Roman"/>
                <w:color w:val="auto"/>
                <w:kern w:val="2"/>
                <w:sz w:val="24"/>
                <w:szCs w:val="24"/>
                <w:highlight w:val="none"/>
                <w:lang w:val="en-US" w:eastAsia="zh-CN" w:bidi="ar-SA"/>
              </w:rPr>
              <w:t>项目生活垃圾量为1100t/a，按指定地点堆放，由环卫部门统一收集处置。</w:t>
            </w:r>
          </w:p>
          <w:p w14:paraId="7E6745BA">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一般固体废物：废包装盒10t/a，收集后外售处理。</w:t>
            </w:r>
          </w:p>
          <w:p w14:paraId="5DD459D0">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危险废物：</w:t>
            </w:r>
          </w:p>
          <w:p w14:paraId="367AFC81">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①医疗废物80t/a（废物类别：HW01，废物代码为841-001-01）；废药物、药品1t/a（废物类别：HW01，废物代码为841-001-01）；委托常州常楹等离子体科技有限公司处理。</w:t>
            </w:r>
          </w:p>
          <w:p w14:paraId="7DA14D18">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②污水处理站污泥（废物类别：HW01，废物代码为841-001-01）30t/a，委托常州润克环保科技有限公司处理。</w:t>
            </w:r>
          </w:p>
          <w:p w14:paraId="01A88E1E">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2）实际处理情况</w:t>
            </w:r>
          </w:p>
          <w:p w14:paraId="0179CCE3">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根据《金坛区人民医院、金坛区血站整体迁建项目竣工环境保护验收监测报告》</w:t>
            </w:r>
            <w:r>
              <w:rPr>
                <w:rFonts w:hint="eastAsia" w:eastAsia="仿宋" w:cs="Times New Roman"/>
                <w:color w:val="auto"/>
                <w:kern w:val="2"/>
                <w:sz w:val="24"/>
                <w:szCs w:val="24"/>
                <w:highlight w:val="none"/>
                <w:lang w:val="en-US" w:eastAsia="zh-CN" w:bidi="ar-SA"/>
              </w:rPr>
              <w:t>，医疗废物委托常州常楹等离子体科技有限公司处理，污泥委托有资质单位处理，生活垃圾委托环卫部门清运，一般固废收集后外售。</w:t>
            </w:r>
          </w:p>
          <w:p w14:paraId="49E02FF4">
            <w:pPr>
              <w:pStyle w:val="129"/>
              <w:spacing w:line="360" w:lineRule="auto"/>
              <w:ind w:left="0" w:leftChars="0" w:firstLine="482" w:firstLineChars="200"/>
              <w:rPr>
                <w:rFonts w:hint="eastAsia" w:ascii="Times New Roman" w:hAnsi="Times New Roman" w:eastAsia="仿宋" w:cs="Times New Roman"/>
                <w:b/>
                <w:bCs/>
                <w:color w:val="auto"/>
                <w:kern w:val="2"/>
                <w:sz w:val="24"/>
                <w:szCs w:val="24"/>
                <w:highlight w:val="none"/>
                <w:lang w:val="en-US" w:eastAsia="zh-CN" w:bidi="ar-SA"/>
              </w:rPr>
            </w:pPr>
            <w:r>
              <w:rPr>
                <w:rFonts w:hint="eastAsia" w:ascii="Times New Roman" w:hAnsi="Times New Roman" w:eastAsia="仿宋" w:cs="Times New Roman"/>
                <w:b/>
                <w:bCs/>
                <w:color w:val="auto"/>
                <w:kern w:val="2"/>
                <w:sz w:val="24"/>
                <w:szCs w:val="24"/>
                <w:highlight w:val="none"/>
                <w:lang w:val="en-US" w:eastAsia="zh-CN" w:bidi="ar-SA"/>
              </w:rPr>
              <w:t>五、</w:t>
            </w:r>
            <w:r>
              <w:rPr>
                <w:rFonts w:hint="eastAsia" w:eastAsia="仿宋" w:cs="Times New Roman"/>
                <w:b/>
                <w:bCs/>
                <w:color w:val="auto"/>
                <w:kern w:val="2"/>
                <w:sz w:val="24"/>
                <w:szCs w:val="24"/>
                <w:highlight w:val="none"/>
                <w:lang w:val="en-US" w:eastAsia="zh-CN" w:bidi="ar-SA"/>
              </w:rPr>
              <w:t>原有</w:t>
            </w:r>
            <w:r>
              <w:rPr>
                <w:rFonts w:hint="eastAsia" w:ascii="Times New Roman" w:hAnsi="Times New Roman" w:eastAsia="仿宋" w:cs="Times New Roman"/>
                <w:b/>
                <w:bCs/>
                <w:color w:val="auto"/>
                <w:kern w:val="2"/>
                <w:sz w:val="24"/>
                <w:szCs w:val="24"/>
                <w:highlight w:val="none"/>
                <w:lang w:val="en-US" w:eastAsia="zh-CN" w:bidi="ar-SA"/>
              </w:rPr>
              <w:t>工程存在的环保问题</w:t>
            </w:r>
          </w:p>
          <w:p w14:paraId="296EB821">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原有</w:t>
            </w:r>
            <w:r>
              <w:rPr>
                <w:rFonts w:hint="eastAsia" w:ascii="Times New Roman" w:hAnsi="Times New Roman" w:eastAsia="仿宋" w:cs="Times New Roman"/>
                <w:color w:val="auto"/>
                <w:kern w:val="2"/>
                <w:sz w:val="24"/>
                <w:szCs w:val="24"/>
                <w:highlight w:val="none"/>
                <w:lang w:val="en-US" w:eastAsia="zh-CN" w:bidi="ar-SA"/>
              </w:rPr>
              <w:t>工程建设项目</w:t>
            </w:r>
            <w:r>
              <w:rPr>
                <w:rFonts w:hint="eastAsia" w:eastAsia="仿宋" w:cs="Times New Roman"/>
                <w:color w:val="auto"/>
                <w:kern w:val="2"/>
                <w:sz w:val="24"/>
                <w:szCs w:val="24"/>
                <w:highlight w:val="none"/>
                <w:lang w:val="en-US" w:eastAsia="zh-CN" w:bidi="ar-SA"/>
              </w:rPr>
              <w:t>已完成验收，</w:t>
            </w:r>
            <w:r>
              <w:rPr>
                <w:rFonts w:hint="eastAsia" w:ascii="Times New Roman" w:hAnsi="Times New Roman" w:eastAsia="仿宋" w:cs="Times New Roman"/>
                <w:color w:val="auto"/>
                <w:kern w:val="2"/>
                <w:sz w:val="24"/>
                <w:szCs w:val="24"/>
                <w:highlight w:val="none"/>
                <w:lang w:val="en-US" w:eastAsia="zh-CN" w:bidi="ar-SA"/>
              </w:rPr>
              <w:t>无环保问题。</w:t>
            </w:r>
          </w:p>
          <w:p w14:paraId="0DAB83A9">
            <w:pPr>
              <w:keepNext w:val="0"/>
              <w:keepLines w:val="0"/>
              <w:pageBreakBefore w:val="0"/>
              <w:widowControl w:val="0"/>
              <w:tabs>
                <w:tab w:val="left" w:pos="2846"/>
                <w:tab w:val="left" w:pos="4382"/>
                <w:tab w:val="left" w:pos="4451"/>
                <w:tab w:val="left" w:pos="6056"/>
              </w:tabs>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 w:cs="Times New Roman"/>
                <w:b/>
                <w:bCs/>
                <w:color w:val="auto"/>
                <w:kern w:val="2"/>
                <w:sz w:val="24"/>
                <w:szCs w:val="24"/>
                <w:highlight w:val="none"/>
                <w:lang w:val="en-US" w:eastAsia="zh-CN" w:bidi="ar-SA"/>
              </w:rPr>
            </w:pPr>
            <w:r>
              <w:rPr>
                <w:rFonts w:hint="eastAsia" w:ascii="Times New Roman" w:hAnsi="Times New Roman" w:eastAsia="仿宋" w:cs="Times New Roman"/>
                <w:b/>
                <w:bCs/>
                <w:color w:val="auto"/>
                <w:kern w:val="2"/>
                <w:sz w:val="24"/>
                <w:szCs w:val="24"/>
                <w:highlight w:val="none"/>
                <w:lang w:val="en-US" w:eastAsia="zh-CN" w:bidi="ar-SA"/>
              </w:rPr>
              <w:t>六、整改措施</w:t>
            </w:r>
          </w:p>
          <w:p w14:paraId="45247CF8">
            <w:pPr>
              <w:adjustRightInd w:val="0"/>
              <w:snapToGrid w:val="0"/>
              <w:spacing w:line="360" w:lineRule="auto"/>
              <w:ind w:firstLine="480" w:firstLineChars="200"/>
              <w:rPr>
                <w:rFonts w:hint="default"/>
                <w:color w:val="FF0000"/>
              </w:rPr>
            </w:pPr>
            <w:r>
              <w:rPr>
                <w:rFonts w:hint="eastAsia" w:ascii="Times New Roman" w:hAnsi="Times New Roman" w:eastAsia="仿宋" w:cs="Times New Roman"/>
                <w:color w:val="auto"/>
                <w:kern w:val="2"/>
                <w:sz w:val="24"/>
                <w:szCs w:val="24"/>
                <w:highlight w:val="none"/>
                <w:lang w:val="en-US" w:eastAsia="zh-CN" w:bidi="ar-SA"/>
              </w:rPr>
              <w:t>无。</w:t>
            </w:r>
          </w:p>
        </w:tc>
      </w:tr>
    </w:tbl>
    <w:p w14:paraId="6540A6E3">
      <w:pPr>
        <w:pStyle w:val="27"/>
        <w:jc w:val="center"/>
        <w:outlineLvl w:val="0"/>
        <w:rPr>
          <w:rFonts w:hint="default" w:ascii="Times New Roman" w:hAnsi="Times New Roman" w:eastAsia="仿宋" w:cs="Times New Roman"/>
          <w:b/>
          <w:bCs/>
          <w:snapToGrid w:val="0"/>
          <w:color w:val="auto"/>
          <w:sz w:val="30"/>
          <w:szCs w:val="30"/>
          <w:highlight w:val="none"/>
        </w:rPr>
        <w:sectPr>
          <w:pgSz w:w="11907" w:h="16840"/>
          <w:pgMar w:top="1701" w:right="1531" w:bottom="1560" w:left="1531" w:header="851" w:footer="1180" w:gutter="0"/>
          <w:pgBorders>
            <w:top w:val="none" w:sz="0" w:space="0"/>
            <w:left w:val="none" w:sz="0" w:space="0"/>
            <w:bottom w:val="none" w:sz="0" w:space="0"/>
            <w:right w:val="none" w:sz="0" w:space="0"/>
          </w:pgBorders>
          <w:cols w:space="720" w:num="1"/>
          <w:docGrid w:linePitch="312" w:charSpace="0"/>
        </w:sectPr>
      </w:pPr>
    </w:p>
    <w:p w14:paraId="6061763A">
      <w:pPr>
        <w:pStyle w:val="27"/>
        <w:jc w:val="center"/>
        <w:outlineLvl w:val="0"/>
        <w:rPr>
          <w:rFonts w:hint="default" w:ascii="Times New Roman" w:hAnsi="Times New Roman" w:eastAsia="仿宋" w:cs="Times New Roman"/>
          <w:b/>
          <w:bCs/>
          <w:snapToGrid w:val="0"/>
          <w:color w:val="auto"/>
          <w:sz w:val="30"/>
          <w:szCs w:val="30"/>
          <w:highlight w:val="none"/>
        </w:rPr>
      </w:pPr>
      <w:bookmarkStart w:id="4" w:name="_Toc28061"/>
      <w:r>
        <w:rPr>
          <w:rFonts w:hint="default" w:ascii="Times New Roman" w:hAnsi="Times New Roman" w:eastAsia="仿宋" w:cs="Times New Roman"/>
          <w:b/>
          <w:bCs/>
          <w:snapToGrid w:val="0"/>
          <w:color w:val="auto"/>
          <w:sz w:val="30"/>
          <w:szCs w:val="30"/>
          <w:highlight w:val="none"/>
        </w:rPr>
        <w:t>三、区域环境质量现状、环境保护目标及评价标准</w:t>
      </w:r>
      <w:bookmarkEnd w:id="4"/>
    </w:p>
    <w:tbl>
      <w:tblPr>
        <w:tblStyle w:val="31"/>
        <w:tblW w:w="9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8506"/>
      </w:tblGrid>
      <w:tr w14:paraId="1F118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1" w:type="dxa"/>
            <w:vAlign w:val="center"/>
          </w:tcPr>
          <w:p w14:paraId="6980F7F1">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eastAsia="仿宋" w:cs="Times New Roman"/>
                <w:color w:val="auto"/>
                <w:kern w:val="0"/>
                <w:sz w:val="24"/>
                <w:szCs w:val="24"/>
                <w:highlight w:val="none"/>
                <w:lang w:val="en-US" w:eastAsia="zh-CN" w:bidi="ar-SA"/>
              </w:rPr>
              <w:t>区域环境质量现状</w:t>
            </w:r>
          </w:p>
        </w:tc>
        <w:tc>
          <w:tcPr>
            <w:tcW w:w="8506" w:type="dxa"/>
          </w:tcPr>
          <w:p w14:paraId="376A5904">
            <w:pPr>
              <w:autoSpaceDE w:val="0"/>
              <w:autoSpaceDN w:val="0"/>
              <w:spacing w:line="360" w:lineRule="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1.环境空气质量现状</w:t>
            </w:r>
          </w:p>
          <w:p w14:paraId="3DA86D7F">
            <w:pPr>
              <w:autoSpaceDE w:val="0"/>
              <w:autoSpaceDN w:val="0"/>
              <w:spacing w:line="360" w:lineRule="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（1）常规因子环境质量现状</w:t>
            </w:r>
          </w:p>
          <w:p w14:paraId="5E5C8679">
            <w:pPr>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根据《常州市环境空气质量功能区划分规定（2017）》，项目所在地空气质量功能区为二类区。SO</w:t>
            </w:r>
            <w:r>
              <w:rPr>
                <w:rFonts w:hint="default" w:ascii="Times New Roman" w:hAnsi="Times New Roman" w:eastAsia="仿宋" w:cs="Times New Roman"/>
                <w:color w:val="auto"/>
                <w:sz w:val="24"/>
                <w:szCs w:val="24"/>
                <w:highlight w:val="none"/>
                <w:vertAlign w:val="subscript"/>
              </w:rPr>
              <w:t>2</w:t>
            </w:r>
            <w:r>
              <w:rPr>
                <w:rFonts w:hint="default" w:ascii="Times New Roman" w:hAnsi="Times New Roman" w:eastAsia="仿宋" w:cs="Times New Roman"/>
                <w:color w:val="auto"/>
                <w:sz w:val="24"/>
                <w:szCs w:val="24"/>
                <w:highlight w:val="none"/>
              </w:rPr>
              <w:t>、NO</w:t>
            </w:r>
            <w:r>
              <w:rPr>
                <w:rFonts w:hint="default" w:ascii="Times New Roman" w:hAnsi="Times New Roman" w:eastAsia="仿宋" w:cs="Times New Roman"/>
                <w:color w:val="auto"/>
                <w:sz w:val="24"/>
                <w:szCs w:val="24"/>
                <w:highlight w:val="none"/>
                <w:vertAlign w:val="subscript"/>
              </w:rPr>
              <w:t>2</w:t>
            </w:r>
            <w:r>
              <w:rPr>
                <w:rFonts w:hint="default" w:ascii="Times New Roman" w:hAnsi="Times New Roman" w:eastAsia="仿宋" w:cs="Times New Roman"/>
                <w:color w:val="auto"/>
                <w:sz w:val="24"/>
                <w:szCs w:val="24"/>
                <w:highlight w:val="none"/>
              </w:rPr>
              <w:t>、PM</w:t>
            </w:r>
            <w:r>
              <w:rPr>
                <w:rFonts w:hint="default" w:ascii="Times New Roman" w:hAnsi="Times New Roman" w:eastAsia="仿宋" w:cs="Times New Roman"/>
                <w:color w:val="auto"/>
                <w:sz w:val="24"/>
                <w:szCs w:val="24"/>
                <w:highlight w:val="none"/>
                <w:vertAlign w:val="subscript"/>
              </w:rPr>
              <w:t>10</w:t>
            </w:r>
            <w:r>
              <w:rPr>
                <w:rFonts w:hint="default" w:ascii="Times New Roman" w:hAnsi="Times New Roman" w:eastAsia="仿宋" w:cs="Times New Roman"/>
                <w:color w:val="auto"/>
                <w:sz w:val="24"/>
                <w:szCs w:val="24"/>
                <w:highlight w:val="none"/>
              </w:rPr>
              <w:t>、PM</w:t>
            </w:r>
            <w:r>
              <w:rPr>
                <w:rFonts w:hint="default" w:ascii="Times New Roman" w:hAnsi="Times New Roman" w:eastAsia="仿宋" w:cs="Times New Roman"/>
                <w:color w:val="auto"/>
                <w:sz w:val="24"/>
                <w:szCs w:val="24"/>
                <w:highlight w:val="none"/>
                <w:vertAlign w:val="subscript"/>
              </w:rPr>
              <w:t>2.5</w:t>
            </w:r>
            <w:r>
              <w:rPr>
                <w:rFonts w:hint="default" w:ascii="Times New Roman" w:hAnsi="Times New Roman" w:eastAsia="仿宋" w:cs="Times New Roman"/>
                <w:color w:val="auto"/>
                <w:sz w:val="24"/>
                <w:szCs w:val="24"/>
                <w:highlight w:val="none"/>
              </w:rPr>
              <w:t>、CO、O</w:t>
            </w:r>
            <w:r>
              <w:rPr>
                <w:rFonts w:hint="default" w:ascii="Times New Roman" w:hAnsi="Times New Roman" w:eastAsia="仿宋" w:cs="Times New Roman"/>
                <w:color w:val="auto"/>
                <w:sz w:val="24"/>
                <w:szCs w:val="24"/>
                <w:highlight w:val="none"/>
                <w:vertAlign w:val="subscript"/>
              </w:rPr>
              <w:t>3</w:t>
            </w:r>
            <w:r>
              <w:rPr>
                <w:rFonts w:hint="default" w:ascii="Times New Roman" w:hAnsi="Times New Roman" w:eastAsia="仿宋" w:cs="Times New Roman"/>
                <w:color w:val="auto"/>
                <w:sz w:val="24"/>
                <w:szCs w:val="24"/>
                <w:highlight w:val="none"/>
              </w:rPr>
              <w:t>执行《环境空气质量标准》（GB3095-2012）中二级标准。标准值见下表。</w:t>
            </w:r>
          </w:p>
          <w:p w14:paraId="21207D8E">
            <w:pPr>
              <w:pStyle w:val="13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表3-1环境空气质量评价标准   单位：μg/m</w:t>
            </w:r>
            <w:r>
              <w:rPr>
                <w:rFonts w:hint="default" w:ascii="Times New Roman" w:hAnsi="Times New Roman" w:eastAsia="仿宋" w:cs="Times New Roman"/>
                <w:b/>
                <w:bCs/>
                <w:color w:val="auto"/>
                <w:kern w:val="0"/>
                <w:sz w:val="22"/>
                <w:szCs w:val="22"/>
                <w:highlight w:val="none"/>
                <w:vertAlign w:val="superscript"/>
                <w:lang w:val="en-US" w:eastAsia="zh-CN" w:bidi="ar-SA"/>
              </w:rPr>
              <w:t>3</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7"/>
              <w:gridCol w:w="3259"/>
              <w:gridCol w:w="1538"/>
              <w:gridCol w:w="1184"/>
              <w:gridCol w:w="1100"/>
            </w:tblGrid>
            <w:tr w14:paraId="20B3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723" w:type="pct"/>
                  <w:vMerge w:val="restart"/>
                  <w:tcBorders>
                    <w:tl2br w:val="nil"/>
                    <w:tr2bl w:val="nil"/>
                  </w:tcBorders>
                  <w:vAlign w:val="center"/>
                </w:tcPr>
                <w:p w14:paraId="7D23176A">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污染物</w:t>
                  </w:r>
                </w:p>
              </w:tc>
              <w:tc>
                <w:tcPr>
                  <w:tcW w:w="4276" w:type="pct"/>
                  <w:gridSpan w:val="4"/>
                  <w:tcBorders>
                    <w:tl2br w:val="nil"/>
                    <w:tr2bl w:val="nil"/>
                  </w:tcBorders>
                  <w:vAlign w:val="center"/>
                </w:tcPr>
                <w:p w14:paraId="322A3676">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环境质量标准</w:t>
                  </w:r>
                </w:p>
              </w:tc>
            </w:tr>
            <w:tr w14:paraId="1B25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723" w:type="pct"/>
                  <w:vMerge w:val="continue"/>
                  <w:tcBorders>
                    <w:tl2br w:val="nil"/>
                    <w:tr2bl w:val="nil"/>
                  </w:tcBorders>
                  <w:vAlign w:val="center"/>
                </w:tcPr>
                <w:p w14:paraId="4DDFFE41">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
                      <w:bCs/>
                      <w:color w:val="auto"/>
                      <w:sz w:val="21"/>
                      <w:szCs w:val="21"/>
                      <w:highlight w:val="none"/>
                      <w:lang w:val="zh-CN"/>
                    </w:rPr>
                  </w:pPr>
                </w:p>
              </w:tc>
              <w:tc>
                <w:tcPr>
                  <w:tcW w:w="1968" w:type="pct"/>
                  <w:tcBorders>
                    <w:tl2br w:val="nil"/>
                    <w:tr2bl w:val="nil"/>
                  </w:tcBorders>
                  <w:vAlign w:val="center"/>
                </w:tcPr>
                <w:p w14:paraId="2BD968D9">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来源及分级</w:t>
                  </w:r>
                </w:p>
              </w:tc>
              <w:tc>
                <w:tcPr>
                  <w:tcW w:w="929" w:type="pct"/>
                  <w:tcBorders>
                    <w:tl2br w:val="nil"/>
                    <w:tr2bl w:val="nil"/>
                  </w:tcBorders>
                  <w:vAlign w:val="center"/>
                </w:tcPr>
                <w:p w14:paraId="1CCC9F48">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小时平均浓度</w:t>
                  </w:r>
                </w:p>
              </w:tc>
              <w:tc>
                <w:tcPr>
                  <w:tcW w:w="715" w:type="pct"/>
                  <w:tcBorders>
                    <w:tl2br w:val="nil"/>
                    <w:tr2bl w:val="nil"/>
                  </w:tcBorders>
                  <w:vAlign w:val="center"/>
                </w:tcPr>
                <w:p w14:paraId="33C34D3F">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日均浓度</w:t>
                  </w:r>
                </w:p>
              </w:tc>
              <w:tc>
                <w:tcPr>
                  <w:tcW w:w="663" w:type="pct"/>
                  <w:tcBorders>
                    <w:tl2br w:val="nil"/>
                    <w:tr2bl w:val="nil"/>
                  </w:tcBorders>
                  <w:vAlign w:val="center"/>
                </w:tcPr>
                <w:p w14:paraId="56F2F066">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年均浓度</w:t>
                  </w:r>
                </w:p>
              </w:tc>
            </w:tr>
            <w:tr w14:paraId="124A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723" w:type="pct"/>
                  <w:tcBorders>
                    <w:tl2br w:val="nil"/>
                    <w:tr2bl w:val="nil"/>
                  </w:tcBorders>
                  <w:vAlign w:val="center"/>
                </w:tcPr>
                <w:p w14:paraId="6B861DE3">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SO</w:t>
                  </w:r>
                  <w:r>
                    <w:rPr>
                      <w:rFonts w:hint="default" w:ascii="Times New Roman" w:hAnsi="Times New Roman" w:eastAsia="仿宋" w:cs="Times New Roman"/>
                      <w:color w:val="auto"/>
                      <w:sz w:val="21"/>
                      <w:szCs w:val="21"/>
                      <w:highlight w:val="none"/>
                      <w:vertAlign w:val="subscript"/>
                      <w:lang w:val="zh-CN"/>
                    </w:rPr>
                    <w:t>2</w:t>
                  </w:r>
                </w:p>
              </w:tc>
              <w:tc>
                <w:tcPr>
                  <w:tcW w:w="1968" w:type="pct"/>
                  <w:vMerge w:val="restart"/>
                  <w:tcBorders>
                    <w:tl2br w:val="nil"/>
                    <w:tr2bl w:val="nil"/>
                  </w:tcBorders>
                  <w:vAlign w:val="center"/>
                </w:tcPr>
                <w:p w14:paraId="00239438">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《环境空气质量标准》</w:t>
                  </w:r>
                </w:p>
                <w:p w14:paraId="732A3B64">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（GB3095-2012）表1、表2中二级标准</w:t>
                  </w:r>
                </w:p>
              </w:tc>
              <w:tc>
                <w:tcPr>
                  <w:tcW w:w="929" w:type="pct"/>
                  <w:tcBorders>
                    <w:tl2br w:val="nil"/>
                    <w:tr2bl w:val="nil"/>
                  </w:tcBorders>
                  <w:vAlign w:val="center"/>
                </w:tcPr>
                <w:p w14:paraId="2744B87C">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500</w:t>
                  </w:r>
                </w:p>
              </w:tc>
              <w:tc>
                <w:tcPr>
                  <w:tcW w:w="715" w:type="pct"/>
                  <w:tcBorders>
                    <w:tl2br w:val="nil"/>
                    <w:tr2bl w:val="nil"/>
                  </w:tcBorders>
                  <w:vAlign w:val="center"/>
                </w:tcPr>
                <w:p w14:paraId="6E55C5B3">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150</w:t>
                  </w:r>
                </w:p>
              </w:tc>
              <w:tc>
                <w:tcPr>
                  <w:tcW w:w="663" w:type="pct"/>
                  <w:tcBorders>
                    <w:tl2br w:val="nil"/>
                    <w:tr2bl w:val="nil"/>
                  </w:tcBorders>
                  <w:vAlign w:val="center"/>
                </w:tcPr>
                <w:p w14:paraId="529B35EA">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60</w:t>
                  </w:r>
                </w:p>
              </w:tc>
            </w:tr>
            <w:tr w14:paraId="5E1A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723" w:type="pct"/>
                  <w:tcBorders>
                    <w:tl2br w:val="nil"/>
                    <w:tr2bl w:val="nil"/>
                  </w:tcBorders>
                  <w:vAlign w:val="center"/>
                </w:tcPr>
                <w:p w14:paraId="667233E0">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NO</w:t>
                  </w:r>
                  <w:r>
                    <w:rPr>
                      <w:rFonts w:hint="default" w:ascii="Times New Roman" w:hAnsi="Times New Roman" w:eastAsia="仿宋" w:cs="Times New Roman"/>
                      <w:color w:val="auto"/>
                      <w:sz w:val="21"/>
                      <w:szCs w:val="21"/>
                      <w:highlight w:val="none"/>
                      <w:vertAlign w:val="subscript"/>
                      <w:lang w:val="zh-CN"/>
                    </w:rPr>
                    <w:t>2</w:t>
                  </w:r>
                </w:p>
              </w:tc>
              <w:tc>
                <w:tcPr>
                  <w:tcW w:w="1968" w:type="pct"/>
                  <w:vMerge w:val="continue"/>
                  <w:tcBorders>
                    <w:tl2br w:val="nil"/>
                    <w:tr2bl w:val="nil"/>
                  </w:tcBorders>
                  <w:vAlign w:val="center"/>
                </w:tcPr>
                <w:p w14:paraId="67E8D088">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p>
              </w:tc>
              <w:tc>
                <w:tcPr>
                  <w:tcW w:w="929" w:type="pct"/>
                  <w:tcBorders>
                    <w:tl2br w:val="nil"/>
                    <w:tr2bl w:val="nil"/>
                  </w:tcBorders>
                  <w:vAlign w:val="center"/>
                </w:tcPr>
                <w:p w14:paraId="535A6006">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200</w:t>
                  </w:r>
                </w:p>
              </w:tc>
              <w:tc>
                <w:tcPr>
                  <w:tcW w:w="715" w:type="pct"/>
                  <w:tcBorders>
                    <w:tl2br w:val="nil"/>
                    <w:tr2bl w:val="nil"/>
                  </w:tcBorders>
                  <w:vAlign w:val="center"/>
                </w:tcPr>
                <w:p w14:paraId="4DCAE419">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80</w:t>
                  </w:r>
                </w:p>
              </w:tc>
              <w:tc>
                <w:tcPr>
                  <w:tcW w:w="663" w:type="pct"/>
                  <w:tcBorders>
                    <w:tl2br w:val="nil"/>
                    <w:tr2bl w:val="nil"/>
                  </w:tcBorders>
                  <w:vAlign w:val="center"/>
                </w:tcPr>
                <w:p w14:paraId="5C625AD4">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40</w:t>
                  </w:r>
                </w:p>
              </w:tc>
            </w:tr>
            <w:tr w14:paraId="55C0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723" w:type="pct"/>
                  <w:tcBorders>
                    <w:tl2br w:val="nil"/>
                    <w:tr2bl w:val="nil"/>
                  </w:tcBorders>
                  <w:vAlign w:val="center"/>
                </w:tcPr>
                <w:p w14:paraId="6F55657B">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PM</w:t>
                  </w:r>
                  <w:r>
                    <w:rPr>
                      <w:rFonts w:hint="default" w:ascii="Times New Roman" w:hAnsi="Times New Roman" w:eastAsia="仿宋" w:cs="Times New Roman"/>
                      <w:color w:val="auto"/>
                      <w:sz w:val="21"/>
                      <w:szCs w:val="21"/>
                      <w:highlight w:val="none"/>
                      <w:vertAlign w:val="subscript"/>
                      <w:lang w:val="zh-CN"/>
                    </w:rPr>
                    <w:t>10</w:t>
                  </w:r>
                </w:p>
              </w:tc>
              <w:tc>
                <w:tcPr>
                  <w:tcW w:w="1968" w:type="pct"/>
                  <w:vMerge w:val="continue"/>
                  <w:tcBorders>
                    <w:tl2br w:val="nil"/>
                    <w:tr2bl w:val="nil"/>
                  </w:tcBorders>
                  <w:vAlign w:val="center"/>
                </w:tcPr>
                <w:p w14:paraId="104626A3">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p>
              </w:tc>
              <w:tc>
                <w:tcPr>
                  <w:tcW w:w="929" w:type="pct"/>
                  <w:tcBorders>
                    <w:tl2br w:val="nil"/>
                    <w:tr2bl w:val="nil"/>
                  </w:tcBorders>
                  <w:vAlign w:val="center"/>
                </w:tcPr>
                <w:p w14:paraId="2B3CB568">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w:t>
                  </w:r>
                </w:p>
              </w:tc>
              <w:tc>
                <w:tcPr>
                  <w:tcW w:w="715" w:type="pct"/>
                  <w:tcBorders>
                    <w:tl2br w:val="nil"/>
                    <w:tr2bl w:val="nil"/>
                  </w:tcBorders>
                  <w:vAlign w:val="center"/>
                </w:tcPr>
                <w:p w14:paraId="195713F3">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150</w:t>
                  </w:r>
                </w:p>
              </w:tc>
              <w:tc>
                <w:tcPr>
                  <w:tcW w:w="663" w:type="pct"/>
                  <w:tcBorders>
                    <w:tl2br w:val="nil"/>
                    <w:tr2bl w:val="nil"/>
                  </w:tcBorders>
                  <w:vAlign w:val="center"/>
                </w:tcPr>
                <w:p w14:paraId="46E0B875">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70</w:t>
                  </w:r>
                </w:p>
              </w:tc>
            </w:tr>
            <w:tr w14:paraId="5AB1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723" w:type="pct"/>
                  <w:tcBorders>
                    <w:tl2br w:val="nil"/>
                    <w:tr2bl w:val="nil"/>
                  </w:tcBorders>
                  <w:vAlign w:val="center"/>
                </w:tcPr>
                <w:p w14:paraId="502EDDB3">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CO</w:t>
                  </w:r>
                </w:p>
              </w:tc>
              <w:tc>
                <w:tcPr>
                  <w:tcW w:w="1968" w:type="pct"/>
                  <w:vMerge w:val="continue"/>
                  <w:tcBorders>
                    <w:tl2br w:val="nil"/>
                    <w:tr2bl w:val="nil"/>
                  </w:tcBorders>
                  <w:vAlign w:val="center"/>
                </w:tcPr>
                <w:p w14:paraId="0AF0F322">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p>
              </w:tc>
              <w:tc>
                <w:tcPr>
                  <w:tcW w:w="929" w:type="pct"/>
                  <w:tcBorders>
                    <w:tl2br w:val="nil"/>
                    <w:tr2bl w:val="nil"/>
                  </w:tcBorders>
                  <w:vAlign w:val="center"/>
                </w:tcPr>
                <w:p w14:paraId="565F0500">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10000</w:t>
                  </w:r>
                </w:p>
              </w:tc>
              <w:tc>
                <w:tcPr>
                  <w:tcW w:w="715" w:type="pct"/>
                  <w:tcBorders>
                    <w:tl2br w:val="nil"/>
                    <w:tr2bl w:val="nil"/>
                  </w:tcBorders>
                  <w:vAlign w:val="center"/>
                </w:tcPr>
                <w:p w14:paraId="00B94943">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4000</w:t>
                  </w:r>
                </w:p>
              </w:tc>
              <w:tc>
                <w:tcPr>
                  <w:tcW w:w="663" w:type="pct"/>
                  <w:tcBorders>
                    <w:tl2br w:val="nil"/>
                    <w:tr2bl w:val="nil"/>
                  </w:tcBorders>
                  <w:vAlign w:val="center"/>
                </w:tcPr>
                <w:p w14:paraId="4751EC8B">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w:t>
                  </w:r>
                </w:p>
              </w:tc>
            </w:tr>
            <w:tr w14:paraId="53BC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723" w:type="pct"/>
                  <w:tcBorders>
                    <w:tl2br w:val="nil"/>
                    <w:tr2bl w:val="nil"/>
                  </w:tcBorders>
                  <w:vAlign w:val="center"/>
                </w:tcPr>
                <w:p w14:paraId="2A2C807F">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O</w:t>
                  </w:r>
                  <w:r>
                    <w:rPr>
                      <w:rFonts w:hint="default" w:ascii="Times New Roman" w:hAnsi="Times New Roman" w:eastAsia="仿宋" w:cs="Times New Roman"/>
                      <w:color w:val="auto"/>
                      <w:sz w:val="21"/>
                      <w:szCs w:val="21"/>
                      <w:highlight w:val="none"/>
                      <w:vertAlign w:val="subscript"/>
                      <w:lang w:val="zh-CN"/>
                    </w:rPr>
                    <w:t>3</w:t>
                  </w:r>
                </w:p>
              </w:tc>
              <w:tc>
                <w:tcPr>
                  <w:tcW w:w="1968" w:type="pct"/>
                  <w:vMerge w:val="continue"/>
                  <w:tcBorders>
                    <w:tl2br w:val="nil"/>
                    <w:tr2bl w:val="nil"/>
                  </w:tcBorders>
                  <w:vAlign w:val="center"/>
                </w:tcPr>
                <w:p w14:paraId="30C97046">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p>
              </w:tc>
              <w:tc>
                <w:tcPr>
                  <w:tcW w:w="929" w:type="pct"/>
                  <w:tcBorders>
                    <w:tl2br w:val="nil"/>
                    <w:tr2bl w:val="nil"/>
                  </w:tcBorders>
                  <w:vAlign w:val="center"/>
                </w:tcPr>
                <w:p w14:paraId="08806A1D">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200</w:t>
                  </w:r>
                </w:p>
              </w:tc>
              <w:tc>
                <w:tcPr>
                  <w:tcW w:w="715" w:type="pct"/>
                  <w:tcBorders>
                    <w:tl2br w:val="nil"/>
                    <w:tr2bl w:val="nil"/>
                  </w:tcBorders>
                  <w:vAlign w:val="center"/>
                </w:tcPr>
                <w:p w14:paraId="334A759D">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160</w:t>
                  </w:r>
                </w:p>
              </w:tc>
              <w:tc>
                <w:tcPr>
                  <w:tcW w:w="663" w:type="pct"/>
                  <w:tcBorders>
                    <w:tl2br w:val="nil"/>
                    <w:tr2bl w:val="nil"/>
                  </w:tcBorders>
                  <w:vAlign w:val="center"/>
                </w:tcPr>
                <w:p w14:paraId="65089660">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w:t>
                  </w:r>
                </w:p>
              </w:tc>
            </w:tr>
            <w:tr w14:paraId="0037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723" w:type="pct"/>
                  <w:tcBorders>
                    <w:tl2br w:val="nil"/>
                    <w:tr2bl w:val="nil"/>
                  </w:tcBorders>
                  <w:vAlign w:val="center"/>
                </w:tcPr>
                <w:p w14:paraId="69822DB7">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PM</w:t>
                  </w:r>
                  <w:r>
                    <w:rPr>
                      <w:rFonts w:hint="default" w:ascii="Times New Roman" w:hAnsi="Times New Roman" w:eastAsia="仿宋" w:cs="Times New Roman"/>
                      <w:color w:val="auto"/>
                      <w:sz w:val="21"/>
                      <w:szCs w:val="21"/>
                      <w:highlight w:val="none"/>
                      <w:vertAlign w:val="subscript"/>
                      <w:lang w:val="zh-CN"/>
                    </w:rPr>
                    <w:t>2.5</w:t>
                  </w:r>
                </w:p>
              </w:tc>
              <w:tc>
                <w:tcPr>
                  <w:tcW w:w="1968" w:type="pct"/>
                  <w:vMerge w:val="continue"/>
                  <w:tcBorders>
                    <w:tl2br w:val="nil"/>
                    <w:tr2bl w:val="nil"/>
                  </w:tcBorders>
                  <w:vAlign w:val="center"/>
                </w:tcPr>
                <w:p w14:paraId="4D0DA685">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p>
              </w:tc>
              <w:tc>
                <w:tcPr>
                  <w:tcW w:w="929" w:type="pct"/>
                  <w:tcBorders>
                    <w:tl2br w:val="nil"/>
                    <w:tr2bl w:val="nil"/>
                  </w:tcBorders>
                  <w:vAlign w:val="center"/>
                </w:tcPr>
                <w:p w14:paraId="1842957F">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w:t>
                  </w:r>
                </w:p>
              </w:tc>
              <w:tc>
                <w:tcPr>
                  <w:tcW w:w="715" w:type="pct"/>
                  <w:tcBorders>
                    <w:tl2br w:val="nil"/>
                    <w:tr2bl w:val="nil"/>
                  </w:tcBorders>
                  <w:vAlign w:val="center"/>
                </w:tcPr>
                <w:p w14:paraId="37C7C837">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75</w:t>
                  </w:r>
                </w:p>
              </w:tc>
              <w:tc>
                <w:tcPr>
                  <w:tcW w:w="663" w:type="pct"/>
                  <w:tcBorders>
                    <w:tl2br w:val="nil"/>
                    <w:tr2bl w:val="nil"/>
                  </w:tcBorders>
                  <w:vAlign w:val="center"/>
                </w:tcPr>
                <w:p w14:paraId="398DE0E8">
                  <w:pPr>
                    <w:pStyle w:val="10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35</w:t>
                  </w:r>
                </w:p>
              </w:tc>
            </w:tr>
          </w:tbl>
          <w:p w14:paraId="74BBB42E">
            <w:pPr>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根据《环境影响评价技术导则 大气环境》（HJ2.2-2018），项目所在区域达标情况判定优先采用国家或地方生态环境主管部门公开发布的环境质量报告或环境质量报告书中的数据或结论。</w:t>
            </w:r>
          </w:p>
          <w:p w14:paraId="4B8173F5">
            <w:pPr>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本次评价选取202</w:t>
            </w:r>
            <w:r>
              <w:rPr>
                <w:rFonts w:hint="eastAsia"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rPr>
              <w:t>年作为评价基准年，根据《202</w:t>
            </w:r>
            <w:r>
              <w:rPr>
                <w:rFonts w:hint="eastAsia"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rPr>
              <w:t>常州市生态环境状况公报》，项目所在区域常州市各评价因子数据见表3-2。</w:t>
            </w:r>
          </w:p>
          <w:p w14:paraId="7CF0F3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表3-2 大气基本污染物环境质量现状</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65"/>
              <w:gridCol w:w="1344"/>
              <w:gridCol w:w="1163"/>
              <w:gridCol w:w="1163"/>
              <w:gridCol w:w="836"/>
              <w:gridCol w:w="719"/>
              <w:gridCol w:w="1855"/>
            </w:tblGrid>
            <w:tr w14:paraId="1281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vAlign w:val="center"/>
                </w:tcPr>
                <w:p w14:paraId="413F18EF">
                  <w:pPr>
                    <w:keepNext w:val="0"/>
                    <w:keepLines w:val="0"/>
                    <w:pageBreakBefore w:val="0"/>
                    <w:widowControl w:val="0"/>
                    <w:kinsoku/>
                    <w:wordWrap/>
                    <w:overflowPunct/>
                    <w:topLinePunct w:val="0"/>
                    <w:autoSpaceDE/>
                    <w:autoSpaceDN/>
                    <w:bidi w:val="0"/>
                    <w:adjustRightInd/>
                    <w:snapToGrid w:val="0"/>
                    <w:jc w:val="left"/>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区域</w:t>
                  </w:r>
                </w:p>
              </w:tc>
              <w:tc>
                <w:tcPr>
                  <w:tcW w:w="474" w:type="pct"/>
                  <w:vAlign w:val="center"/>
                </w:tcPr>
                <w:p w14:paraId="244E3AD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评价因子</w:t>
                  </w:r>
                </w:p>
              </w:tc>
              <w:tc>
                <w:tcPr>
                  <w:tcW w:w="819" w:type="pct"/>
                  <w:vAlign w:val="center"/>
                </w:tcPr>
                <w:p w14:paraId="58503C0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平均时段</w:t>
                  </w:r>
                </w:p>
              </w:tc>
              <w:tc>
                <w:tcPr>
                  <w:tcW w:w="681" w:type="pct"/>
                  <w:vAlign w:val="center"/>
                </w:tcPr>
                <w:p w14:paraId="6F458BA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现状浓度</w:t>
                  </w:r>
                </w:p>
                <w:p w14:paraId="3B0109D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（μg/m</w:t>
                  </w:r>
                  <w:r>
                    <w:rPr>
                      <w:rFonts w:hint="default" w:ascii="Times New Roman" w:hAnsi="Times New Roman" w:eastAsia="仿宋" w:cs="Times New Roman"/>
                      <w:b/>
                      <w:bCs/>
                      <w:color w:val="auto"/>
                      <w:sz w:val="21"/>
                      <w:szCs w:val="21"/>
                      <w:highlight w:val="none"/>
                      <w:vertAlign w:val="superscript"/>
                    </w:rPr>
                    <w:t>3</w:t>
                  </w:r>
                  <w:r>
                    <w:rPr>
                      <w:rFonts w:hint="default" w:ascii="Times New Roman" w:hAnsi="Times New Roman" w:eastAsia="仿宋" w:cs="Times New Roman"/>
                      <w:b/>
                      <w:bCs/>
                      <w:color w:val="auto"/>
                      <w:sz w:val="21"/>
                      <w:szCs w:val="21"/>
                      <w:highlight w:val="none"/>
                    </w:rPr>
                    <w:t>）</w:t>
                  </w:r>
                </w:p>
              </w:tc>
              <w:tc>
                <w:tcPr>
                  <w:tcW w:w="681" w:type="pct"/>
                  <w:vAlign w:val="center"/>
                </w:tcPr>
                <w:p w14:paraId="58B8248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标准值</w:t>
                  </w:r>
                </w:p>
                <w:p w14:paraId="15B5B18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（μg/m</w:t>
                  </w:r>
                  <w:r>
                    <w:rPr>
                      <w:rFonts w:hint="default" w:ascii="Times New Roman" w:hAnsi="Times New Roman" w:eastAsia="仿宋" w:cs="Times New Roman"/>
                      <w:b/>
                      <w:bCs/>
                      <w:color w:val="auto"/>
                      <w:sz w:val="21"/>
                      <w:szCs w:val="21"/>
                      <w:highlight w:val="none"/>
                      <w:vertAlign w:val="superscript"/>
                    </w:rPr>
                    <w:t>3</w:t>
                  </w:r>
                  <w:r>
                    <w:rPr>
                      <w:rFonts w:hint="default" w:ascii="Times New Roman" w:hAnsi="Times New Roman" w:eastAsia="仿宋" w:cs="Times New Roman"/>
                      <w:b/>
                      <w:bCs/>
                      <w:color w:val="auto"/>
                      <w:sz w:val="21"/>
                      <w:szCs w:val="21"/>
                      <w:highlight w:val="none"/>
                    </w:rPr>
                    <w:t>）</w:t>
                  </w:r>
                </w:p>
              </w:tc>
              <w:tc>
                <w:tcPr>
                  <w:tcW w:w="512" w:type="pct"/>
                  <w:vAlign w:val="center"/>
                </w:tcPr>
                <w:p w14:paraId="0BCCCB9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超标倍数</w:t>
                  </w:r>
                </w:p>
              </w:tc>
              <w:tc>
                <w:tcPr>
                  <w:tcW w:w="441" w:type="pct"/>
                  <w:vAlign w:val="center"/>
                </w:tcPr>
                <w:p w14:paraId="303258F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达标情况</w:t>
                  </w:r>
                </w:p>
              </w:tc>
              <w:tc>
                <w:tcPr>
                  <w:tcW w:w="1127" w:type="pct"/>
                  <w:vAlign w:val="center"/>
                </w:tcPr>
                <w:p w14:paraId="53FAB87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标准来源</w:t>
                  </w:r>
                </w:p>
              </w:tc>
            </w:tr>
            <w:tr w14:paraId="3977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0" w:type="pct"/>
                  <w:vMerge w:val="restart"/>
                  <w:vAlign w:val="center"/>
                </w:tcPr>
                <w:p w14:paraId="187CBB7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常州全市</w:t>
                  </w:r>
                </w:p>
              </w:tc>
              <w:tc>
                <w:tcPr>
                  <w:tcW w:w="474" w:type="pct"/>
                  <w:vAlign w:val="center"/>
                </w:tcPr>
                <w:p w14:paraId="7EB6A67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SO</w:t>
                  </w:r>
                  <w:r>
                    <w:rPr>
                      <w:rFonts w:hint="default" w:ascii="Times New Roman" w:hAnsi="Times New Roman" w:eastAsia="仿宋" w:cs="Times New Roman"/>
                      <w:color w:val="auto"/>
                      <w:sz w:val="21"/>
                      <w:szCs w:val="21"/>
                      <w:highlight w:val="none"/>
                      <w:vertAlign w:val="subscript"/>
                    </w:rPr>
                    <w:t>2</w:t>
                  </w:r>
                </w:p>
              </w:tc>
              <w:tc>
                <w:tcPr>
                  <w:tcW w:w="819" w:type="pct"/>
                  <w:vAlign w:val="center"/>
                </w:tcPr>
                <w:p w14:paraId="71EEBF9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年平均浓度</w:t>
                  </w:r>
                </w:p>
              </w:tc>
              <w:tc>
                <w:tcPr>
                  <w:tcW w:w="681" w:type="pct"/>
                  <w:vAlign w:val="center"/>
                </w:tcPr>
                <w:p w14:paraId="078DCEE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w:t>
                  </w:r>
                </w:p>
              </w:tc>
              <w:tc>
                <w:tcPr>
                  <w:tcW w:w="681" w:type="pct"/>
                  <w:vAlign w:val="center"/>
                </w:tcPr>
                <w:p w14:paraId="285D70A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60</w:t>
                  </w:r>
                </w:p>
              </w:tc>
              <w:tc>
                <w:tcPr>
                  <w:tcW w:w="512" w:type="pct"/>
                  <w:vAlign w:val="center"/>
                </w:tcPr>
                <w:p w14:paraId="6280AA7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441" w:type="pct"/>
                  <w:vAlign w:val="center"/>
                </w:tcPr>
                <w:p w14:paraId="34BAA59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c>
                <w:tcPr>
                  <w:tcW w:w="1127" w:type="pct"/>
                  <w:vMerge w:val="restart"/>
                  <w:vAlign w:val="center"/>
                </w:tcPr>
                <w:p w14:paraId="27D5E0F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eastAsia="zh-CN"/>
                    </w:rPr>
                    <w:t>《</w:t>
                  </w:r>
                  <w:r>
                    <w:rPr>
                      <w:rFonts w:hint="eastAsia" w:eastAsia="仿宋" w:cs="Times New Roman"/>
                      <w:color w:val="auto"/>
                      <w:sz w:val="21"/>
                      <w:szCs w:val="21"/>
                      <w:highlight w:val="none"/>
                      <w:lang w:val="en-US" w:eastAsia="zh-CN"/>
                    </w:rPr>
                    <w:t>环境空气质量标准</w:t>
                  </w:r>
                  <w:r>
                    <w:rPr>
                      <w:rFonts w:hint="eastAsia" w:eastAsia="仿宋" w:cs="Times New Roman"/>
                      <w:color w:val="auto"/>
                      <w:sz w:val="21"/>
                      <w:szCs w:val="21"/>
                      <w:highlight w:val="none"/>
                      <w:lang w:eastAsia="zh-CN"/>
                    </w:rPr>
                    <w:t>》（</w:t>
                  </w:r>
                  <w:r>
                    <w:rPr>
                      <w:rFonts w:hint="eastAsia" w:eastAsia="仿宋" w:cs="Times New Roman"/>
                      <w:color w:val="auto"/>
                      <w:sz w:val="21"/>
                      <w:szCs w:val="21"/>
                      <w:highlight w:val="none"/>
                      <w:lang w:val="en-US" w:eastAsia="zh-CN"/>
                    </w:rPr>
                    <w:t>GB3095-2010</w:t>
                  </w:r>
                  <w:r>
                    <w:rPr>
                      <w:rFonts w:hint="eastAsia" w:eastAsia="仿宋" w:cs="Times New Roman"/>
                      <w:color w:val="auto"/>
                      <w:sz w:val="21"/>
                      <w:szCs w:val="21"/>
                      <w:highlight w:val="none"/>
                      <w:lang w:eastAsia="zh-CN"/>
                    </w:rPr>
                    <w:t>）</w:t>
                  </w:r>
                  <w:r>
                    <w:rPr>
                      <w:rFonts w:hint="eastAsia" w:eastAsia="仿宋" w:cs="Times New Roman"/>
                      <w:color w:val="auto"/>
                      <w:sz w:val="21"/>
                      <w:szCs w:val="21"/>
                      <w:highlight w:val="none"/>
                      <w:lang w:val="en-US" w:eastAsia="zh-CN"/>
                    </w:rPr>
                    <w:t>中二级标准</w:t>
                  </w:r>
                </w:p>
              </w:tc>
            </w:tr>
            <w:tr w14:paraId="1AA3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0" w:type="pct"/>
                  <w:vMerge w:val="continue"/>
                  <w:vAlign w:val="center"/>
                </w:tcPr>
                <w:p w14:paraId="0602CE58">
                  <w:pPr>
                    <w:keepNext w:val="0"/>
                    <w:keepLines w:val="0"/>
                    <w:pageBreakBefore w:val="0"/>
                    <w:widowControl w:val="0"/>
                    <w:kinsoku/>
                    <w:wordWrap/>
                    <w:overflowPunct/>
                    <w:topLinePunct w:val="0"/>
                    <w:autoSpaceDE/>
                    <w:autoSpaceDN/>
                    <w:bidi w:val="0"/>
                    <w:adjustRightInd/>
                    <w:snapToGrid w:val="0"/>
                    <w:jc w:val="left"/>
                    <w:textAlignment w:val="auto"/>
                    <w:rPr>
                      <w:rFonts w:hint="default" w:ascii="Times New Roman" w:hAnsi="Times New Roman" w:eastAsia="仿宋" w:cs="Times New Roman"/>
                      <w:color w:val="auto"/>
                      <w:sz w:val="21"/>
                      <w:szCs w:val="21"/>
                      <w:highlight w:val="none"/>
                    </w:rPr>
                  </w:pPr>
                </w:p>
              </w:tc>
              <w:tc>
                <w:tcPr>
                  <w:tcW w:w="474" w:type="pct"/>
                  <w:vAlign w:val="center"/>
                </w:tcPr>
                <w:p w14:paraId="0731F82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NO</w:t>
                  </w:r>
                  <w:r>
                    <w:rPr>
                      <w:rFonts w:hint="default" w:ascii="Times New Roman" w:hAnsi="Times New Roman" w:eastAsia="仿宋" w:cs="Times New Roman"/>
                      <w:color w:val="auto"/>
                      <w:sz w:val="21"/>
                      <w:szCs w:val="21"/>
                      <w:highlight w:val="none"/>
                      <w:vertAlign w:val="subscript"/>
                    </w:rPr>
                    <w:t>2</w:t>
                  </w:r>
                </w:p>
              </w:tc>
              <w:tc>
                <w:tcPr>
                  <w:tcW w:w="819" w:type="pct"/>
                  <w:vAlign w:val="center"/>
                </w:tcPr>
                <w:p w14:paraId="60E1846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年平均浓度</w:t>
                  </w:r>
                </w:p>
              </w:tc>
              <w:tc>
                <w:tcPr>
                  <w:tcW w:w="681" w:type="pct"/>
                  <w:vAlign w:val="center"/>
                </w:tcPr>
                <w:p w14:paraId="77DB1F9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3</w:t>
                  </w:r>
                  <w:r>
                    <w:rPr>
                      <w:rFonts w:hint="eastAsia" w:eastAsia="仿宋" w:cs="Times New Roman"/>
                      <w:color w:val="auto"/>
                      <w:sz w:val="21"/>
                      <w:szCs w:val="21"/>
                      <w:highlight w:val="none"/>
                      <w:lang w:val="en-US" w:eastAsia="zh-CN"/>
                    </w:rPr>
                    <w:t>0</w:t>
                  </w:r>
                </w:p>
              </w:tc>
              <w:tc>
                <w:tcPr>
                  <w:tcW w:w="681" w:type="pct"/>
                  <w:vAlign w:val="center"/>
                </w:tcPr>
                <w:p w14:paraId="0F1F5F5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40</w:t>
                  </w:r>
                </w:p>
              </w:tc>
              <w:tc>
                <w:tcPr>
                  <w:tcW w:w="512" w:type="pct"/>
                  <w:vAlign w:val="center"/>
                </w:tcPr>
                <w:p w14:paraId="3D62748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441" w:type="pct"/>
                  <w:vAlign w:val="center"/>
                </w:tcPr>
                <w:p w14:paraId="69FECED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c>
                <w:tcPr>
                  <w:tcW w:w="1127" w:type="pct"/>
                  <w:vMerge w:val="continue"/>
                  <w:vAlign w:val="center"/>
                </w:tcPr>
                <w:p w14:paraId="7E4E2D6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p>
              </w:tc>
            </w:tr>
            <w:tr w14:paraId="15AF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0" w:type="pct"/>
                  <w:vMerge w:val="continue"/>
                  <w:vAlign w:val="center"/>
                </w:tcPr>
                <w:p w14:paraId="5384B2BF">
                  <w:pPr>
                    <w:keepNext w:val="0"/>
                    <w:keepLines w:val="0"/>
                    <w:pageBreakBefore w:val="0"/>
                    <w:widowControl w:val="0"/>
                    <w:kinsoku/>
                    <w:wordWrap/>
                    <w:overflowPunct/>
                    <w:topLinePunct w:val="0"/>
                    <w:autoSpaceDE/>
                    <w:autoSpaceDN/>
                    <w:bidi w:val="0"/>
                    <w:adjustRightInd/>
                    <w:snapToGrid w:val="0"/>
                    <w:jc w:val="left"/>
                    <w:textAlignment w:val="auto"/>
                    <w:rPr>
                      <w:rFonts w:hint="default" w:ascii="Times New Roman" w:hAnsi="Times New Roman" w:eastAsia="仿宋" w:cs="Times New Roman"/>
                      <w:color w:val="auto"/>
                      <w:sz w:val="21"/>
                      <w:szCs w:val="21"/>
                      <w:highlight w:val="none"/>
                    </w:rPr>
                  </w:pPr>
                </w:p>
              </w:tc>
              <w:tc>
                <w:tcPr>
                  <w:tcW w:w="474" w:type="pct"/>
                  <w:vAlign w:val="center"/>
                </w:tcPr>
                <w:p w14:paraId="749341B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PM</w:t>
                  </w:r>
                  <w:r>
                    <w:rPr>
                      <w:rFonts w:hint="default" w:ascii="Times New Roman" w:hAnsi="Times New Roman" w:eastAsia="仿宋" w:cs="Times New Roman"/>
                      <w:color w:val="auto"/>
                      <w:sz w:val="21"/>
                      <w:szCs w:val="21"/>
                      <w:highlight w:val="none"/>
                      <w:vertAlign w:val="subscript"/>
                    </w:rPr>
                    <w:t>10</w:t>
                  </w:r>
                </w:p>
              </w:tc>
              <w:tc>
                <w:tcPr>
                  <w:tcW w:w="819" w:type="pct"/>
                  <w:vAlign w:val="center"/>
                </w:tcPr>
                <w:p w14:paraId="6FB1549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年平均浓度</w:t>
                  </w:r>
                </w:p>
              </w:tc>
              <w:tc>
                <w:tcPr>
                  <w:tcW w:w="681" w:type="pct"/>
                  <w:vAlign w:val="center"/>
                </w:tcPr>
                <w:p w14:paraId="24A69E6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57</w:t>
                  </w:r>
                </w:p>
              </w:tc>
              <w:tc>
                <w:tcPr>
                  <w:tcW w:w="681" w:type="pct"/>
                  <w:vAlign w:val="center"/>
                </w:tcPr>
                <w:p w14:paraId="244FB23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70</w:t>
                  </w:r>
                </w:p>
              </w:tc>
              <w:tc>
                <w:tcPr>
                  <w:tcW w:w="512" w:type="pct"/>
                  <w:vAlign w:val="center"/>
                </w:tcPr>
                <w:p w14:paraId="0C06EB7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441" w:type="pct"/>
                  <w:vAlign w:val="center"/>
                </w:tcPr>
                <w:p w14:paraId="4B51CE1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c>
                <w:tcPr>
                  <w:tcW w:w="1127" w:type="pct"/>
                  <w:vMerge w:val="continue"/>
                  <w:vAlign w:val="center"/>
                </w:tcPr>
                <w:p w14:paraId="2E9EEB2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p>
              </w:tc>
            </w:tr>
            <w:tr w14:paraId="76D6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0" w:type="pct"/>
                  <w:vMerge w:val="continue"/>
                  <w:vAlign w:val="center"/>
                </w:tcPr>
                <w:p w14:paraId="538F9AEA">
                  <w:pPr>
                    <w:keepNext w:val="0"/>
                    <w:keepLines w:val="0"/>
                    <w:pageBreakBefore w:val="0"/>
                    <w:widowControl w:val="0"/>
                    <w:kinsoku/>
                    <w:wordWrap/>
                    <w:overflowPunct/>
                    <w:topLinePunct w:val="0"/>
                    <w:autoSpaceDE/>
                    <w:autoSpaceDN/>
                    <w:bidi w:val="0"/>
                    <w:adjustRightInd/>
                    <w:snapToGrid w:val="0"/>
                    <w:jc w:val="left"/>
                    <w:textAlignment w:val="auto"/>
                    <w:rPr>
                      <w:rFonts w:hint="default" w:ascii="Times New Roman" w:hAnsi="Times New Roman" w:eastAsia="仿宋" w:cs="Times New Roman"/>
                      <w:color w:val="auto"/>
                      <w:sz w:val="21"/>
                      <w:szCs w:val="21"/>
                      <w:highlight w:val="none"/>
                    </w:rPr>
                  </w:pPr>
                </w:p>
              </w:tc>
              <w:tc>
                <w:tcPr>
                  <w:tcW w:w="474" w:type="pct"/>
                  <w:vAlign w:val="center"/>
                </w:tcPr>
                <w:p w14:paraId="003B4CF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PM</w:t>
                  </w:r>
                  <w:r>
                    <w:rPr>
                      <w:rFonts w:hint="default" w:ascii="Times New Roman" w:hAnsi="Times New Roman" w:eastAsia="仿宋" w:cs="Times New Roman"/>
                      <w:color w:val="auto"/>
                      <w:sz w:val="21"/>
                      <w:szCs w:val="21"/>
                      <w:highlight w:val="none"/>
                      <w:vertAlign w:val="subscript"/>
                    </w:rPr>
                    <w:t>2.5</w:t>
                  </w:r>
                </w:p>
              </w:tc>
              <w:tc>
                <w:tcPr>
                  <w:tcW w:w="819" w:type="pct"/>
                  <w:vAlign w:val="center"/>
                </w:tcPr>
                <w:p w14:paraId="06853FD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年平均浓度</w:t>
                  </w:r>
                </w:p>
              </w:tc>
              <w:tc>
                <w:tcPr>
                  <w:tcW w:w="681" w:type="pct"/>
                  <w:vAlign w:val="center"/>
                </w:tcPr>
                <w:p w14:paraId="55F3E33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34</w:t>
                  </w:r>
                </w:p>
              </w:tc>
              <w:tc>
                <w:tcPr>
                  <w:tcW w:w="681" w:type="pct"/>
                  <w:vAlign w:val="center"/>
                </w:tcPr>
                <w:p w14:paraId="28F68BA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35</w:t>
                  </w:r>
                </w:p>
              </w:tc>
              <w:tc>
                <w:tcPr>
                  <w:tcW w:w="512" w:type="pct"/>
                  <w:vAlign w:val="center"/>
                </w:tcPr>
                <w:p w14:paraId="3E0D4BB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441" w:type="pct"/>
                  <w:vAlign w:val="center"/>
                </w:tcPr>
                <w:p w14:paraId="2ED35DE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达</w:t>
                  </w:r>
                  <w:r>
                    <w:rPr>
                      <w:rFonts w:hint="default" w:ascii="Times New Roman" w:hAnsi="Times New Roman" w:eastAsia="仿宋" w:cs="Times New Roman"/>
                      <w:color w:val="auto"/>
                      <w:sz w:val="21"/>
                      <w:szCs w:val="21"/>
                      <w:highlight w:val="none"/>
                    </w:rPr>
                    <w:t>标</w:t>
                  </w:r>
                </w:p>
              </w:tc>
              <w:tc>
                <w:tcPr>
                  <w:tcW w:w="1127" w:type="pct"/>
                  <w:vMerge w:val="continue"/>
                  <w:vAlign w:val="center"/>
                </w:tcPr>
                <w:p w14:paraId="23A0AEC8">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仿宋" w:cs="Times New Roman"/>
                      <w:color w:val="auto"/>
                      <w:sz w:val="21"/>
                      <w:szCs w:val="21"/>
                      <w:highlight w:val="none"/>
                      <w:lang w:val="en-US" w:eastAsia="zh-CN"/>
                    </w:rPr>
                  </w:pPr>
                </w:p>
              </w:tc>
            </w:tr>
            <w:tr w14:paraId="6AAF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0" w:type="pct"/>
                  <w:vMerge w:val="continue"/>
                  <w:vAlign w:val="center"/>
                </w:tcPr>
                <w:p w14:paraId="0C0E0988">
                  <w:pPr>
                    <w:keepNext w:val="0"/>
                    <w:keepLines w:val="0"/>
                    <w:pageBreakBefore w:val="0"/>
                    <w:widowControl w:val="0"/>
                    <w:kinsoku/>
                    <w:wordWrap/>
                    <w:overflowPunct/>
                    <w:topLinePunct w:val="0"/>
                    <w:autoSpaceDE/>
                    <w:autoSpaceDN/>
                    <w:bidi w:val="0"/>
                    <w:adjustRightInd/>
                    <w:snapToGrid w:val="0"/>
                    <w:jc w:val="left"/>
                    <w:textAlignment w:val="auto"/>
                    <w:rPr>
                      <w:rFonts w:hint="default" w:ascii="Times New Roman" w:hAnsi="Times New Roman" w:eastAsia="仿宋" w:cs="Times New Roman"/>
                      <w:color w:val="auto"/>
                      <w:sz w:val="21"/>
                      <w:szCs w:val="21"/>
                      <w:highlight w:val="none"/>
                    </w:rPr>
                  </w:pPr>
                </w:p>
              </w:tc>
              <w:tc>
                <w:tcPr>
                  <w:tcW w:w="474" w:type="pct"/>
                  <w:vAlign w:val="center"/>
                </w:tcPr>
                <w:p w14:paraId="1F9E3B1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w:t>
                  </w:r>
                </w:p>
              </w:tc>
              <w:tc>
                <w:tcPr>
                  <w:tcW w:w="819" w:type="pct"/>
                  <w:vAlign w:val="center"/>
                </w:tcPr>
                <w:p w14:paraId="63D3C03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24小时平均第95百分位</w:t>
                  </w:r>
                </w:p>
              </w:tc>
              <w:tc>
                <w:tcPr>
                  <w:tcW w:w="681" w:type="pct"/>
                  <w:vAlign w:val="center"/>
                </w:tcPr>
                <w:p w14:paraId="44A2939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r>
                    <w:rPr>
                      <w:rFonts w:hint="eastAsia" w:eastAsia="仿宋" w:cs="Times New Roman"/>
                      <w:color w:val="auto"/>
                      <w:sz w:val="21"/>
                      <w:szCs w:val="21"/>
                      <w:highlight w:val="none"/>
                      <w:lang w:val="en-US" w:eastAsia="zh-CN"/>
                    </w:rPr>
                    <w:t>1</w:t>
                  </w:r>
                  <w:r>
                    <w:rPr>
                      <w:rFonts w:hint="default" w:ascii="Times New Roman" w:hAnsi="Times New Roman" w:eastAsia="仿宋" w:cs="Times New Roman"/>
                      <w:color w:val="auto"/>
                      <w:sz w:val="21"/>
                      <w:szCs w:val="21"/>
                      <w:highlight w:val="none"/>
                    </w:rPr>
                    <w:t>00</w:t>
                  </w:r>
                </w:p>
              </w:tc>
              <w:tc>
                <w:tcPr>
                  <w:tcW w:w="681" w:type="pct"/>
                  <w:vAlign w:val="center"/>
                </w:tcPr>
                <w:p w14:paraId="614AD18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4000</w:t>
                  </w:r>
                </w:p>
              </w:tc>
              <w:tc>
                <w:tcPr>
                  <w:tcW w:w="512" w:type="pct"/>
                  <w:vAlign w:val="center"/>
                </w:tcPr>
                <w:p w14:paraId="7D66BE0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441" w:type="pct"/>
                  <w:vAlign w:val="center"/>
                </w:tcPr>
                <w:p w14:paraId="191B5B2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c>
                <w:tcPr>
                  <w:tcW w:w="1127" w:type="pct"/>
                  <w:vMerge w:val="continue"/>
                  <w:vAlign w:val="center"/>
                </w:tcPr>
                <w:p w14:paraId="69BD28C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p>
              </w:tc>
            </w:tr>
            <w:tr w14:paraId="2C62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60" w:type="pct"/>
                  <w:vMerge w:val="continue"/>
                  <w:vAlign w:val="center"/>
                </w:tcPr>
                <w:p w14:paraId="6D59CD1A">
                  <w:pPr>
                    <w:keepNext w:val="0"/>
                    <w:keepLines w:val="0"/>
                    <w:pageBreakBefore w:val="0"/>
                    <w:widowControl w:val="0"/>
                    <w:kinsoku/>
                    <w:wordWrap/>
                    <w:overflowPunct/>
                    <w:topLinePunct w:val="0"/>
                    <w:autoSpaceDE/>
                    <w:autoSpaceDN/>
                    <w:bidi w:val="0"/>
                    <w:adjustRightInd/>
                    <w:snapToGrid w:val="0"/>
                    <w:jc w:val="left"/>
                    <w:textAlignment w:val="auto"/>
                    <w:rPr>
                      <w:rFonts w:hint="default" w:ascii="Times New Roman" w:hAnsi="Times New Roman" w:eastAsia="仿宋" w:cs="Times New Roman"/>
                      <w:color w:val="auto"/>
                      <w:sz w:val="21"/>
                      <w:szCs w:val="21"/>
                      <w:highlight w:val="none"/>
                    </w:rPr>
                  </w:pPr>
                </w:p>
              </w:tc>
              <w:tc>
                <w:tcPr>
                  <w:tcW w:w="474" w:type="pct"/>
                  <w:vAlign w:val="center"/>
                </w:tcPr>
                <w:p w14:paraId="70682BD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O</w:t>
                  </w:r>
                  <w:r>
                    <w:rPr>
                      <w:rFonts w:hint="default" w:ascii="Times New Roman" w:hAnsi="Times New Roman" w:eastAsia="仿宋" w:cs="Times New Roman"/>
                      <w:color w:val="auto"/>
                      <w:sz w:val="21"/>
                      <w:szCs w:val="21"/>
                      <w:highlight w:val="none"/>
                      <w:vertAlign w:val="subscript"/>
                    </w:rPr>
                    <w:t>3</w:t>
                  </w:r>
                </w:p>
              </w:tc>
              <w:tc>
                <w:tcPr>
                  <w:tcW w:w="819" w:type="pct"/>
                  <w:vAlign w:val="center"/>
                </w:tcPr>
                <w:p w14:paraId="31AA42B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日最大8h滑动平均值第90百分位数</w:t>
                  </w:r>
                </w:p>
              </w:tc>
              <w:tc>
                <w:tcPr>
                  <w:tcW w:w="681" w:type="pct"/>
                  <w:vAlign w:val="center"/>
                </w:tcPr>
                <w:p w14:paraId="00C9F4A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174</w:t>
                  </w:r>
                </w:p>
              </w:tc>
              <w:tc>
                <w:tcPr>
                  <w:tcW w:w="681" w:type="pct"/>
                  <w:vAlign w:val="center"/>
                </w:tcPr>
                <w:p w14:paraId="3DF5907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160</w:t>
                  </w:r>
                </w:p>
              </w:tc>
              <w:tc>
                <w:tcPr>
                  <w:tcW w:w="512" w:type="pct"/>
                  <w:vAlign w:val="center"/>
                </w:tcPr>
                <w:p w14:paraId="5E26930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0.0875</w:t>
                  </w:r>
                </w:p>
              </w:tc>
              <w:tc>
                <w:tcPr>
                  <w:tcW w:w="441" w:type="pct"/>
                  <w:vAlign w:val="center"/>
                </w:tcPr>
                <w:p w14:paraId="4DF286A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超</w:t>
                  </w:r>
                  <w:r>
                    <w:rPr>
                      <w:rFonts w:hint="default" w:ascii="Times New Roman" w:hAnsi="Times New Roman" w:eastAsia="仿宋" w:cs="Times New Roman"/>
                      <w:color w:val="auto"/>
                      <w:sz w:val="21"/>
                      <w:szCs w:val="21"/>
                      <w:highlight w:val="none"/>
                    </w:rPr>
                    <w:t>标</w:t>
                  </w:r>
                </w:p>
              </w:tc>
              <w:tc>
                <w:tcPr>
                  <w:tcW w:w="1127" w:type="pct"/>
                  <w:vMerge w:val="continue"/>
                  <w:vAlign w:val="center"/>
                </w:tcPr>
                <w:p w14:paraId="525F7425">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仿宋" w:cs="Times New Roman"/>
                      <w:color w:val="auto"/>
                      <w:sz w:val="21"/>
                      <w:szCs w:val="21"/>
                      <w:highlight w:val="none"/>
                      <w:lang w:val="en-US" w:eastAsia="zh-CN"/>
                    </w:rPr>
                  </w:pPr>
                </w:p>
              </w:tc>
            </w:tr>
          </w:tbl>
          <w:p w14:paraId="6E1B11B7">
            <w:pPr>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202</w:t>
            </w:r>
            <w:r>
              <w:rPr>
                <w:rFonts w:hint="eastAsia"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rPr>
              <w:t>年常州市环境空气中二氧化硫、二氧化氮、</w:t>
            </w:r>
            <w:r>
              <w:rPr>
                <w:rFonts w:hint="eastAsia" w:eastAsia="仿宋" w:cs="Times New Roman"/>
                <w:color w:val="auto"/>
                <w:sz w:val="24"/>
                <w:szCs w:val="24"/>
                <w:highlight w:val="none"/>
                <w:lang w:val="en-US" w:eastAsia="zh-CN"/>
              </w:rPr>
              <w:t>细颗粒物</w:t>
            </w:r>
            <w:r>
              <w:rPr>
                <w:rFonts w:hint="eastAsia"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颗粒物年均值和一氧化碳24小时平均值均达到环境空气质量二级标准；臭氧日最大8小时滑动均值均超过环境空气质量二级标准</w:t>
            </w:r>
            <w:r>
              <w:rPr>
                <w:rFonts w:hint="eastAsia"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超标倍数为0.0875倍</w:t>
            </w:r>
            <w:r>
              <w:rPr>
                <w:rFonts w:hint="default" w:ascii="Times New Roman" w:hAnsi="Times New Roman" w:eastAsia="仿宋" w:cs="Times New Roman"/>
                <w:color w:val="auto"/>
                <w:sz w:val="24"/>
                <w:szCs w:val="24"/>
                <w:highlight w:val="none"/>
              </w:rPr>
              <w:t>。</w:t>
            </w:r>
            <w:r>
              <w:rPr>
                <w:rFonts w:hint="eastAsia" w:eastAsia="仿宋" w:cs="Times New Roman"/>
                <w:color w:val="auto"/>
                <w:sz w:val="24"/>
                <w:szCs w:val="24"/>
                <w:highlight w:val="none"/>
                <w:lang w:val="en-US" w:eastAsia="zh-CN"/>
              </w:rPr>
              <w:t>项目所在区</w:t>
            </w:r>
            <w:r>
              <w:rPr>
                <w:rFonts w:hint="default" w:ascii="Times New Roman" w:hAnsi="Times New Roman" w:eastAsia="仿宋" w:cs="Times New Roman"/>
                <w:color w:val="auto"/>
                <w:sz w:val="24"/>
                <w:szCs w:val="24"/>
                <w:highlight w:val="none"/>
              </w:rPr>
              <w:t>O</w:t>
            </w:r>
            <w:r>
              <w:rPr>
                <w:rFonts w:hint="default" w:ascii="Times New Roman" w:hAnsi="Times New Roman" w:eastAsia="仿宋" w:cs="Times New Roman"/>
                <w:color w:val="auto"/>
                <w:sz w:val="24"/>
                <w:szCs w:val="24"/>
                <w:highlight w:val="none"/>
                <w:vertAlign w:val="subscript"/>
              </w:rPr>
              <w:t>3</w:t>
            </w:r>
            <w:r>
              <w:rPr>
                <w:rFonts w:hint="default" w:ascii="Times New Roman" w:hAnsi="Times New Roman" w:eastAsia="仿宋" w:cs="Times New Roman"/>
                <w:color w:val="auto"/>
                <w:sz w:val="24"/>
                <w:szCs w:val="24"/>
                <w:highlight w:val="none"/>
              </w:rPr>
              <w:t>超标，因此判定为非达标区。</w:t>
            </w:r>
          </w:p>
          <w:p w14:paraId="0F8506A2">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其他污染物环境质量现状</w:t>
            </w:r>
            <w:r>
              <w:rPr>
                <w:rFonts w:hint="eastAsia"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为了解氨、硫化氢现状值，</w:t>
            </w:r>
            <w:r>
              <w:rPr>
                <w:rFonts w:hint="eastAsia" w:ascii="Times New Roman" w:hAnsi="Times New Roman" w:eastAsia="仿宋" w:cs="Times New Roman"/>
                <w:color w:val="auto"/>
                <w:sz w:val="24"/>
                <w:szCs w:val="24"/>
                <w:highlight w:val="none"/>
                <w:lang w:val="en-US" w:eastAsia="zh-CN"/>
              </w:rPr>
              <w:t>中科阿斯迈（江苏）检验</w:t>
            </w:r>
            <w:r>
              <w:rPr>
                <w:rFonts w:hint="eastAsia" w:ascii="Times New Roman" w:hAnsi="Times New Roman" w:eastAsia="仿宋" w:cs="Times New Roman"/>
                <w:color w:val="auto"/>
                <w:sz w:val="24"/>
                <w:szCs w:val="24"/>
                <w:highlight w:val="none"/>
              </w:rPr>
              <w:t>检测有限公司于</w:t>
            </w:r>
            <w:r>
              <w:rPr>
                <w:rFonts w:hint="eastAsia" w:ascii="Times New Roman" w:hAnsi="Times New Roman" w:eastAsia="仿宋" w:cs="Times New Roman"/>
                <w:color w:val="auto"/>
                <w:sz w:val="24"/>
                <w:szCs w:val="24"/>
                <w:highlight w:val="none"/>
                <w:lang w:val="en-US" w:eastAsia="zh-CN"/>
              </w:rPr>
              <w:t>2025</w:t>
            </w:r>
            <w:r>
              <w:rPr>
                <w:rFonts w:hint="eastAsia" w:ascii="Times New Roman" w:hAnsi="Times New Roman" w:eastAsia="仿宋" w:cs="Times New Roman"/>
                <w:color w:val="auto"/>
                <w:sz w:val="24"/>
                <w:szCs w:val="24"/>
                <w:highlight w:val="none"/>
              </w:rPr>
              <w:t>年</w:t>
            </w:r>
            <w:r>
              <w:rPr>
                <w:rFonts w:hint="eastAsia" w:ascii="Times New Roman" w:hAnsi="Times New Roman" w:eastAsia="仿宋" w:cs="Times New Roman"/>
                <w:color w:val="auto"/>
                <w:sz w:val="24"/>
                <w:szCs w:val="24"/>
                <w:highlight w:val="none"/>
                <w:lang w:val="en-US" w:eastAsia="zh-CN"/>
              </w:rPr>
              <w:t>1月20日-1月23日</w:t>
            </w:r>
            <w:r>
              <w:rPr>
                <w:rFonts w:hint="eastAsia" w:ascii="Times New Roman" w:hAnsi="Times New Roman" w:eastAsia="仿宋" w:cs="Times New Roman"/>
                <w:color w:val="auto"/>
                <w:sz w:val="24"/>
                <w:szCs w:val="24"/>
                <w:highlight w:val="none"/>
              </w:rPr>
              <w:t>对</w:t>
            </w:r>
            <w:r>
              <w:rPr>
                <w:rFonts w:hint="eastAsia" w:ascii="Times New Roman" w:hAnsi="Times New Roman" w:eastAsia="仿宋" w:cs="Times New Roman"/>
                <w:color w:val="auto"/>
                <w:sz w:val="24"/>
                <w:szCs w:val="24"/>
                <w:highlight w:val="none"/>
                <w:lang w:val="en-US" w:eastAsia="zh-CN"/>
              </w:rPr>
              <w:t>项目所在地空气质量进行检测。</w:t>
            </w:r>
          </w:p>
          <w:p w14:paraId="0AEA84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w:t>
            </w:r>
            <w:r>
              <w:rPr>
                <w:rFonts w:hint="eastAsia" w:ascii="Times New Roman" w:hAnsi="Times New Roman" w:eastAsia="仿宋" w:cs="Times New Roman"/>
                <w:b/>
                <w:bCs/>
                <w:color w:val="auto"/>
                <w:kern w:val="0"/>
                <w:sz w:val="22"/>
                <w:szCs w:val="22"/>
                <w:highlight w:val="none"/>
                <w:lang w:val="en-US" w:eastAsia="zh-CN" w:bidi="ar-SA"/>
              </w:rPr>
              <w:t>3</w:t>
            </w:r>
            <w:r>
              <w:rPr>
                <w:rFonts w:hint="default" w:ascii="Times New Roman" w:hAnsi="Times New Roman" w:eastAsia="仿宋" w:cs="Times New Roman"/>
                <w:b/>
                <w:bCs/>
                <w:color w:val="auto"/>
                <w:kern w:val="0"/>
                <w:sz w:val="22"/>
                <w:szCs w:val="22"/>
                <w:highlight w:val="none"/>
                <w:lang w:val="en-US" w:eastAsia="zh-CN" w:bidi="ar-SA"/>
              </w:rPr>
              <w:t xml:space="preserve">  空气环境质量</w:t>
            </w:r>
            <w:r>
              <w:rPr>
                <w:rFonts w:hint="eastAsia" w:ascii="Times New Roman" w:hAnsi="Times New Roman" w:eastAsia="仿宋" w:cs="Times New Roman"/>
                <w:b/>
                <w:bCs/>
                <w:color w:val="auto"/>
                <w:kern w:val="0"/>
                <w:sz w:val="22"/>
                <w:szCs w:val="22"/>
                <w:highlight w:val="none"/>
                <w:lang w:val="en-US" w:eastAsia="zh-CN" w:bidi="ar-SA"/>
              </w:rPr>
              <w:t>检测结果</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938"/>
              <w:gridCol w:w="1381"/>
              <w:gridCol w:w="1380"/>
              <w:gridCol w:w="1380"/>
              <w:gridCol w:w="1381"/>
            </w:tblGrid>
            <w:tr w14:paraId="2EE7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033A92D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采样地点</w:t>
                  </w:r>
                </w:p>
              </w:tc>
              <w:tc>
                <w:tcPr>
                  <w:tcW w:w="2004" w:type="pct"/>
                  <w:gridSpan w:val="2"/>
                  <w:tcBorders>
                    <w:tl2br w:val="single" w:color="auto" w:sz="4" w:space="0"/>
                  </w:tcBorders>
                </w:tcPr>
                <w:p w14:paraId="6A2A0EB7">
                  <w:pPr>
                    <w:keepNext w:val="0"/>
                    <w:keepLines w:val="0"/>
                    <w:pageBreakBefore w:val="0"/>
                    <w:widowControl w:val="0"/>
                    <w:kinsoku/>
                    <w:wordWrap/>
                    <w:overflowPunct/>
                    <w:topLinePunct w:val="0"/>
                    <w:autoSpaceDE/>
                    <w:autoSpaceDN/>
                    <w:bidi w:val="0"/>
                    <w:adjustRightInd/>
                    <w:snapToGrid w:val="0"/>
                    <w:jc w:val="right"/>
                    <w:textAlignment w:val="auto"/>
                    <w:rPr>
                      <w:rFonts w:hint="eastAsia"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检测结果</w:t>
                  </w:r>
                </w:p>
                <w:p w14:paraId="24A7956A">
                  <w:pPr>
                    <w:keepNext w:val="0"/>
                    <w:keepLines w:val="0"/>
                    <w:pageBreakBefore w:val="0"/>
                    <w:widowControl w:val="0"/>
                    <w:kinsoku/>
                    <w:wordWrap/>
                    <w:overflowPunct/>
                    <w:topLinePunct w:val="0"/>
                    <w:autoSpaceDE/>
                    <w:autoSpaceDN/>
                    <w:bidi w:val="0"/>
                    <w:adjustRightInd/>
                    <w:snapToGrid w:val="0"/>
                    <w:jc w:val="both"/>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采样时间</w:t>
                  </w:r>
                </w:p>
              </w:tc>
              <w:tc>
                <w:tcPr>
                  <w:tcW w:w="833" w:type="pct"/>
                  <w:vAlign w:val="center"/>
                </w:tcPr>
                <w:p w14:paraId="6550BE9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氨（mg/m</w:t>
                  </w:r>
                  <w:r>
                    <w:rPr>
                      <w:rFonts w:hint="eastAsia" w:ascii="Times New Roman" w:hAnsi="Times New Roman" w:eastAsia="仿宋" w:cs="Times New Roman"/>
                      <w:b/>
                      <w:bCs/>
                      <w:color w:val="auto"/>
                      <w:sz w:val="21"/>
                      <w:szCs w:val="21"/>
                      <w:highlight w:val="none"/>
                      <w:vertAlign w:val="superscript"/>
                      <w:lang w:val="en-US" w:eastAsia="zh-CN"/>
                    </w:rPr>
                    <w:t>3</w:t>
                  </w:r>
                  <w:r>
                    <w:rPr>
                      <w:rFonts w:hint="eastAsia" w:ascii="Times New Roman" w:hAnsi="Times New Roman" w:eastAsia="仿宋" w:cs="Times New Roman"/>
                      <w:b/>
                      <w:bCs/>
                      <w:color w:val="auto"/>
                      <w:sz w:val="21"/>
                      <w:szCs w:val="21"/>
                      <w:highlight w:val="none"/>
                      <w:lang w:val="en-US" w:eastAsia="zh-CN"/>
                    </w:rPr>
                    <w:t>）</w:t>
                  </w:r>
                </w:p>
              </w:tc>
              <w:tc>
                <w:tcPr>
                  <w:tcW w:w="833" w:type="pct"/>
                  <w:vAlign w:val="center"/>
                </w:tcPr>
                <w:p w14:paraId="44AEF47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硫化氢（mg/m</w:t>
                  </w:r>
                  <w:r>
                    <w:rPr>
                      <w:rFonts w:hint="eastAsia" w:ascii="Times New Roman" w:hAnsi="Times New Roman" w:eastAsia="仿宋" w:cs="Times New Roman"/>
                      <w:b/>
                      <w:bCs/>
                      <w:color w:val="auto"/>
                      <w:sz w:val="21"/>
                      <w:szCs w:val="21"/>
                      <w:highlight w:val="none"/>
                      <w:vertAlign w:val="superscript"/>
                      <w:lang w:val="en-US" w:eastAsia="zh-CN"/>
                    </w:rPr>
                    <w:t>3</w:t>
                  </w:r>
                  <w:r>
                    <w:rPr>
                      <w:rFonts w:hint="eastAsia" w:ascii="Times New Roman" w:hAnsi="Times New Roman" w:eastAsia="仿宋" w:cs="Times New Roman"/>
                      <w:b/>
                      <w:bCs/>
                      <w:color w:val="auto"/>
                      <w:sz w:val="21"/>
                      <w:szCs w:val="21"/>
                      <w:highlight w:val="none"/>
                      <w:lang w:val="en-US" w:eastAsia="zh-CN"/>
                    </w:rPr>
                    <w:t>）</w:t>
                  </w:r>
                </w:p>
              </w:tc>
              <w:tc>
                <w:tcPr>
                  <w:tcW w:w="833" w:type="pct"/>
                  <w:vAlign w:val="center"/>
                </w:tcPr>
                <w:p w14:paraId="6A661FC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臭气（无量纲）</w:t>
                  </w:r>
                </w:p>
              </w:tc>
            </w:tr>
            <w:tr w14:paraId="144F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3"/>
                </w:tcPr>
                <w:p w14:paraId="3A7A76A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eastAsia="仿宋" w:cs="Times New Roman"/>
                      <w:b w:val="0"/>
                      <w:bCs w:val="0"/>
                      <w:color w:val="auto"/>
                      <w:sz w:val="21"/>
                      <w:szCs w:val="21"/>
                      <w:highlight w:val="none"/>
                      <w:lang w:val="en-US" w:eastAsia="zh-CN"/>
                    </w:rPr>
                    <w:t>标准限值</w:t>
                  </w:r>
                </w:p>
              </w:tc>
              <w:tc>
                <w:tcPr>
                  <w:tcW w:w="833" w:type="pct"/>
                  <w:vAlign w:val="center"/>
                </w:tcPr>
                <w:p w14:paraId="0A88D3C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eastAsia="仿宋" w:cs="Times New Roman"/>
                      <w:b w:val="0"/>
                      <w:bCs w:val="0"/>
                      <w:color w:val="auto"/>
                      <w:sz w:val="21"/>
                      <w:szCs w:val="21"/>
                      <w:highlight w:val="none"/>
                      <w:lang w:val="en-US" w:eastAsia="zh-CN"/>
                    </w:rPr>
                    <w:t>0.2</w:t>
                  </w:r>
                </w:p>
              </w:tc>
              <w:tc>
                <w:tcPr>
                  <w:tcW w:w="833" w:type="pct"/>
                  <w:vAlign w:val="center"/>
                </w:tcPr>
                <w:p w14:paraId="2EF81F2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eastAsia="仿宋" w:cs="Times New Roman"/>
                      <w:b w:val="0"/>
                      <w:bCs w:val="0"/>
                      <w:color w:val="auto"/>
                      <w:sz w:val="21"/>
                      <w:szCs w:val="21"/>
                      <w:highlight w:val="none"/>
                      <w:lang w:val="en-US" w:eastAsia="zh-CN"/>
                    </w:rPr>
                    <w:t>0.01</w:t>
                  </w:r>
                </w:p>
              </w:tc>
              <w:tc>
                <w:tcPr>
                  <w:tcW w:w="833" w:type="pct"/>
                  <w:vAlign w:val="center"/>
                </w:tcPr>
                <w:p w14:paraId="2CE77D3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eastAsia" w:eastAsia="仿宋" w:cs="Times New Roman"/>
                      <w:b w:val="0"/>
                      <w:bCs w:val="0"/>
                      <w:color w:val="auto"/>
                      <w:sz w:val="21"/>
                      <w:szCs w:val="21"/>
                      <w:highlight w:val="none"/>
                      <w:lang w:val="en-US" w:eastAsia="zh-CN"/>
                    </w:rPr>
                    <w:t>20</w:t>
                  </w:r>
                </w:p>
              </w:tc>
            </w:tr>
            <w:tr w14:paraId="4BD3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restart"/>
                  <w:vAlign w:val="center"/>
                </w:tcPr>
                <w:p w14:paraId="3ED3D22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G1下风向</w:t>
                  </w:r>
                </w:p>
              </w:tc>
              <w:tc>
                <w:tcPr>
                  <w:tcW w:w="1170" w:type="pct"/>
                  <w:vMerge w:val="restart"/>
                  <w:vAlign w:val="center"/>
                </w:tcPr>
                <w:p w14:paraId="60F66CC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2025年1月20日</w:t>
                  </w:r>
                </w:p>
              </w:tc>
              <w:tc>
                <w:tcPr>
                  <w:tcW w:w="833" w:type="pct"/>
                  <w:vAlign w:val="center"/>
                </w:tcPr>
                <w:p w14:paraId="4BF2717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12:00-13：00</w:t>
                  </w:r>
                </w:p>
              </w:tc>
              <w:tc>
                <w:tcPr>
                  <w:tcW w:w="833" w:type="pct"/>
                  <w:vAlign w:val="center"/>
                </w:tcPr>
                <w:p w14:paraId="14A84AA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0.037</w:t>
                  </w:r>
                </w:p>
              </w:tc>
              <w:tc>
                <w:tcPr>
                  <w:tcW w:w="833" w:type="pct"/>
                  <w:vAlign w:val="center"/>
                </w:tcPr>
                <w:p w14:paraId="7BDB922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ND</w:t>
                  </w:r>
                </w:p>
              </w:tc>
              <w:tc>
                <w:tcPr>
                  <w:tcW w:w="833" w:type="pct"/>
                  <w:vAlign w:val="center"/>
                </w:tcPr>
                <w:p w14:paraId="25C62A5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r>
            <w:tr w14:paraId="7A0B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14:paraId="2DAB55E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1170" w:type="pct"/>
                  <w:vMerge w:val="continue"/>
                  <w:vAlign w:val="center"/>
                </w:tcPr>
                <w:p w14:paraId="1103FB7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833" w:type="pct"/>
                  <w:vAlign w:val="center"/>
                </w:tcPr>
                <w:p w14:paraId="0F4668E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18:03-19：03</w:t>
                  </w:r>
                </w:p>
              </w:tc>
              <w:tc>
                <w:tcPr>
                  <w:tcW w:w="833" w:type="pct"/>
                  <w:vAlign w:val="center"/>
                </w:tcPr>
                <w:p w14:paraId="4D8E3DC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0.043</w:t>
                  </w:r>
                </w:p>
              </w:tc>
              <w:tc>
                <w:tcPr>
                  <w:tcW w:w="833" w:type="pct"/>
                  <w:vAlign w:val="center"/>
                </w:tcPr>
                <w:p w14:paraId="4DBF061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ND</w:t>
                  </w:r>
                </w:p>
              </w:tc>
              <w:tc>
                <w:tcPr>
                  <w:tcW w:w="833" w:type="pct"/>
                  <w:vAlign w:val="center"/>
                </w:tcPr>
                <w:p w14:paraId="22F451D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r>
            <w:tr w14:paraId="5185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14:paraId="72DDCBC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1170" w:type="pct"/>
                  <w:vMerge w:val="restart"/>
                  <w:vAlign w:val="center"/>
                </w:tcPr>
                <w:p w14:paraId="08AA731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2025年1月21日</w:t>
                  </w:r>
                </w:p>
              </w:tc>
              <w:tc>
                <w:tcPr>
                  <w:tcW w:w="833" w:type="pct"/>
                  <w:vAlign w:val="center"/>
                </w:tcPr>
                <w:p w14:paraId="1C5EA9A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00:06-01:06</w:t>
                  </w:r>
                </w:p>
              </w:tc>
              <w:tc>
                <w:tcPr>
                  <w:tcW w:w="833" w:type="pct"/>
                  <w:vAlign w:val="center"/>
                </w:tcPr>
                <w:p w14:paraId="19250E2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0.043</w:t>
                  </w:r>
                </w:p>
              </w:tc>
              <w:tc>
                <w:tcPr>
                  <w:tcW w:w="833" w:type="pct"/>
                  <w:vAlign w:val="center"/>
                </w:tcPr>
                <w:p w14:paraId="4D6EFED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ND</w:t>
                  </w:r>
                </w:p>
              </w:tc>
              <w:tc>
                <w:tcPr>
                  <w:tcW w:w="833" w:type="pct"/>
                  <w:vAlign w:val="center"/>
                </w:tcPr>
                <w:p w14:paraId="05AF901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r>
            <w:tr w14:paraId="69E4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14:paraId="5820DD2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1170" w:type="pct"/>
                  <w:vMerge w:val="continue"/>
                  <w:vAlign w:val="center"/>
                </w:tcPr>
                <w:p w14:paraId="1FFCB37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833" w:type="pct"/>
                  <w:vAlign w:val="center"/>
                </w:tcPr>
                <w:p w14:paraId="1343239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06:10-07:10</w:t>
                  </w:r>
                </w:p>
              </w:tc>
              <w:tc>
                <w:tcPr>
                  <w:tcW w:w="833" w:type="pct"/>
                  <w:vAlign w:val="center"/>
                </w:tcPr>
                <w:p w14:paraId="6A8691F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0.040</w:t>
                  </w:r>
                </w:p>
              </w:tc>
              <w:tc>
                <w:tcPr>
                  <w:tcW w:w="833" w:type="pct"/>
                  <w:vAlign w:val="center"/>
                </w:tcPr>
                <w:p w14:paraId="78DA815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ND</w:t>
                  </w:r>
                </w:p>
              </w:tc>
              <w:tc>
                <w:tcPr>
                  <w:tcW w:w="833" w:type="pct"/>
                  <w:vAlign w:val="center"/>
                </w:tcPr>
                <w:p w14:paraId="6046613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r>
            <w:tr w14:paraId="004B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14:paraId="329E5B5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1170" w:type="pct"/>
                  <w:vMerge w:val="continue"/>
                  <w:vAlign w:val="center"/>
                </w:tcPr>
                <w:p w14:paraId="2F728A8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833" w:type="pct"/>
                  <w:vAlign w:val="center"/>
                </w:tcPr>
                <w:p w14:paraId="42355E2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12:00-13:00</w:t>
                  </w:r>
                </w:p>
              </w:tc>
              <w:tc>
                <w:tcPr>
                  <w:tcW w:w="833" w:type="pct"/>
                  <w:vAlign w:val="center"/>
                </w:tcPr>
                <w:p w14:paraId="4FB09F3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0.038</w:t>
                  </w:r>
                </w:p>
              </w:tc>
              <w:tc>
                <w:tcPr>
                  <w:tcW w:w="833" w:type="pct"/>
                  <w:vAlign w:val="center"/>
                </w:tcPr>
                <w:p w14:paraId="13D5874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ND</w:t>
                  </w:r>
                </w:p>
              </w:tc>
              <w:tc>
                <w:tcPr>
                  <w:tcW w:w="833" w:type="pct"/>
                  <w:vAlign w:val="center"/>
                </w:tcPr>
                <w:p w14:paraId="7D76CB5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r>
            <w:tr w14:paraId="0E52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14:paraId="3D89CB2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1170" w:type="pct"/>
                  <w:vMerge w:val="continue"/>
                  <w:vAlign w:val="center"/>
                </w:tcPr>
                <w:p w14:paraId="2D2D7A1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833" w:type="pct"/>
                  <w:vAlign w:val="center"/>
                </w:tcPr>
                <w:p w14:paraId="66F7EBC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18:00-19:00</w:t>
                  </w:r>
                </w:p>
              </w:tc>
              <w:tc>
                <w:tcPr>
                  <w:tcW w:w="833" w:type="pct"/>
                  <w:vAlign w:val="center"/>
                </w:tcPr>
                <w:p w14:paraId="01A4821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0.041</w:t>
                  </w:r>
                </w:p>
              </w:tc>
              <w:tc>
                <w:tcPr>
                  <w:tcW w:w="833" w:type="pct"/>
                  <w:vAlign w:val="center"/>
                </w:tcPr>
                <w:p w14:paraId="5489A56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ND</w:t>
                  </w:r>
                </w:p>
              </w:tc>
              <w:tc>
                <w:tcPr>
                  <w:tcW w:w="833" w:type="pct"/>
                  <w:vAlign w:val="center"/>
                </w:tcPr>
                <w:p w14:paraId="1FFA967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r>
            <w:tr w14:paraId="54ED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14:paraId="0DD7C86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1170" w:type="pct"/>
                  <w:vMerge w:val="restart"/>
                  <w:vAlign w:val="center"/>
                </w:tcPr>
                <w:p w14:paraId="197EB79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2025年1月22日</w:t>
                  </w:r>
                </w:p>
              </w:tc>
              <w:tc>
                <w:tcPr>
                  <w:tcW w:w="833" w:type="pct"/>
                  <w:vAlign w:val="center"/>
                </w:tcPr>
                <w:p w14:paraId="0D0D432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00:00-01:00</w:t>
                  </w:r>
                </w:p>
              </w:tc>
              <w:tc>
                <w:tcPr>
                  <w:tcW w:w="833" w:type="pct"/>
                  <w:vAlign w:val="center"/>
                </w:tcPr>
                <w:p w14:paraId="7CB1AAF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0.042</w:t>
                  </w:r>
                </w:p>
              </w:tc>
              <w:tc>
                <w:tcPr>
                  <w:tcW w:w="833" w:type="pct"/>
                  <w:vAlign w:val="center"/>
                </w:tcPr>
                <w:p w14:paraId="12952B7A">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ND</w:t>
                  </w:r>
                </w:p>
              </w:tc>
              <w:tc>
                <w:tcPr>
                  <w:tcW w:w="833" w:type="pct"/>
                  <w:vAlign w:val="center"/>
                </w:tcPr>
                <w:p w14:paraId="255E75A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r>
            <w:tr w14:paraId="0782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14:paraId="74F4C73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1170" w:type="pct"/>
                  <w:vMerge w:val="continue"/>
                  <w:vAlign w:val="center"/>
                </w:tcPr>
                <w:p w14:paraId="735B0E3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833" w:type="pct"/>
                  <w:vAlign w:val="center"/>
                </w:tcPr>
                <w:p w14:paraId="035C3DB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06:00-07:00</w:t>
                  </w:r>
                </w:p>
              </w:tc>
              <w:tc>
                <w:tcPr>
                  <w:tcW w:w="833" w:type="pct"/>
                  <w:vAlign w:val="center"/>
                </w:tcPr>
                <w:p w14:paraId="48C59DE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0.040</w:t>
                  </w:r>
                </w:p>
              </w:tc>
              <w:tc>
                <w:tcPr>
                  <w:tcW w:w="833" w:type="pct"/>
                  <w:vAlign w:val="center"/>
                </w:tcPr>
                <w:p w14:paraId="35793CD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ND</w:t>
                  </w:r>
                </w:p>
              </w:tc>
              <w:tc>
                <w:tcPr>
                  <w:tcW w:w="833" w:type="pct"/>
                  <w:vAlign w:val="center"/>
                </w:tcPr>
                <w:p w14:paraId="5CDEA08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r>
            <w:tr w14:paraId="6FB3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14:paraId="6CC4405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1170" w:type="pct"/>
                  <w:vMerge w:val="continue"/>
                  <w:vAlign w:val="center"/>
                </w:tcPr>
                <w:p w14:paraId="434563D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833" w:type="pct"/>
                  <w:vAlign w:val="center"/>
                </w:tcPr>
                <w:p w14:paraId="229ACFD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12:00-13:00</w:t>
                  </w:r>
                </w:p>
              </w:tc>
              <w:tc>
                <w:tcPr>
                  <w:tcW w:w="833" w:type="pct"/>
                  <w:vAlign w:val="center"/>
                </w:tcPr>
                <w:p w14:paraId="4F76154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0.043</w:t>
                  </w:r>
                </w:p>
              </w:tc>
              <w:tc>
                <w:tcPr>
                  <w:tcW w:w="833" w:type="pct"/>
                  <w:vAlign w:val="center"/>
                </w:tcPr>
                <w:p w14:paraId="77F7356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ND</w:t>
                  </w:r>
                </w:p>
              </w:tc>
              <w:tc>
                <w:tcPr>
                  <w:tcW w:w="833" w:type="pct"/>
                  <w:vAlign w:val="center"/>
                </w:tcPr>
                <w:p w14:paraId="6C9C609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r>
            <w:tr w14:paraId="5C8C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14:paraId="46A46395">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1170" w:type="pct"/>
                  <w:vMerge w:val="continue"/>
                  <w:vAlign w:val="center"/>
                </w:tcPr>
                <w:p w14:paraId="2710B29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833" w:type="pct"/>
                  <w:vAlign w:val="center"/>
                </w:tcPr>
                <w:p w14:paraId="5D3D655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18:00-19:00</w:t>
                  </w:r>
                </w:p>
              </w:tc>
              <w:tc>
                <w:tcPr>
                  <w:tcW w:w="833" w:type="pct"/>
                  <w:vAlign w:val="center"/>
                </w:tcPr>
                <w:p w14:paraId="5178591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0.047</w:t>
                  </w:r>
                </w:p>
              </w:tc>
              <w:tc>
                <w:tcPr>
                  <w:tcW w:w="833" w:type="pct"/>
                  <w:vAlign w:val="center"/>
                </w:tcPr>
                <w:p w14:paraId="3098E30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ND</w:t>
                  </w:r>
                </w:p>
              </w:tc>
              <w:tc>
                <w:tcPr>
                  <w:tcW w:w="833" w:type="pct"/>
                  <w:vAlign w:val="center"/>
                </w:tcPr>
                <w:p w14:paraId="4C54948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r>
            <w:tr w14:paraId="51BB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14:paraId="3B53071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1170" w:type="pct"/>
                  <w:vMerge w:val="restart"/>
                  <w:vAlign w:val="center"/>
                </w:tcPr>
                <w:p w14:paraId="5444336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2025年1月23日</w:t>
                  </w:r>
                </w:p>
              </w:tc>
              <w:tc>
                <w:tcPr>
                  <w:tcW w:w="833" w:type="pct"/>
                  <w:vAlign w:val="center"/>
                </w:tcPr>
                <w:p w14:paraId="56E399D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00:00-01:00</w:t>
                  </w:r>
                </w:p>
              </w:tc>
              <w:tc>
                <w:tcPr>
                  <w:tcW w:w="833" w:type="pct"/>
                  <w:vAlign w:val="center"/>
                </w:tcPr>
                <w:p w14:paraId="62631B4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0.048</w:t>
                  </w:r>
                </w:p>
              </w:tc>
              <w:tc>
                <w:tcPr>
                  <w:tcW w:w="833" w:type="pct"/>
                  <w:vAlign w:val="center"/>
                </w:tcPr>
                <w:p w14:paraId="4EA2C7D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ND</w:t>
                  </w:r>
                </w:p>
              </w:tc>
              <w:tc>
                <w:tcPr>
                  <w:tcW w:w="833" w:type="pct"/>
                  <w:vAlign w:val="center"/>
                </w:tcPr>
                <w:p w14:paraId="48D6EBD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r>
            <w:tr w14:paraId="5A41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14:paraId="28E8F63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1170" w:type="pct"/>
                  <w:vMerge w:val="continue"/>
                  <w:vAlign w:val="center"/>
                </w:tcPr>
                <w:p w14:paraId="77E07CB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p>
              </w:tc>
              <w:tc>
                <w:tcPr>
                  <w:tcW w:w="833" w:type="pct"/>
                  <w:vAlign w:val="center"/>
                </w:tcPr>
                <w:p w14:paraId="6D53A21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06:00-07:00</w:t>
                  </w:r>
                </w:p>
              </w:tc>
              <w:tc>
                <w:tcPr>
                  <w:tcW w:w="833" w:type="pct"/>
                  <w:vAlign w:val="center"/>
                </w:tcPr>
                <w:p w14:paraId="0662DB5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0.042</w:t>
                  </w:r>
                </w:p>
              </w:tc>
              <w:tc>
                <w:tcPr>
                  <w:tcW w:w="833" w:type="pct"/>
                  <w:vAlign w:val="center"/>
                </w:tcPr>
                <w:p w14:paraId="558C752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ND</w:t>
                  </w:r>
                </w:p>
              </w:tc>
              <w:tc>
                <w:tcPr>
                  <w:tcW w:w="833" w:type="pct"/>
                  <w:vAlign w:val="center"/>
                </w:tcPr>
                <w:p w14:paraId="1F4ED12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r>
            <w:tr w14:paraId="6F91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14:paraId="597E2F4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备注</w:t>
                  </w:r>
                </w:p>
              </w:tc>
              <w:tc>
                <w:tcPr>
                  <w:tcW w:w="4504" w:type="pct"/>
                  <w:gridSpan w:val="5"/>
                  <w:vAlign w:val="center"/>
                </w:tcPr>
                <w:p w14:paraId="3A1CFD29">
                  <w:pPr>
                    <w:keepNext w:val="0"/>
                    <w:keepLines w:val="0"/>
                    <w:pageBreakBefore w:val="0"/>
                    <w:widowControl w:val="0"/>
                    <w:kinsoku/>
                    <w:wordWrap/>
                    <w:overflowPunct/>
                    <w:topLinePunct w:val="0"/>
                    <w:autoSpaceDE/>
                    <w:autoSpaceDN/>
                    <w:bidi w:val="0"/>
                    <w:adjustRightInd/>
                    <w:snapToGrid w:val="0"/>
                    <w:jc w:val="left"/>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“ND”表示未检出，即检测结果低于检出限。</w:t>
                  </w:r>
                </w:p>
              </w:tc>
            </w:tr>
          </w:tbl>
          <w:p w14:paraId="315B5DA2">
            <w:pPr>
              <w:spacing w:line="360" w:lineRule="auto"/>
              <w:ind w:firstLine="480" w:firstLineChars="200"/>
              <w:rPr>
                <w:rFonts w:hint="eastAsia"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根据上表可以看出，项目所在地附近</w:t>
            </w:r>
            <w:r>
              <w:rPr>
                <w:rFonts w:hint="eastAsia" w:ascii="Times New Roman" w:hAnsi="Times New Roman" w:eastAsia="仿宋" w:cs="Times New Roman"/>
                <w:color w:val="auto"/>
                <w:sz w:val="24"/>
                <w:szCs w:val="24"/>
                <w:highlight w:val="none"/>
                <w:lang w:val="en-US" w:eastAsia="zh-CN"/>
              </w:rPr>
              <w:t>氨、硫化氢</w:t>
            </w:r>
            <w:r>
              <w:rPr>
                <w:rFonts w:hint="default" w:ascii="Times New Roman" w:hAnsi="Times New Roman" w:eastAsia="仿宋" w:cs="Times New Roman"/>
                <w:color w:val="auto"/>
                <w:sz w:val="24"/>
                <w:szCs w:val="24"/>
                <w:highlight w:val="none"/>
              </w:rPr>
              <w:t>能够达到《</w:t>
            </w:r>
            <w:r>
              <w:rPr>
                <w:rFonts w:hint="eastAsia" w:eastAsia="仿宋" w:cs="Times New Roman"/>
                <w:color w:val="auto"/>
                <w:sz w:val="24"/>
                <w:szCs w:val="24"/>
                <w:highlight w:val="none"/>
                <w:lang w:val="en-US" w:eastAsia="zh-CN"/>
              </w:rPr>
              <w:t>环境影响评价技术导则 大气环境</w:t>
            </w:r>
            <w:r>
              <w:rPr>
                <w:rFonts w:hint="default" w:ascii="Times New Roman" w:hAnsi="Times New Roman" w:eastAsia="仿宋" w:cs="Times New Roman"/>
                <w:color w:val="auto"/>
                <w:sz w:val="24"/>
                <w:szCs w:val="24"/>
                <w:highlight w:val="none"/>
              </w:rPr>
              <w:t>》</w:t>
            </w:r>
            <w:r>
              <w:rPr>
                <w:rFonts w:hint="eastAsia"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HJ2.2-2018</w:t>
            </w:r>
            <w:r>
              <w:rPr>
                <w:rFonts w:hint="eastAsia"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附录D浓度限值，臭气浓度达到《恶臭污染物排放标准》（GB14554-93）</w:t>
            </w:r>
            <w:r>
              <w:rPr>
                <w:rFonts w:hint="default" w:ascii="Times New Roman" w:hAnsi="Times New Roman" w:eastAsia="仿宋" w:cs="Times New Roman"/>
                <w:color w:val="auto"/>
                <w:sz w:val="24"/>
                <w:szCs w:val="24"/>
                <w:highlight w:val="none"/>
              </w:rPr>
              <w:t>中选用标准。</w:t>
            </w:r>
          </w:p>
          <w:p w14:paraId="12F8CE67">
            <w:pPr>
              <w:pStyle w:val="38"/>
              <w:spacing w:line="360" w:lineRule="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（2）区域削减</w:t>
            </w:r>
          </w:p>
          <w:p w14:paraId="23DB26BE">
            <w:pPr>
              <w:pStyle w:val="38"/>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根据常州市生态文明建设委员会关于印发《2024年度全面推进美丽常州建设工作方案》的通知，主要举措如下：</w:t>
            </w:r>
          </w:p>
          <w:p w14:paraId="0E440CA1">
            <w:pPr>
              <w:pStyle w:val="38"/>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开展火电煤堆场专项整治行动。年内完成国能常州发电有限公司、常州经开区亚太热电2家火电</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一企一策</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综合整治，年底前完成广达热电关闭退出工作。抓好钢铁、水泥、铸造、垃圾焚烧、汽修</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五大行业</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整治。完成宝润钢铁全流程超低排放改造；完成江苏常宝钢管股份有限公司2台工业炉窑烟气脱硝或低氮改造；完成光大常高新垃圾焚烧提标改造。推进燃烧法工艺（RTO、RCO、TO）治污设施建设，力争4月底前完成50%以上的年度VOCs治理重点工程项目。9月底前完成154家汽修行业企业全面排查和系统治理。强化挥发性有机物全过程全环节综合治理，实施源头替代工程，年内木质家具制造、工程机械替代比例力争达到80%，汽车零部件及配件制造、钢结构（防腐级别C4及以上的除外）替代比例力争达到60%。开展虚假</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油改水</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专项清理。常州滨江经济开发区新材料产业园、金坛新材料科技产业园制定化工园区综合整治方案，建立统一的</w:t>
            </w:r>
            <w:r>
              <w:rPr>
                <w:rFonts w:hint="eastAsia" w:ascii="Times New Roman" w:hAnsi="Times New Roman" w:eastAsia="仿宋" w:cs="Times New Roman"/>
                <w:color w:val="auto"/>
                <w:sz w:val="24"/>
                <w:szCs w:val="24"/>
                <w:highlight w:val="none"/>
                <w:lang w:eastAsia="zh-CN"/>
              </w:rPr>
              <w:t>泄漏</w:t>
            </w:r>
            <w:r>
              <w:rPr>
                <w:rFonts w:hint="default" w:ascii="Times New Roman" w:hAnsi="Times New Roman" w:eastAsia="仿宋" w:cs="Times New Roman"/>
                <w:color w:val="auto"/>
                <w:sz w:val="24"/>
                <w:szCs w:val="24"/>
                <w:highlight w:val="none"/>
              </w:rPr>
              <w:t>检测与修复信息管理平台。对挥发性有机液体储罐开展排查，4月底前符合要求的力争实现全更换。中石油、中石化两个油库完成储罐浮盘高效密封改造。持续加强原油成品油码头和油船挥发性有机物治理。开展55家水泥行业企业和43家玻璃</w:t>
            </w:r>
            <w:r>
              <w:rPr>
                <w:rFonts w:hint="eastAsia" w:ascii="Times New Roman" w:hAnsi="Times New Roman" w:eastAsia="仿宋" w:cs="Times New Roman"/>
                <w:color w:val="auto"/>
                <w:sz w:val="24"/>
                <w:szCs w:val="24"/>
                <w:highlight w:val="none"/>
                <w:lang w:eastAsia="zh-CN"/>
              </w:rPr>
              <w:t>行业</w:t>
            </w:r>
            <w:r>
              <w:rPr>
                <w:rFonts w:hint="default" w:ascii="Times New Roman" w:hAnsi="Times New Roman" w:eastAsia="仿宋" w:cs="Times New Roman"/>
                <w:color w:val="auto"/>
                <w:sz w:val="24"/>
                <w:szCs w:val="24"/>
                <w:highlight w:val="none"/>
              </w:rPr>
              <w:t>企业排查整治，对733家铸造企业</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回头看</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培育环保绩效AB级水平标杆企业37家以上。鼓励开展清洁生产审核的铸造企业，主动提升清洁生产先进水平。强化施工工地、道路、园林绿化、裸地以及港口码头等扬尘治理，严格执行《常州市扬尘污染防治管理办法》要求，施工工地严格执行</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六个百分百</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要求，</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两区三厂</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范围内无大面积未覆盖裸土。推进规模以上工地安装扬尘在线监测和视频监控设备，鼓励实施监测超标预警和喷淋、雾炮等设施的远程控制与自动降尘有效联动。持续对全市63个镇（街道）、园区实施降尘考核，全市降尘不得高于2.2吨/平方千米·月。开展餐饮油烟专项治理，推动产生油烟或异味的餐饮服务单位安装油烟净化装置并定期维护，每季度清洗一次烟道。推进建设钟楼吾悦国际综合体为主要集中治理区域的餐饮油烟治理示范街区。严格落实《江苏省重污染天气应急预案》有关要求，9月底前完成绩效分级、应急减排清单和豁免企业清单修订工作。加强秸秆禁烧，全面提升秸秆收、运、贮、用等方面能力。加强春节、中秋、国庆等重点时段的烟花爆竹燃放管控工作，严防禁放区内发生聚集性违规燃放。溧阳高新区开展减污降碳协同创新试点，制定形成试点任务清单。</w:t>
            </w:r>
          </w:p>
          <w:p w14:paraId="30FF7BC2">
            <w:pPr>
              <w:pStyle w:val="38"/>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采取上述措施，常州市的大气空气质量将得到进一步改善。</w:t>
            </w:r>
          </w:p>
          <w:p w14:paraId="7633EFEF">
            <w:pPr>
              <w:autoSpaceDE w:val="0"/>
              <w:autoSpaceDN w:val="0"/>
              <w:spacing w:line="360" w:lineRule="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2.地表水环境质量现状</w:t>
            </w:r>
          </w:p>
          <w:p w14:paraId="5E3696A1">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（1）常州市</w:t>
            </w:r>
            <w:r>
              <w:rPr>
                <w:rFonts w:hint="eastAsia" w:eastAsia="仿宋" w:cs="Times New Roman"/>
                <w:color w:val="auto"/>
                <w:sz w:val="24"/>
                <w:szCs w:val="24"/>
                <w:highlight w:val="none"/>
                <w:lang w:val="en-US" w:eastAsia="zh-CN"/>
              </w:rPr>
              <w:t>地表</w:t>
            </w:r>
            <w:r>
              <w:rPr>
                <w:rFonts w:hint="eastAsia" w:ascii="Times New Roman" w:hAnsi="Times New Roman" w:eastAsia="仿宋" w:cs="Times New Roman"/>
                <w:color w:val="auto"/>
                <w:sz w:val="24"/>
                <w:szCs w:val="24"/>
                <w:highlight w:val="none"/>
                <w:lang w:val="en-US" w:eastAsia="zh-CN"/>
              </w:rPr>
              <w:t>水环境质量情况：</w:t>
            </w:r>
          </w:p>
          <w:p w14:paraId="4DAD89CB">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根据《2023年常州市生态环境状况公报》，2023年，常州市纳入“十四五”国家地表水环境质量考核的20个断面中，年均水质达到或好于《地表水环境质量标准》（GB 3838-2002）III类标准的断面比例为85%，无劣V类断面。纳入江苏省“十四五”水环境质量目标考核51个断面，年均水质达到或好于III类的比例为94.1%，无劣V类断面。</w:t>
            </w:r>
          </w:p>
          <w:p w14:paraId="659D8E8D">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国、省考断面水质优Ⅲ比例分别为85%、94.1%，均超额完成省定目标；太湖湖心区、西部区总磷分别同比下降21.9%、16.9%，其中太湖湖心区断面首次达到Ⅲ类；长荡湖富营养化等级由中度富营养降至轻度富营养；滆湖水生态系统持续改善，水生动物物种类群显著增加；长江干流（常州段）水质连续6年稳定Ⅱ类水平，主要入湖河道、集中式饮用水源地水质达到省定考核目标。</w:t>
            </w:r>
          </w:p>
          <w:p w14:paraId="57FA1769">
            <w:pPr>
              <w:spacing w:line="360" w:lineRule="auto"/>
              <w:ind w:firstLine="480" w:firstLineChars="200"/>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w:t>
            </w:r>
            <w:r>
              <w:rPr>
                <w:rFonts w:hint="eastAsia" w:ascii="Times New Roman" w:hAnsi="Times New Roman" w:eastAsia="仿宋" w:cs="Times New Roman"/>
                <w:color w:val="auto"/>
                <w:sz w:val="24"/>
                <w:szCs w:val="24"/>
                <w:highlight w:val="none"/>
                <w:lang w:val="en-US" w:eastAsia="zh-CN"/>
              </w:rPr>
              <w:t>2</w:t>
            </w:r>
            <w:r>
              <w:rPr>
                <w:rFonts w:hint="eastAsia" w:ascii="Times New Roman" w:hAnsi="Times New Roman" w:eastAsia="仿宋" w:cs="Times New Roman"/>
                <w:color w:val="auto"/>
                <w:sz w:val="24"/>
                <w:szCs w:val="24"/>
                <w:highlight w:val="none"/>
                <w:lang w:eastAsia="zh-CN"/>
              </w:rPr>
              <w:t>）</w:t>
            </w:r>
            <w:r>
              <w:rPr>
                <w:rFonts w:hint="eastAsia" w:ascii="Times New Roman" w:hAnsi="Times New Roman" w:eastAsia="仿宋" w:cs="Times New Roman"/>
                <w:color w:val="auto"/>
                <w:sz w:val="24"/>
                <w:szCs w:val="24"/>
                <w:highlight w:val="none"/>
                <w:lang w:val="en-US" w:eastAsia="zh-CN"/>
              </w:rPr>
              <w:t>补充监测</w:t>
            </w:r>
          </w:p>
          <w:p w14:paraId="4196B2E5">
            <w:pPr>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为了解受纳水体</w:t>
            </w:r>
            <w:r>
              <w:rPr>
                <w:rFonts w:hint="eastAsia" w:ascii="Times New Roman" w:hAnsi="Times New Roman" w:eastAsia="仿宋" w:cs="Times New Roman"/>
                <w:color w:val="auto"/>
                <w:sz w:val="24"/>
                <w:szCs w:val="24"/>
                <w:highlight w:val="none"/>
                <w:lang w:val="en-US" w:eastAsia="zh-CN"/>
              </w:rPr>
              <w:t>丹金溧漕河</w:t>
            </w:r>
            <w:r>
              <w:rPr>
                <w:rFonts w:hint="default" w:ascii="Times New Roman" w:hAnsi="Times New Roman" w:eastAsia="仿宋" w:cs="Times New Roman"/>
                <w:color w:val="auto"/>
                <w:sz w:val="24"/>
                <w:szCs w:val="24"/>
                <w:highlight w:val="none"/>
              </w:rPr>
              <w:t>水质现状，</w:t>
            </w:r>
            <w:r>
              <w:rPr>
                <w:rFonts w:hint="eastAsia" w:ascii="Times New Roman" w:hAnsi="Times New Roman" w:eastAsia="仿宋" w:cs="Times New Roman"/>
                <w:color w:val="auto"/>
                <w:sz w:val="24"/>
                <w:szCs w:val="24"/>
                <w:highlight w:val="none"/>
                <w:lang w:val="en-US" w:eastAsia="zh-CN"/>
              </w:rPr>
              <w:t>本次引用中科阿斯迈（江苏）检验检测有限公司</w:t>
            </w:r>
            <w:r>
              <w:rPr>
                <w:rFonts w:hint="default" w:ascii="Times New Roman" w:hAnsi="Times New Roman" w:eastAsia="仿宋" w:cs="Times New Roman"/>
                <w:color w:val="auto"/>
                <w:sz w:val="24"/>
                <w:szCs w:val="24"/>
                <w:highlight w:val="none"/>
              </w:rPr>
              <w:t>于202</w:t>
            </w:r>
            <w:r>
              <w:rPr>
                <w:rFonts w:hint="eastAsia" w:ascii="Times New Roman" w:eastAsia="仿宋"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rPr>
              <w:t>年</w:t>
            </w:r>
            <w:r>
              <w:rPr>
                <w:rFonts w:hint="eastAsia" w:ascii="Times New Roman" w:hAnsi="Times New Roman" w:eastAsia="仿宋" w:cs="Times New Roman"/>
                <w:color w:val="auto"/>
                <w:sz w:val="24"/>
                <w:szCs w:val="24"/>
                <w:highlight w:val="none"/>
                <w:lang w:val="en-US" w:eastAsia="zh-CN"/>
              </w:rPr>
              <w:t>1</w:t>
            </w:r>
            <w:r>
              <w:rPr>
                <w:rFonts w:hint="eastAsia" w:asci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月</w:t>
            </w:r>
            <w:r>
              <w:rPr>
                <w:rFonts w:hint="eastAsia" w:ascii="Times New Roman" w:eastAsia="仿宋" w:cs="Times New Roman"/>
                <w:color w:val="auto"/>
                <w:sz w:val="24"/>
                <w:szCs w:val="24"/>
                <w:highlight w:val="none"/>
                <w:lang w:val="en-US" w:eastAsia="zh-CN"/>
              </w:rPr>
              <w:t>2</w:t>
            </w:r>
            <w:r>
              <w:rPr>
                <w:rFonts w:hint="eastAsia" w:ascii="Times New Roman" w:hAnsi="Times New Roman"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rPr>
              <w:t>日-</w:t>
            </w:r>
            <w:r>
              <w:rPr>
                <w:rFonts w:hint="eastAsia" w:ascii="Times New Roman" w:hAnsi="Times New Roman" w:eastAsia="仿宋" w:cs="Times New Roman"/>
                <w:color w:val="auto"/>
                <w:sz w:val="24"/>
                <w:szCs w:val="24"/>
                <w:highlight w:val="none"/>
                <w:lang w:val="en-US" w:eastAsia="zh-CN"/>
              </w:rPr>
              <w:t>1</w:t>
            </w:r>
            <w:r>
              <w:rPr>
                <w:rFonts w:hint="eastAsia" w:asci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月</w:t>
            </w:r>
            <w:r>
              <w:rPr>
                <w:rFonts w:hint="eastAsia" w:ascii="Times New Roman" w:hAnsi="Times New Roman" w:eastAsia="仿宋" w:cs="Times New Roman"/>
                <w:color w:val="auto"/>
                <w:sz w:val="24"/>
                <w:szCs w:val="24"/>
                <w:highlight w:val="none"/>
                <w:lang w:val="en-US" w:eastAsia="zh-CN"/>
              </w:rPr>
              <w:t>2</w:t>
            </w:r>
            <w:r>
              <w:rPr>
                <w:rFonts w:hint="eastAsia" w:ascii="Times New Roman" w:eastAsia="仿宋" w:cs="Times New Roman"/>
                <w:color w:val="auto"/>
                <w:sz w:val="24"/>
                <w:szCs w:val="24"/>
                <w:highlight w:val="none"/>
                <w:lang w:val="en-US" w:eastAsia="zh-CN"/>
              </w:rPr>
              <w:t>5</w:t>
            </w:r>
            <w:r>
              <w:rPr>
                <w:rFonts w:hint="default" w:ascii="Times New Roman" w:hAnsi="Times New Roman" w:eastAsia="仿宋" w:cs="Times New Roman"/>
                <w:color w:val="auto"/>
                <w:sz w:val="24"/>
                <w:szCs w:val="24"/>
                <w:highlight w:val="none"/>
              </w:rPr>
              <w:t>日对</w:t>
            </w:r>
            <w:r>
              <w:rPr>
                <w:rFonts w:hint="eastAsia" w:ascii="Times New Roman" w:eastAsia="仿宋" w:cs="Times New Roman"/>
                <w:color w:val="auto"/>
                <w:sz w:val="24"/>
                <w:szCs w:val="24"/>
                <w:highlight w:val="none"/>
                <w:lang w:val="en-US" w:eastAsia="zh-CN"/>
              </w:rPr>
              <w:t>丹金溧漕河</w:t>
            </w:r>
            <w:r>
              <w:rPr>
                <w:rFonts w:hint="default" w:ascii="Times New Roman" w:hAnsi="Times New Roman" w:eastAsia="仿宋" w:cs="Times New Roman"/>
                <w:color w:val="auto"/>
                <w:sz w:val="24"/>
                <w:szCs w:val="24"/>
                <w:highlight w:val="none"/>
              </w:rPr>
              <w:t>的水质进行监测，报告编号为</w:t>
            </w:r>
            <w:r>
              <w:rPr>
                <w:rFonts w:hint="eastAsia" w:ascii="Times New Roman" w:eastAsia="仿宋" w:cs="Times New Roman"/>
                <w:color w:val="auto"/>
                <w:sz w:val="24"/>
                <w:szCs w:val="24"/>
                <w:highlight w:val="none"/>
                <w:lang w:val="en-US" w:eastAsia="zh-CN"/>
              </w:rPr>
              <w:t>（2024）</w:t>
            </w:r>
            <w:r>
              <w:rPr>
                <w:rFonts w:hint="eastAsia" w:ascii="Times New Roman" w:hAnsi="Times New Roman" w:eastAsia="仿宋" w:cs="Times New Roman"/>
                <w:color w:val="auto"/>
                <w:sz w:val="24"/>
                <w:szCs w:val="24"/>
                <w:highlight w:val="none"/>
                <w:lang w:val="en-US" w:eastAsia="zh-CN"/>
              </w:rPr>
              <w:t>ZKASM</w:t>
            </w:r>
            <w:r>
              <w:rPr>
                <w:rFonts w:hint="eastAsia" w:ascii="Times New Roman" w:eastAsia="仿宋" w:cs="Times New Roman"/>
                <w:color w:val="auto"/>
                <w:sz w:val="24"/>
                <w:szCs w:val="24"/>
                <w:highlight w:val="none"/>
                <w:lang w:val="en-US" w:eastAsia="zh-CN"/>
              </w:rPr>
              <w:t>（水）</w:t>
            </w:r>
            <w:r>
              <w:rPr>
                <w:rFonts w:hint="eastAsia" w:ascii="Times New Roman" w:hAnsi="Times New Roman" w:eastAsia="仿宋" w:cs="Times New Roman"/>
                <w:color w:val="auto"/>
                <w:sz w:val="24"/>
                <w:szCs w:val="24"/>
                <w:highlight w:val="none"/>
                <w:lang w:val="en-US" w:eastAsia="zh-CN"/>
              </w:rPr>
              <w:t>字第</w:t>
            </w:r>
            <w:r>
              <w:rPr>
                <w:rFonts w:hint="eastAsia" w:ascii="Times New Roman" w:eastAsia="仿宋" w:cs="Times New Roman"/>
                <w:color w:val="auto"/>
                <w:sz w:val="24"/>
                <w:szCs w:val="24"/>
                <w:highlight w:val="none"/>
                <w:lang w:val="en-US" w:eastAsia="zh-CN"/>
              </w:rPr>
              <w:t>（0637）</w:t>
            </w:r>
            <w:r>
              <w:rPr>
                <w:rFonts w:hint="eastAsia" w:ascii="Times New Roman" w:hAnsi="Times New Roman" w:eastAsia="仿宋" w:cs="Times New Roman"/>
                <w:color w:val="auto"/>
                <w:sz w:val="24"/>
                <w:szCs w:val="24"/>
                <w:highlight w:val="none"/>
                <w:lang w:val="en-US" w:eastAsia="zh-CN"/>
              </w:rPr>
              <w:t>号</w:t>
            </w:r>
            <w:r>
              <w:rPr>
                <w:rFonts w:hint="default" w:ascii="Times New Roman" w:hAnsi="Times New Roman" w:eastAsia="仿宋" w:cs="Times New Roman"/>
                <w:color w:val="auto"/>
                <w:sz w:val="24"/>
                <w:szCs w:val="24"/>
                <w:highlight w:val="none"/>
              </w:rPr>
              <w:t>。监测断面W1：</w:t>
            </w:r>
            <w:r>
              <w:rPr>
                <w:rFonts w:hint="eastAsia" w:ascii="Times New Roman" w:eastAsia="仿宋" w:cs="Times New Roman"/>
                <w:color w:val="auto"/>
                <w:sz w:val="24"/>
                <w:szCs w:val="24"/>
                <w:highlight w:val="none"/>
                <w:lang w:val="en-US" w:eastAsia="zh-CN"/>
              </w:rPr>
              <w:t>常州金坛区第一污水处理厂排口</w:t>
            </w:r>
            <w:r>
              <w:rPr>
                <w:rFonts w:hint="eastAsia" w:ascii="Times New Roman" w:hAnsi="Times New Roman" w:eastAsia="仿宋" w:cs="Times New Roman"/>
                <w:color w:val="auto"/>
                <w:sz w:val="24"/>
                <w:szCs w:val="24"/>
                <w:highlight w:val="none"/>
                <w:lang w:eastAsia="zh-CN"/>
              </w:rPr>
              <w:t>上游500m处</w:t>
            </w:r>
            <w:r>
              <w:rPr>
                <w:rFonts w:hint="default" w:ascii="Times New Roman" w:hAnsi="Times New Roman" w:eastAsia="仿宋" w:cs="Times New Roman"/>
                <w:color w:val="auto"/>
                <w:sz w:val="24"/>
                <w:szCs w:val="24"/>
                <w:highlight w:val="none"/>
              </w:rPr>
              <w:t>，W2：</w:t>
            </w:r>
            <w:r>
              <w:rPr>
                <w:rFonts w:hint="eastAsia" w:ascii="Times New Roman" w:hAnsi="Times New Roman" w:eastAsia="仿宋" w:cs="Times New Roman"/>
                <w:color w:val="auto"/>
                <w:sz w:val="24"/>
                <w:szCs w:val="24"/>
                <w:highlight w:val="none"/>
                <w:lang w:eastAsia="zh-CN"/>
              </w:rPr>
              <w:t>常州金坛区第一污水处理厂排口</w:t>
            </w:r>
            <w:r>
              <w:rPr>
                <w:rFonts w:hint="eastAsia" w:ascii="Times New Roman" w:eastAsia="仿宋" w:cs="Times New Roman"/>
                <w:color w:val="auto"/>
                <w:sz w:val="24"/>
                <w:szCs w:val="24"/>
                <w:highlight w:val="none"/>
                <w:lang w:val="en-US" w:eastAsia="zh-CN"/>
              </w:rPr>
              <w:t>下游1500m处</w:t>
            </w:r>
            <w:r>
              <w:rPr>
                <w:rFonts w:hint="default" w:ascii="Times New Roman" w:hAnsi="Times New Roman" w:eastAsia="仿宋" w:cs="Times New Roman"/>
                <w:color w:val="auto"/>
                <w:sz w:val="24"/>
                <w:szCs w:val="24"/>
                <w:highlight w:val="none"/>
              </w:rPr>
              <w:t>，监测因子为pH、COD、氨氮、总磷，监测断面结果详见表3-</w:t>
            </w:r>
            <w:r>
              <w:rPr>
                <w:rFonts w:hint="eastAsia" w:ascii="Times New Roman" w:eastAsia="仿宋"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rPr>
              <w:t>。</w:t>
            </w:r>
          </w:p>
          <w:p w14:paraId="69CC6D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w:t>
            </w:r>
            <w:r>
              <w:rPr>
                <w:rFonts w:hint="eastAsia" w:ascii="Times New Roman" w:hAnsi="Times New Roman" w:eastAsia="仿宋" w:cs="Times New Roman"/>
                <w:b/>
                <w:bCs/>
                <w:color w:val="auto"/>
                <w:kern w:val="0"/>
                <w:sz w:val="22"/>
                <w:szCs w:val="22"/>
                <w:highlight w:val="none"/>
                <w:lang w:val="en-US" w:eastAsia="zh-CN" w:bidi="ar-SA"/>
              </w:rPr>
              <w:t>4</w:t>
            </w:r>
            <w:r>
              <w:rPr>
                <w:rFonts w:hint="default" w:ascii="Times New Roman" w:hAnsi="Times New Roman" w:eastAsia="仿宋" w:cs="Times New Roman"/>
                <w:b/>
                <w:bCs/>
                <w:color w:val="auto"/>
                <w:kern w:val="0"/>
                <w:sz w:val="22"/>
                <w:szCs w:val="22"/>
                <w:highlight w:val="none"/>
                <w:lang w:val="en-US" w:eastAsia="zh-CN" w:bidi="ar-SA"/>
              </w:rPr>
              <w:t>地表水环境质量现状监测结果单位：mg/L,pH无量纲</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1215"/>
              <w:gridCol w:w="1230"/>
              <w:gridCol w:w="1253"/>
              <w:gridCol w:w="1691"/>
              <w:gridCol w:w="1396"/>
            </w:tblGrid>
            <w:tr w14:paraId="321E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1" w:type="pct"/>
                  <w:tcBorders>
                    <w:tl2br w:val="nil"/>
                    <w:tr2bl w:val="nil"/>
                  </w:tcBorders>
                  <w:vAlign w:val="center"/>
                </w:tcPr>
                <w:p w14:paraId="2E1353D4">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断面</w:t>
                  </w:r>
                </w:p>
              </w:tc>
              <w:tc>
                <w:tcPr>
                  <w:tcW w:w="734" w:type="pct"/>
                  <w:tcBorders>
                    <w:tl2br w:val="nil"/>
                    <w:tr2bl w:val="nil"/>
                  </w:tcBorders>
                  <w:vAlign w:val="center"/>
                </w:tcPr>
                <w:p w14:paraId="22BEAC60">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监测项目</w:t>
                  </w:r>
                </w:p>
              </w:tc>
              <w:tc>
                <w:tcPr>
                  <w:tcW w:w="743" w:type="pct"/>
                  <w:tcBorders>
                    <w:tl2br w:val="nil"/>
                    <w:tr2bl w:val="nil"/>
                  </w:tcBorders>
                  <w:vAlign w:val="center"/>
                </w:tcPr>
                <w:p w14:paraId="1F5B59E1">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pH</w:t>
                  </w:r>
                </w:p>
              </w:tc>
              <w:tc>
                <w:tcPr>
                  <w:tcW w:w="757" w:type="pct"/>
                  <w:tcBorders>
                    <w:tl2br w:val="nil"/>
                    <w:tr2bl w:val="nil"/>
                  </w:tcBorders>
                  <w:vAlign w:val="center"/>
                </w:tcPr>
                <w:p w14:paraId="5B51DE77">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COD</w:t>
                  </w:r>
                </w:p>
              </w:tc>
              <w:tc>
                <w:tcPr>
                  <w:tcW w:w="1021" w:type="pct"/>
                  <w:tcBorders>
                    <w:tl2br w:val="nil"/>
                    <w:tr2bl w:val="nil"/>
                  </w:tcBorders>
                  <w:vAlign w:val="center"/>
                </w:tcPr>
                <w:p w14:paraId="0823C186">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NH</w:t>
                  </w:r>
                  <w:r>
                    <w:rPr>
                      <w:rFonts w:hint="default" w:ascii="Times New Roman" w:hAnsi="Times New Roman" w:eastAsia="仿宋" w:cs="Times New Roman"/>
                      <w:b/>
                      <w:bCs/>
                      <w:color w:val="auto"/>
                      <w:sz w:val="21"/>
                      <w:szCs w:val="21"/>
                      <w:highlight w:val="none"/>
                      <w:vertAlign w:val="subscript"/>
                      <w:lang w:val="zh-CN"/>
                    </w:rPr>
                    <w:t>3</w:t>
                  </w:r>
                  <w:r>
                    <w:rPr>
                      <w:rFonts w:hint="default" w:ascii="Times New Roman" w:hAnsi="Times New Roman" w:eastAsia="仿宋" w:cs="Times New Roman"/>
                      <w:b/>
                      <w:bCs/>
                      <w:color w:val="auto"/>
                      <w:sz w:val="21"/>
                      <w:szCs w:val="21"/>
                      <w:highlight w:val="none"/>
                      <w:lang w:val="zh-CN"/>
                    </w:rPr>
                    <w:t>-N</w:t>
                  </w:r>
                </w:p>
              </w:tc>
              <w:tc>
                <w:tcPr>
                  <w:tcW w:w="843" w:type="pct"/>
                  <w:tcBorders>
                    <w:tl2br w:val="nil"/>
                    <w:tr2bl w:val="nil"/>
                  </w:tcBorders>
                  <w:vAlign w:val="center"/>
                </w:tcPr>
                <w:p w14:paraId="196DC9E4">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TP</w:t>
                  </w:r>
                </w:p>
              </w:tc>
            </w:tr>
            <w:tr w14:paraId="3C44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1" w:type="pct"/>
                  <w:vMerge w:val="restart"/>
                  <w:tcBorders>
                    <w:tl2br w:val="nil"/>
                    <w:tr2bl w:val="nil"/>
                  </w:tcBorders>
                  <w:vAlign w:val="center"/>
                </w:tcPr>
                <w:p w14:paraId="147F2F67">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W1常州金坛区第一污水处理厂排口上游500m处</w:t>
                  </w:r>
                </w:p>
              </w:tc>
              <w:tc>
                <w:tcPr>
                  <w:tcW w:w="734" w:type="pct"/>
                  <w:tcBorders>
                    <w:tl2br w:val="nil"/>
                    <w:tr2bl w:val="nil"/>
                  </w:tcBorders>
                  <w:vAlign w:val="center"/>
                </w:tcPr>
                <w:p w14:paraId="01947873">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最大值</w:t>
                  </w:r>
                </w:p>
              </w:tc>
              <w:tc>
                <w:tcPr>
                  <w:tcW w:w="743" w:type="pct"/>
                  <w:tcBorders>
                    <w:tl2br w:val="nil"/>
                    <w:tr2bl w:val="nil"/>
                  </w:tcBorders>
                  <w:vAlign w:val="center"/>
                </w:tcPr>
                <w:p w14:paraId="4D956550">
                  <w:pPr>
                    <w:keepNext w:val="0"/>
                    <w:keepLines w:val="0"/>
                    <w:pageBreakBefore w:val="0"/>
                    <w:widowControl w:val="0"/>
                    <w:kinsoku/>
                    <w:wordWrap/>
                    <w:topLinePunct w:val="0"/>
                    <w:autoSpaceDE/>
                    <w:autoSpaceDN/>
                    <w:bidi w:val="0"/>
                    <w:snapToGrid/>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7.8</w:t>
                  </w:r>
                </w:p>
              </w:tc>
              <w:tc>
                <w:tcPr>
                  <w:tcW w:w="757" w:type="pct"/>
                  <w:tcBorders>
                    <w:tl2br w:val="nil"/>
                    <w:tr2bl w:val="nil"/>
                  </w:tcBorders>
                  <w:vAlign w:val="center"/>
                </w:tcPr>
                <w:p w14:paraId="5AB150D5">
                  <w:pPr>
                    <w:keepNext w:val="0"/>
                    <w:keepLines w:val="0"/>
                    <w:pageBreakBefore w:val="0"/>
                    <w:widowControl w:val="0"/>
                    <w:kinsoku/>
                    <w:wordWrap/>
                    <w:topLinePunct w:val="0"/>
                    <w:autoSpaceDE/>
                    <w:autoSpaceDN/>
                    <w:bidi w:val="0"/>
                    <w:snapToGrid/>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14</w:t>
                  </w:r>
                </w:p>
              </w:tc>
              <w:tc>
                <w:tcPr>
                  <w:tcW w:w="1021" w:type="pct"/>
                  <w:tcBorders>
                    <w:tl2br w:val="nil"/>
                    <w:tr2bl w:val="nil"/>
                  </w:tcBorders>
                  <w:vAlign w:val="center"/>
                </w:tcPr>
                <w:p w14:paraId="640A16C6">
                  <w:pPr>
                    <w:keepNext w:val="0"/>
                    <w:keepLines w:val="0"/>
                    <w:pageBreakBefore w:val="0"/>
                    <w:widowControl w:val="0"/>
                    <w:kinsoku/>
                    <w:wordWrap/>
                    <w:topLinePunct w:val="0"/>
                    <w:autoSpaceDE/>
                    <w:autoSpaceDN/>
                    <w:bidi w:val="0"/>
                    <w:snapToGrid/>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0.075</w:t>
                  </w:r>
                </w:p>
              </w:tc>
              <w:tc>
                <w:tcPr>
                  <w:tcW w:w="843" w:type="pct"/>
                  <w:tcBorders>
                    <w:tl2br w:val="nil"/>
                    <w:tr2bl w:val="nil"/>
                  </w:tcBorders>
                  <w:vAlign w:val="center"/>
                </w:tcPr>
                <w:p w14:paraId="57519402">
                  <w:pPr>
                    <w:keepNext w:val="0"/>
                    <w:keepLines w:val="0"/>
                    <w:pageBreakBefore w:val="0"/>
                    <w:widowControl w:val="0"/>
                    <w:kinsoku/>
                    <w:wordWrap/>
                    <w:topLinePunct w:val="0"/>
                    <w:autoSpaceDE/>
                    <w:autoSpaceDN/>
                    <w:bidi w:val="0"/>
                    <w:snapToGrid/>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0.09</w:t>
                  </w:r>
                </w:p>
              </w:tc>
            </w:tr>
            <w:tr w14:paraId="4A4E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1" w:type="pct"/>
                  <w:vMerge w:val="continue"/>
                  <w:tcBorders>
                    <w:tl2br w:val="nil"/>
                    <w:tr2bl w:val="nil"/>
                  </w:tcBorders>
                  <w:vAlign w:val="center"/>
                </w:tcPr>
                <w:p w14:paraId="1D1E2AC8">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p>
              </w:tc>
              <w:tc>
                <w:tcPr>
                  <w:tcW w:w="734" w:type="pct"/>
                  <w:tcBorders>
                    <w:tl2br w:val="nil"/>
                    <w:tr2bl w:val="nil"/>
                  </w:tcBorders>
                  <w:vAlign w:val="center"/>
                </w:tcPr>
                <w:p w14:paraId="4DC0E2D5">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最小值</w:t>
                  </w:r>
                </w:p>
              </w:tc>
              <w:tc>
                <w:tcPr>
                  <w:tcW w:w="743" w:type="pct"/>
                  <w:tcBorders>
                    <w:tl2br w:val="nil"/>
                    <w:tr2bl w:val="nil"/>
                  </w:tcBorders>
                  <w:vAlign w:val="center"/>
                </w:tcPr>
                <w:p w14:paraId="1C025DB8">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7.4</w:t>
                  </w:r>
                </w:p>
              </w:tc>
              <w:tc>
                <w:tcPr>
                  <w:tcW w:w="757" w:type="pct"/>
                  <w:tcBorders>
                    <w:tl2br w:val="nil"/>
                    <w:tr2bl w:val="nil"/>
                  </w:tcBorders>
                  <w:vAlign w:val="center"/>
                </w:tcPr>
                <w:p w14:paraId="6A0CF2A1">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w:t>
                  </w:r>
                </w:p>
              </w:tc>
              <w:tc>
                <w:tcPr>
                  <w:tcW w:w="1021" w:type="pct"/>
                  <w:tcBorders>
                    <w:tl2br w:val="nil"/>
                    <w:tr2bl w:val="nil"/>
                  </w:tcBorders>
                  <w:vAlign w:val="center"/>
                </w:tcPr>
                <w:p w14:paraId="4EFCA4DC">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0.058</w:t>
                  </w:r>
                </w:p>
              </w:tc>
              <w:tc>
                <w:tcPr>
                  <w:tcW w:w="843" w:type="pct"/>
                  <w:tcBorders>
                    <w:tl2br w:val="nil"/>
                    <w:tr2bl w:val="nil"/>
                  </w:tcBorders>
                  <w:vAlign w:val="center"/>
                </w:tcPr>
                <w:p w14:paraId="03A8F70C">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0.07</w:t>
                  </w:r>
                </w:p>
              </w:tc>
            </w:tr>
            <w:tr w14:paraId="0B2E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1" w:type="pct"/>
                  <w:vMerge w:val="continue"/>
                  <w:tcBorders>
                    <w:tl2br w:val="nil"/>
                    <w:tr2bl w:val="nil"/>
                  </w:tcBorders>
                  <w:vAlign w:val="center"/>
                </w:tcPr>
                <w:p w14:paraId="6EA4979B">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p>
              </w:tc>
              <w:tc>
                <w:tcPr>
                  <w:tcW w:w="734" w:type="pct"/>
                  <w:tcBorders>
                    <w:tl2br w:val="nil"/>
                    <w:tr2bl w:val="nil"/>
                  </w:tcBorders>
                  <w:vAlign w:val="center"/>
                </w:tcPr>
                <w:p w14:paraId="49F8F405">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超标率%</w:t>
                  </w:r>
                </w:p>
              </w:tc>
              <w:tc>
                <w:tcPr>
                  <w:tcW w:w="743" w:type="pct"/>
                  <w:tcBorders>
                    <w:tl2br w:val="nil"/>
                    <w:tr2bl w:val="nil"/>
                  </w:tcBorders>
                  <w:vAlign w:val="center"/>
                </w:tcPr>
                <w:p w14:paraId="382FDFF1">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0</w:t>
                  </w:r>
                </w:p>
              </w:tc>
              <w:tc>
                <w:tcPr>
                  <w:tcW w:w="757" w:type="pct"/>
                  <w:tcBorders>
                    <w:tl2br w:val="nil"/>
                    <w:tr2bl w:val="nil"/>
                  </w:tcBorders>
                  <w:vAlign w:val="center"/>
                </w:tcPr>
                <w:p w14:paraId="17746CDD">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0</w:t>
                  </w:r>
                </w:p>
              </w:tc>
              <w:tc>
                <w:tcPr>
                  <w:tcW w:w="1021" w:type="pct"/>
                  <w:tcBorders>
                    <w:tl2br w:val="nil"/>
                    <w:tr2bl w:val="nil"/>
                  </w:tcBorders>
                  <w:vAlign w:val="center"/>
                </w:tcPr>
                <w:p w14:paraId="45759893">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0</w:t>
                  </w:r>
                </w:p>
              </w:tc>
              <w:tc>
                <w:tcPr>
                  <w:tcW w:w="843" w:type="pct"/>
                  <w:tcBorders>
                    <w:tl2br w:val="nil"/>
                    <w:tr2bl w:val="nil"/>
                  </w:tcBorders>
                  <w:vAlign w:val="center"/>
                </w:tcPr>
                <w:p w14:paraId="391845B6">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0</w:t>
                  </w:r>
                </w:p>
              </w:tc>
            </w:tr>
            <w:tr w14:paraId="7A56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1" w:type="pct"/>
                  <w:vMerge w:val="restart"/>
                  <w:tcBorders>
                    <w:tl2br w:val="nil"/>
                    <w:tr2bl w:val="nil"/>
                  </w:tcBorders>
                  <w:vAlign w:val="center"/>
                </w:tcPr>
                <w:p w14:paraId="409397AE">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rPr>
                    <w:t>W2常州金坛区第一污水处理厂排口下游1500m处</w:t>
                  </w:r>
                </w:p>
              </w:tc>
              <w:tc>
                <w:tcPr>
                  <w:tcW w:w="734" w:type="pct"/>
                  <w:tcBorders>
                    <w:tl2br w:val="nil"/>
                    <w:tr2bl w:val="nil"/>
                  </w:tcBorders>
                  <w:vAlign w:val="center"/>
                </w:tcPr>
                <w:p w14:paraId="13829D75">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最大值</w:t>
                  </w:r>
                </w:p>
              </w:tc>
              <w:tc>
                <w:tcPr>
                  <w:tcW w:w="743" w:type="pct"/>
                  <w:tcBorders>
                    <w:tl2br w:val="nil"/>
                    <w:tr2bl w:val="nil"/>
                  </w:tcBorders>
                  <w:vAlign w:val="center"/>
                </w:tcPr>
                <w:p w14:paraId="4A0B2414">
                  <w:pPr>
                    <w:keepNext w:val="0"/>
                    <w:keepLines w:val="0"/>
                    <w:pageBreakBefore w:val="0"/>
                    <w:widowControl w:val="0"/>
                    <w:kinsoku/>
                    <w:wordWrap/>
                    <w:topLinePunct w:val="0"/>
                    <w:autoSpaceDE/>
                    <w:autoSpaceDN/>
                    <w:bidi w:val="0"/>
                    <w:snapToGrid/>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7.8</w:t>
                  </w:r>
                </w:p>
              </w:tc>
              <w:tc>
                <w:tcPr>
                  <w:tcW w:w="757" w:type="pct"/>
                  <w:tcBorders>
                    <w:tl2br w:val="nil"/>
                    <w:tr2bl w:val="nil"/>
                  </w:tcBorders>
                  <w:vAlign w:val="center"/>
                </w:tcPr>
                <w:p w14:paraId="57464B51">
                  <w:pPr>
                    <w:keepNext w:val="0"/>
                    <w:keepLines w:val="0"/>
                    <w:pageBreakBefore w:val="0"/>
                    <w:widowControl w:val="0"/>
                    <w:kinsoku/>
                    <w:wordWrap/>
                    <w:topLinePunct w:val="0"/>
                    <w:autoSpaceDE/>
                    <w:autoSpaceDN/>
                    <w:bidi w:val="0"/>
                    <w:snapToGrid/>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12</w:t>
                  </w:r>
                </w:p>
              </w:tc>
              <w:tc>
                <w:tcPr>
                  <w:tcW w:w="1021" w:type="pct"/>
                  <w:tcBorders>
                    <w:tl2br w:val="nil"/>
                    <w:tr2bl w:val="nil"/>
                  </w:tcBorders>
                  <w:vAlign w:val="center"/>
                </w:tcPr>
                <w:p w14:paraId="6C07E306">
                  <w:pPr>
                    <w:keepNext w:val="0"/>
                    <w:keepLines w:val="0"/>
                    <w:pageBreakBefore w:val="0"/>
                    <w:widowControl w:val="0"/>
                    <w:kinsoku/>
                    <w:wordWrap/>
                    <w:topLinePunct w:val="0"/>
                    <w:autoSpaceDE/>
                    <w:autoSpaceDN/>
                    <w:bidi w:val="0"/>
                    <w:snapToGrid/>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0.278</w:t>
                  </w:r>
                </w:p>
              </w:tc>
              <w:tc>
                <w:tcPr>
                  <w:tcW w:w="843" w:type="pct"/>
                  <w:tcBorders>
                    <w:tl2br w:val="nil"/>
                    <w:tr2bl w:val="nil"/>
                  </w:tcBorders>
                  <w:vAlign w:val="center"/>
                </w:tcPr>
                <w:p w14:paraId="558FE7A3">
                  <w:pPr>
                    <w:keepNext w:val="0"/>
                    <w:keepLines w:val="0"/>
                    <w:pageBreakBefore w:val="0"/>
                    <w:widowControl w:val="0"/>
                    <w:kinsoku/>
                    <w:wordWrap/>
                    <w:topLinePunct w:val="0"/>
                    <w:autoSpaceDE/>
                    <w:autoSpaceDN/>
                    <w:bidi w:val="0"/>
                    <w:snapToGrid/>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0.09</w:t>
                  </w:r>
                </w:p>
              </w:tc>
            </w:tr>
            <w:tr w14:paraId="0FBB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1" w:type="pct"/>
                  <w:vMerge w:val="continue"/>
                  <w:tcBorders>
                    <w:tl2br w:val="nil"/>
                    <w:tr2bl w:val="nil"/>
                  </w:tcBorders>
                  <w:vAlign w:val="center"/>
                </w:tcPr>
                <w:p w14:paraId="1D2BA41F">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p>
              </w:tc>
              <w:tc>
                <w:tcPr>
                  <w:tcW w:w="734" w:type="pct"/>
                  <w:tcBorders>
                    <w:tl2br w:val="nil"/>
                    <w:tr2bl w:val="nil"/>
                  </w:tcBorders>
                  <w:vAlign w:val="center"/>
                </w:tcPr>
                <w:p w14:paraId="68D44DD5">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最小值</w:t>
                  </w:r>
                </w:p>
              </w:tc>
              <w:tc>
                <w:tcPr>
                  <w:tcW w:w="743" w:type="pct"/>
                  <w:tcBorders>
                    <w:tl2br w:val="nil"/>
                    <w:tr2bl w:val="nil"/>
                  </w:tcBorders>
                  <w:vAlign w:val="center"/>
                </w:tcPr>
                <w:p w14:paraId="3D6C029A">
                  <w:pPr>
                    <w:keepNext w:val="0"/>
                    <w:keepLines w:val="0"/>
                    <w:pageBreakBefore w:val="0"/>
                    <w:widowControl w:val="0"/>
                    <w:kinsoku/>
                    <w:wordWrap/>
                    <w:topLinePunct w:val="0"/>
                    <w:autoSpaceDE/>
                    <w:autoSpaceDN/>
                    <w:bidi w:val="0"/>
                    <w:snapToGrid/>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7.2</w:t>
                  </w:r>
                </w:p>
              </w:tc>
              <w:tc>
                <w:tcPr>
                  <w:tcW w:w="757" w:type="pct"/>
                  <w:tcBorders>
                    <w:tl2br w:val="nil"/>
                    <w:tr2bl w:val="nil"/>
                  </w:tcBorders>
                  <w:vAlign w:val="center"/>
                </w:tcPr>
                <w:p w14:paraId="4977A0E7">
                  <w:pPr>
                    <w:keepNext w:val="0"/>
                    <w:keepLines w:val="0"/>
                    <w:pageBreakBefore w:val="0"/>
                    <w:widowControl w:val="0"/>
                    <w:kinsoku/>
                    <w:wordWrap/>
                    <w:topLinePunct w:val="0"/>
                    <w:autoSpaceDE/>
                    <w:autoSpaceDN/>
                    <w:bidi w:val="0"/>
                    <w:snapToGrid/>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w:t>
                  </w:r>
                </w:p>
              </w:tc>
              <w:tc>
                <w:tcPr>
                  <w:tcW w:w="1021" w:type="pct"/>
                  <w:tcBorders>
                    <w:tl2br w:val="nil"/>
                    <w:tr2bl w:val="nil"/>
                  </w:tcBorders>
                  <w:vAlign w:val="center"/>
                </w:tcPr>
                <w:p w14:paraId="68C7DB46">
                  <w:pPr>
                    <w:keepNext w:val="0"/>
                    <w:keepLines w:val="0"/>
                    <w:pageBreakBefore w:val="0"/>
                    <w:widowControl w:val="0"/>
                    <w:kinsoku/>
                    <w:wordWrap/>
                    <w:topLinePunct w:val="0"/>
                    <w:autoSpaceDE/>
                    <w:autoSpaceDN/>
                    <w:bidi w:val="0"/>
                    <w:snapToGrid/>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0.051</w:t>
                  </w:r>
                </w:p>
              </w:tc>
              <w:tc>
                <w:tcPr>
                  <w:tcW w:w="843" w:type="pct"/>
                  <w:tcBorders>
                    <w:tl2br w:val="nil"/>
                    <w:tr2bl w:val="nil"/>
                  </w:tcBorders>
                  <w:vAlign w:val="center"/>
                </w:tcPr>
                <w:p w14:paraId="27C91613">
                  <w:pPr>
                    <w:keepNext w:val="0"/>
                    <w:keepLines w:val="0"/>
                    <w:pageBreakBefore w:val="0"/>
                    <w:widowControl w:val="0"/>
                    <w:kinsoku/>
                    <w:wordWrap/>
                    <w:topLinePunct w:val="0"/>
                    <w:autoSpaceDE/>
                    <w:autoSpaceDN/>
                    <w:bidi w:val="0"/>
                    <w:snapToGrid/>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0.06</w:t>
                  </w:r>
                </w:p>
              </w:tc>
            </w:tr>
            <w:tr w14:paraId="4CD4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pct"/>
                  <w:vMerge w:val="continue"/>
                  <w:tcBorders>
                    <w:tl2br w:val="nil"/>
                    <w:tr2bl w:val="nil"/>
                  </w:tcBorders>
                  <w:vAlign w:val="center"/>
                </w:tcPr>
                <w:p w14:paraId="2E1D2312">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p>
              </w:tc>
              <w:tc>
                <w:tcPr>
                  <w:tcW w:w="734" w:type="pct"/>
                  <w:tcBorders>
                    <w:tl2br w:val="nil"/>
                    <w:tr2bl w:val="nil"/>
                  </w:tcBorders>
                  <w:vAlign w:val="center"/>
                </w:tcPr>
                <w:p w14:paraId="78FBCE94">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超标率%</w:t>
                  </w:r>
                </w:p>
              </w:tc>
              <w:tc>
                <w:tcPr>
                  <w:tcW w:w="743" w:type="pct"/>
                  <w:tcBorders>
                    <w:tl2br w:val="nil"/>
                    <w:tr2bl w:val="nil"/>
                  </w:tcBorders>
                  <w:vAlign w:val="center"/>
                </w:tcPr>
                <w:p w14:paraId="7E7988B2">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0</w:t>
                  </w:r>
                </w:p>
              </w:tc>
              <w:tc>
                <w:tcPr>
                  <w:tcW w:w="757" w:type="pct"/>
                  <w:tcBorders>
                    <w:tl2br w:val="nil"/>
                    <w:tr2bl w:val="nil"/>
                  </w:tcBorders>
                  <w:vAlign w:val="center"/>
                </w:tcPr>
                <w:p w14:paraId="1AA32EEC">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0</w:t>
                  </w:r>
                </w:p>
              </w:tc>
              <w:tc>
                <w:tcPr>
                  <w:tcW w:w="1021" w:type="pct"/>
                  <w:tcBorders>
                    <w:tl2br w:val="nil"/>
                    <w:tr2bl w:val="nil"/>
                  </w:tcBorders>
                  <w:vAlign w:val="center"/>
                </w:tcPr>
                <w:p w14:paraId="3EA65349">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0</w:t>
                  </w:r>
                </w:p>
              </w:tc>
              <w:tc>
                <w:tcPr>
                  <w:tcW w:w="843" w:type="pct"/>
                  <w:tcBorders>
                    <w:tl2br w:val="nil"/>
                    <w:tr2bl w:val="nil"/>
                  </w:tcBorders>
                  <w:vAlign w:val="center"/>
                </w:tcPr>
                <w:p w14:paraId="75D73D07">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0</w:t>
                  </w:r>
                </w:p>
              </w:tc>
            </w:tr>
            <w:tr w14:paraId="6059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35" w:type="pct"/>
                  <w:gridSpan w:val="2"/>
                  <w:tcBorders>
                    <w:tl2br w:val="nil"/>
                    <w:tr2bl w:val="nil"/>
                  </w:tcBorders>
                  <w:vAlign w:val="center"/>
                </w:tcPr>
                <w:p w14:paraId="120F8073">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《地表</w:t>
                  </w:r>
                  <w:r>
                    <w:rPr>
                      <w:rFonts w:hint="default" w:ascii="Times New Roman" w:hAnsi="Times New Roman" w:eastAsia="仿宋" w:cs="Times New Roman"/>
                      <w:color w:val="auto"/>
                      <w:sz w:val="21"/>
                      <w:szCs w:val="21"/>
                      <w:highlight w:val="none"/>
                    </w:rPr>
                    <w:t>水</w:t>
                  </w:r>
                  <w:r>
                    <w:rPr>
                      <w:rFonts w:hint="default" w:ascii="Times New Roman" w:hAnsi="Times New Roman" w:eastAsia="仿宋" w:cs="Times New Roman"/>
                      <w:color w:val="auto"/>
                      <w:sz w:val="21"/>
                      <w:szCs w:val="21"/>
                      <w:highlight w:val="none"/>
                      <w:lang w:val="zh-CN"/>
                    </w:rPr>
                    <w:t>环境质量标准》（GB3838-2002）</w:t>
                  </w:r>
                  <w:r>
                    <w:rPr>
                      <w:rFonts w:hint="eastAsia" w:ascii="Times New Roman" w:hAnsi="Times New Roman" w:eastAsia="仿宋" w:cs="Times New Roman"/>
                      <w:color w:val="auto"/>
                      <w:sz w:val="21"/>
                      <w:szCs w:val="21"/>
                      <w:highlight w:val="none"/>
                      <w:lang w:val="zh-CN"/>
                    </w:rPr>
                    <w:t>Ⅲ</w:t>
                  </w:r>
                  <w:r>
                    <w:rPr>
                      <w:rFonts w:hint="default" w:ascii="Times New Roman" w:hAnsi="Times New Roman" w:eastAsia="仿宋" w:cs="Times New Roman"/>
                      <w:color w:val="auto"/>
                      <w:sz w:val="21"/>
                      <w:szCs w:val="21"/>
                      <w:highlight w:val="none"/>
                      <w:lang w:val="zh-CN"/>
                    </w:rPr>
                    <w:t>类标准</w:t>
                  </w:r>
                </w:p>
              </w:tc>
              <w:tc>
                <w:tcPr>
                  <w:tcW w:w="743" w:type="pct"/>
                  <w:tcBorders>
                    <w:tl2br w:val="nil"/>
                    <w:tr2bl w:val="nil"/>
                  </w:tcBorders>
                  <w:vAlign w:val="center"/>
                </w:tcPr>
                <w:p w14:paraId="13474AA8">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6-9</w:t>
                  </w:r>
                </w:p>
              </w:tc>
              <w:tc>
                <w:tcPr>
                  <w:tcW w:w="757" w:type="pct"/>
                  <w:tcBorders>
                    <w:tl2br w:val="nil"/>
                    <w:tr2bl w:val="nil"/>
                  </w:tcBorders>
                  <w:vAlign w:val="center"/>
                </w:tcPr>
                <w:p w14:paraId="699ABDFF">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w:t>
                  </w:r>
                </w:p>
              </w:tc>
              <w:tc>
                <w:tcPr>
                  <w:tcW w:w="1021" w:type="pct"/>
                  <w:tcBorders>
                    <w:tl2br w:val="nil"/>
                    <w:tr2bl w:val="nil"/>
                  </w:tcBorders>
                  <w:vAlign w:val="center"/>
                </w:tcPr>
                <w:p w14:paraId="751C5764">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w:t>
                  </w:r>
                </w:p>
              </w:tc>
              <w:tc>
                <w:tcPr>
                  <w:tcW w:w="843" w:type="pct"/>
                  <w:tcBorders>
                    <w:tl2br w:val="nil"/>
                    <w:tr2bl w:val="nil"/>
                  </w:tcBorders>
                  <w:vAlign w:val="center"/>
                </w:tcPr>
                <w:p w14:paraId="5E77B111">
                  <w:pPr>
                    <w:keepNext w:val="0"/>
                    <w:keepLines w:val="0"/>
                    <w:pageBreakBefore w:val="0"/>
                    <w:widowControl w:val="0"/>
                    <w:kinsoku/>
                    <w:wordWrap/>
                    <w:overflowPunct w:val="0"/>
                    <w:topLinePunct w:val="0"/>
                    <w:autoSpaceDE/>
                    <w:autoSpaceDN/>
                    <w:bidi w:val="0"/>
                    <w:adjustRightInd w:val="0"/>
                    <w:snapToGrid/>
                    <w:jc w:val="center"/>
                    <w:textAlignment w:val="baseline"/>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0.2</w:t>
                  </w:r>
                </w:p>
              </w:tc>
            </w:tr>
          </w:tbl>
          <w:p w14:paraId="19D8FF1B">
            <w:pPr>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监测结果表明，</w:t>
            </w:r>
            <w:r>
              <w:rPr>
                <w:rFonts w:hint="eastAsia" w:eastAsia="仿宋" w:cs="Times New Roman"/>
                <w:color w:val="auto"/>
                <w:sz w:val="24"/>
                <w:szCs w:val="24"/>
                <w:highlight w:val="none"/>
                <w:lang w:val="en-US" w:eastAsia="zh-CN"/>
              </w:rPr>
              <w:t>丹金溧漕河</w:t>
            </w:r>
            <w:r>
              <w:rPr>
                <w:rFonts w:hint="default" w:ascii="Times New Roman" w:hAnsi="Times New Roman" w:eastAsia="仿宋" w:cs="Times New Roman"/>
                <w:color w:val="auto"/>
                <w:sz w:val="24"/>
                <w:szCs w:val="24"/>
                <w:highlight w:val="none"/>
              </w:rPr>
              <w:t>各监测断面的各污染物现状指标均达到《地表水环境质量标准》（GB3838-2002）</w:t>
            </w:r>
            <w:r>
              <w:rPr>
                <w:rFonts w:hint="eastAsia" w:ascii="宋体" w:hAnsi="宋体" w:eastAsia="宋体" w:cs="宋体"/>
                <w:color w:val="auto"/>
                <w:sz w:val="24"/>
                <w:szCs w:val="24"/>
                <w:highlight w:val="none"/>
              </w:rPr>
              <w:t>Ⅲ</w:t>
            </w:r>
            <w:r>
              <w:rPr>
                <w:rFonts w:hint="default" w:ascii="Times New Roman" w:hAnsi="Times New Roman" w:eastAsia="仿宋" w:cs="Times New Roman"/>
                <w:color w:val="auto"/>
                <w:sz w:val="24"/>
                <w:szCs w:val="24"/>
                <w:highlight w:val="none"/>
              </w:rPr>
              <w:t>类水质标准，地表水环境基本良好。</w:t>
            </w:r>
          </w:p>
          <w:p w14:paraId="4449355D">
            <w:pPr>
              <w:spacing w:line="360" w:lineRule="auto"/>
              <w:ind w:firstLine="480" w:firstLineChars="200"/>
              <w:rPr>
                <w:color w:val="auto"/>
              </w:rPr>
            </w:pPr>
            <w:r>
              <w:rPr>
                <w:rFonts w:hint="eastAsia" w:ascii="Times New Roman" w:hAnsi="Times New Roman" w:eastAsia="仿宋" w:cs="Times New Roman"/>
                <w:color w:val="auto"/>
                <w:sz w:val="24"/>
                <w:szCs w:val="24"/>
                <w:highlight w:val="none"/>
                <w:lang w:val="en-US" w:eastAsia="zh-CN"/>
              </w:rPr>
              <w:t>引用数据有效性分析：①地表水监测时间为</w:t>
            </w:r>
            <w:r>
              <w:rPr>
                <w:rFonts w:hint="default" w:ascii="Times New Roman" w:hAnsi="Times New Roman" w:eastAsia="仿宋" w:cs="Times New Roman"/>
                <w:color w:val="auto"/>
                <w:sz w:val="24"/>
                <w:szCs w:val="24"/>
                <w:highlight w:val="none"/>
              </w:rPr>
              <w:t>202</w:t>
            </w:r>
            <w:r>
              <w:rPr>
                <w:rFonts w:hint="eastAsia" w:eastAsia="仿宋"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rPr>
              <w:t>年</w:t>
            </w:r>
            <w:r>
              <w:rPr>
                <w:rFonts w:hint="eastAsia" w:ascii="Times New Roman" w:hAnsi="Times New Roman" w:eastAsia="仿宋" w:cs="Times New Roman"/>
                <w:color w:val="auto"/>
                <w:sz w:val="24"/>
                <w:szCs w:val="24"/>
                <w:highlight w:val="none"/>
                <w:lang w:val="en-US" w:eastAsia="zh-CN"/>
              </w:rPr>
              <w:t>1</w:t>
            </w:r>
            <w:r>
              <w:rPr>
                <w:rFonts w:hint="eastAsia"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月</w:t>
            </w:r>
            <w:r>
              <w:rPr>
                <w:rFonts w:hint="eastAsia" w:eastAsia="仿宋" w:cs="Times New Roman"/>
                <w:color w:val="auto"/>
                <w:sz w:val="24"/>
                <w:szCs w:val="24"/>
                <w:highlight w:val="none"/>
                <w:lang w:val="en-US" w:eastAsia="zh-CN"/>
              </w:rPr>
              <w:t>23</w:t>
            </w:r>
            <w:r>
              <w:rPr>
                <w:rFonts w:hint="default" w:ascii="Times New Roman" w:hAnsi="Times New Roman" w:eastAsia="仿宋" w:cs="Times New Roman"/>
                <w:color w:val="auto"/>
                <w:sz w:val="24"/>
                <w:szCs w:val="24"/>
                <w:highlight w:val="none"/>
              </w:rPr>
              <w:t>日-</w:t>
            </w:r>
            <w:r>
              <w:rPr>
                <w:rFonts w:hint="eastAsia" w:ascii="Times New Roman" w:hAnsi="Times New Roman" w:eastAsia="仿宋" w:cs="Times New Roman"/>
                <w:color w:val="auto"/>
                <w:sz w:val="24"/>
                <w:szCs w:val="24"/>
                <w:highlight w:val="none"/>
                <w:lang w:val="en-US" w:eastAsia="zh-CN"/>
              </w:rPr>
              <w:t>1</w:t>
            </w:r>
            <w:r>
              <w:rPr>
                <w:rFonts w:hint="eastAsia" w:asci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月</w:t>
            </w:r>
            <w:r>
              <w:rPr>
                <w:rFonts w:hint="eastAsia" w:ascii="Times New Roman" w:hAnsi="Times New Roman" w:eastAsia="仿宋" w:cs="Times New Roman"/>
                <w:color w:val="auto"/>
                <w:sz w:val="24"/>
                <w:szCs w:val="24"/>
                <w:highlight w:val="none"/>
                <w:lang w:val="en-US" w:eastAsia="zh-CN"/>
              </w:rPr>
              <w:t>2</w:t>
            </w:r>
            <w:r>
              <w:rPr>
                <w:rFonts w:hint="eastAsia" w:ascii="Times New Roman" w:eastAsia="仿宋" w:cs="Times New Roman"/>
                <w:color w:val="auto"/>
                <w:sz w:val="24"/>
                <w:szCs w:val="24"/>
                <w:highlight w:val="none"/>
                <w:lang w:val="en-US" w:eastAsia="zh-CN"/>
              </w:rPr>
              <w:t>5</w:t>
            </w:r>
            <w:r>
              <w:rPr>
                <w:rFonts w:hint="default" w:ascii="Times New Roman" w:hAnsi="Times New Roman" w:eastAsia="仿宋" w:cs="Times New Roman"/>
                <w:color w:val="auto"/>
                <w:sz w:val="24"/>
                <w:szCs w:val="24"/>
                <w:highlight w:val="none"/>
              </w:rPr>
              <w:t>日</w:t>
            </w:r>
            <w:r>
              <w:rPr>
                <w:rFonts w:hint="eastAsia" w:ascii="Times New Roman" w:hAnsi="Times New Roman" w:eastAsia="仿宋" w:cs="Times New Roman"/>
                <w:color w:val="auto"/>
                <w:sz w:val="24"/>
                <w:szCs w:val="24"/>
                <w:highlight w:val="none"/>
                <w:lang w:val="en-US" w:eastAsia="zh-CN"/>
              </w:rPr>
              <w:t>，引用时间不超过</w:t>
            </w:r>
            <w:r>
              <w:rPr>
                <w:rFonts w:hint="default" w:ascii="Times New Roman" w:hAnsi="Times New Roman" w:eastAsia="仿宋" w:cs="Times New Roman"/>
                <w:color w:val="auto"/>
                <w:sz w:val="24"/>
                <w:szCs w:val="24"/>
                <w:highlight w:val="none"/>
                <w:lang w:val="en-US" w:eastAsia="zh-CN"/>
              </w:rPr>
              <w:t>3</w:t>
            </w:r>
            <w:r>
              <w:rPr>
                <w:rFonts w:hint="eastAsia" w:ascii="Times New Roman" w:hAnsi="Times New Roman" w:eastAsia="仿宋" w:cs="Times New Roman"/>
                <w:color w:val="auto"/>
                <w:sz w:val="24"/>
                <w:szCs w:val="24"/>
                <w:highlight w:val="none"/>
                <w:lang w:val="en-US" w:eastAsia="zh-CN"/>
              </w:rPr>
              <w:t>年，地表水引用时间有效；②项目所在区域内污染源未发生重大变动，可引用</w:t>
            </w:r>
            <w:r>
              <w:rPr>
                <w:rFonts w:hint="default" w:ascii="Times New Roman" w:hAnsi="Times New Roman" w:eastAsia="仿宋" w:cs="Times New Roman"/>
                <w:color w:val="auto"/>
                <w:sz w:val="24"/>
                <w:szCs w:val="24"/>
                <w:highlight w:val="none"/>
                <w:lang w:val="en-US" w:eastAsia="zh-CN"/>
              </w:rPr>
              <w:t>3</w:t>
            </w:r>
            <w:r>
              <w:rPr>
                <w:rFonts w:hint="eastAsia" w:ascii="Times New Roman" w:hAnsi="Times New Roman" w:eastAsia="仿宋" w:cs="Times New Roman"/>
                <w:color w:val="auto"/>
                <w:sz w:val="24"/>
                <w:szCs w:val="24"/>
                <w:highlight w:val="none"/>
                <w:lang w:val="en-US" w:eastAsia="zh-CN"/>
              </w:rPr>
              <w:t>年内地表水监测数据。</w:t>
            </w:r>
          </w:p>
          <w:p w14:paraId="7EDD23A2">
            <w:pPr>
              <w:autoSpaceDE w:val="0"/>
              <w:autoSpaceDN w:val="0"/>
              <w:spacing w:line="360" w:lineRule="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3.声环境质量现状</w:t>
            </w:r>
          </w:p>
          <w:p w14:paraId="2EEDB482">
            <w:pPr>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为了解项目所在地声环境质量现状，</w:t>
            </w:r>
            <w:r>
              <w:rPr>
                <w:rFonts w:hint="eastAsia" w:eastAsia="仿宋" w:cs="Times New Roman"/>
                <w:color w:val="auto"/>
                <w:sz w:val="24"/>
                <w:szCs w:val="24"/>
                <w:highlight w:val="none"/>
                <w:lang w:val="en-US" w:eastAsia="zh-CN"/>
              </w:rPr>
              <w:t>中科阿斯迈</w:t>
            </w:r>
            <w:r>
              <w:rPr>
                <w:rFonts w:hint="default" w:ascii="Times New Roman" w:hAnsi="Times New Roman" w:eastAsia="仿宋" w:cs="Times New Roman"/>
                <w:color w:val="auto"/>
                <w:kern w:val="0"/>
                <w:sz w:val="24"/>
                <w:szCs w:val="24"/>
                <w:highlight w:val="none"/>
              </w:rPr>
              <w:t>检验检测有限公司</w:t>
            </w:r>
            <w:r>
              <w:rPr>
                <w:rFonts w:hint="default" w:ascii="Times New Roman" w:hAnsi="Times New Roman" w:eastAsia="仿宋" w:cs="Times New Roman"/>
                <w:color w:val="auto"/>
                <w:sz w:val="24"/>
                <w:szCs w:val="24"/>
                <w:highlight w:val="none"/>
              </w:rPr>
              <w:t>于202</w:t>
            </w:r>
            <w:r>
              <w:rPr>
                <w:rFonts w:hint="eastAsia" w:eastAsia="仿宋" w:cs="Times New Roman"/>
                <w:color w:val="auto"/>
                <w:sz w:val="24"/>
                <w:szCs w:val="24"/>
                <w:highlight w:val="none"/>
                <w:lang w:val="en-US" w:eastAsia="zh-CN"/>
              </w:rPr>
              <w:t>5</w:t>
            </w:r>
            <w:r>
              <w:rPr>
                <w:rFonts w:hint="default" w:ascii="Times New Roman" w:hAnsi="Times New Roman" w:eastAsia="仿宋" w:cs="Times New Roman"/>
                <w:color w:val="auto"/>
                <w:sz w:val="24"/>
                <w:szCs w:val="24"/>
                <w:highlight w:val="none"/>
              </w:rPr>
              <w:t>年</w:t>
            </w:r>
            <w:r>
              <w:rPr>
                <w:rFonts w:hint="eastAsia" w:eastAsia="仿宋" w:cs="Times New Roman"/>
                <w:color w:val="auto"/>
                <w:sz w:val="24"/>
                <w:szCs w:val="24"/>
                <w:highlight w:val="none"/>
                <w:lang w:val="en-US" w:eastAsia="zh-CN"/>
              </w:rPr>
              <w:t>1月20日-1月21日</w:t>
            </w:r>
            <w:r>
              <w:rPr>
                <w:rFonts w:hint="default" w:ascii="Times New Roman" w:hAnsi="Times New Roman" w:eastAsia="仿宋" w:cs="Times New Roman"/>
                <w:color w:val="auto"/>
                <w:sz w:val="24"/>
                <w:szCs w:val="24"/>
                <w:highlight w:val="none"/>
              </w:rPr>
              <w:t>对项目厂界四周（监测点位见附图3）进行的现场噪声监测，报告号（</w:t>
            </w:r>
            <w:r>
              <w:rPr>
                <w:rFonts w:hint="eastAsia" w:eastAsia="仿宋" w:cs="Times New Roman"/>
                <w:color w:val="auto"/>
                <w:sz w:val="24"/>
                <w:szCs w:val="24"/>
                <w:highlight w:val="none"/>
                <w:lang w:val="en-US" w:eastAsia="zh-CN"/>
              </w:rPr>
              <w:t>（2024）ZKASM（声）字第（0637）号</w:t>
            </w:r>
            <w:r>
              <w:rPr>
                <w:rFonts w:hint="default" w:ascii="Times New Roman" w:hAnsi="Times New Roman" w:eastAsia="仿宋" w:cs="Times New Roman"/>
                <w:color w:val="auto"/>
                <w:sz w:val="24"/>
                <w:szCs w:val="24"/>
                <w:highlight w:val="none"/>
              </w:rPr>
              <w:t>），监测结果见下表。</w:t>
            </w:r>
          </w:p>
          <w:p w14:paraId="275B55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w:t>
            </w:r>
            <w:r>
              <w:rPr>
                <w:rFonts w:hint="eastAsia" w:ascii="Times New Roman" w:hAnsi="Times New Roman" w:eastAsia="仿宋" w:cs="Times New Roman"/>
                <w:b/>
                <w:bCs/>
                <w:color w:val="auto"/>
                <w:kern w:val="0"/>
                <w:sz w:val="22"/>
                <w:szCs w:val="22"/>
                <w:highlight w:val="none"/>
                <w:lang w:val="en-US" w:eastAsia="zh-CN" w:bidi="ar-SA"/>
              </w:rPr>
              <w:t>5</w:t>
            </w:r>
            <w:r>
              <w:rPr>
                <w:rFonts w:hint="default" w:ascii="Times New Roman" w:hAnsi="Times New Roman" w:eastAsia="仿宋" w:cs="Times New Roman"/>
                <w:b/>
                <w:bCs/>
                <w:color w:val="auto"/>
                <w:kern w:val="0"/>
                <w:sz w:val="22"/>
                <w:szCs w:val="22"/>
                <w:highlight w:val="none"/>
                <w:lang w:val="en-US" w:eastAsia="zh-CN" w:bidi="ar-SA"/>
              </w:rPr>
              <w:t xml:space="preserve"> 噪声现状监测结果统计表单位：dB（A）</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6"/>
              <w:gridCol w:w="952"/>
              <w:gridCol w:w="886"/>
              <w:gridCol w:w="884"/>
              <w:gridCol w:w="930"/>
              <w:gridCol w:w="1124"/>
              <w:gridCol w:w="1243"/>
              <w:gridCol w:w="2"/>
            </w:tblGrid>
            <w:tr w14:paraId="4BB1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jc w:val="center"/>
              </w:trPr>
              <w:tc>
                <w:tcPr>
                  <w:tcW w:w="1363" w:type="pct"/>
                  <w:vMerge w:val="restart"/>
                  <w:vAlign w:val="center"/>
                </w:tcPr>
                <w:p w14:paraId="013CD65D">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监测点位置</w:t>
                  </w:r>
                </w:p>
              </w:tc>
              <w:tc>
                <w:tcPr>
                  <w:tcW w:w="3635" w:type="pct"/>
                  <w:gridSpan w:val="6"/>
                  <w:vAlign w:val="center"/>
                </w:tcPr>
                <w:p w14:paraId="0F6D9BD8">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检测结果（单位LeqdB（A））</w:t>
                  </w:r>
                </w:p>
              </w:tc>
            </w:tr>
            <w:tr w14:paraId="27EA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vMerge w:val="continue"/>
                  <w:vAlign w:val="center"/>
                </w:tcPr>
                <w:p w14:paraId="799630AF">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仿宋" w:cs="Times New Roman"/>
                      <w:color w:val="auto"/>
                      <w:sz w:val="21"/>
                      <w:szCs w:val="21"/>
                      <w:highlight w:val="none"/>
                    </w:rPr>
                  </w:pPr>
                </w:p>
              </w:tc>
              <w:tc>
                <w:tcPr>
                  <w:tcW w:w="1110" w:type="pct"/>
                  <w:gridSpan w:val="2"/>
                  <w:vAlign w:val="center"/>
                </w:tcPr>
                <w:p w14:paraId="29237D59">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202</w:t>
                  </w:r>
                  <w:r>
                    <w:rPr>
                      <w:rFonts w:hint="eastAsia" w:eastAsia="仿宋"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rPr>
                    <w:t>年</w:t>
                  </w:r>
                  <w:r>
                    <w:rPr>
                      <w:rFonts w:hint="eastAsia" w:eastAsia="仿宋" w:cs="Times New Roman"/>
                      <w:color w:val="auto"/>
                      <w:sz w:val="21"/>
                      <w:szCs w:val="21"/>
                      <w:highlight w:val="none"/>
                      <w:lang w:val="en-US" w:eastAsia="zh-CN"/>
                    </w:rPr>
                    <w:t>1</w:t>
                  </w:r>
                  <w:r>
                    <w:rPr>
                      <w:rFonts w:hint="default" w:ascii="Times New Roman" w:hAnsi="Times New Roman" w:eastAsia="仿宋" w:cs="Times New Roman"/>
                      <w:color w:val="auto"/>
                      <w:sz w:val="21"/>
                      <w:szCs w:val="21"/>
                      <w:highlight w:val="none"/>
                    </w:rPr>
                    <w:t>月</w:t>
                  </w:r>
                  <w:r>
                    <w:rPr>
                      <w:rFonts w:hint="eastAsia" w:eastAsia="仿宋" w:cs="Times New Roman"/>
                      <w:color w:val="auto"/>
                      <w:sz w:val="21"/>
                      <w:szCs w:val="21"/>
                      <w:highlight w:val="none"/>
                      <w:lang w:val="en-US" w:eastAsia="zh-CN"/>
                    </w:rPr>
                    <w:t>20</w:t>
                  </w:r>
                  <w:r>
                    <w:rPr>
                      <w:rFonts w:hint="default" w:ascii="Times New Roman" w:hAnsi="Times New Roman" w:eastAsia="仿宋" w:cs="Times New Roman"/>
                      <w:color w:val="auto"/>
                      <w:sz w:val="21"/>
                      <w:szCs w:val="21"/>
                      <w:highlight w:val="none"/>
                    </w:rPr>
                    <w:t>日</w:t>
                  </w:r>
                </w:p>
              </w:tc>
              <w:tc>
                <w:tcPr>
                  <w:tcW w:w="1096" w:type="pct"/>
                  <w:gridSpan w:val="2"/>
                  <w:vAlign w:val="center"/>
                </w:tcPr>
                <w:p w14:paraId="270FBB61">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202</w:t>
                  </w:r>
                  <w:r>
                    <w:rPr>
                      <w:rFonts w:hint="eastAsia" w:eastAsia="仿宋"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rPr>
                    <w:t>年</w:t>
                  </w:r>
                  <w:r>
                    <w:rPr>
                      <w:rFonts w:hint="eastAsia" w:eastAsia="仿宋" w:cs="Times New Roman"/>
                      <w:color w:val="auto"/>
                      <w:sz w:val="21"/>
                      <w:szCs w:val="21"/>
                      <w:highlight w:val="none"/>
                      <w:lang w:val="en-US" w:eastAsia="zh-CN"/>
                    </w:rPr>
                    <w:t>1</w:t>
                  </w:r>
                  <w:r>
                    <w:rPr>
                      <w:rFonts w:hint="default" w:ascii="Times New Roman" w:hAnsi="Times New Roman" w:eastAsia="仿宋" w:cs="Times New Roman"/>
                      <w:color w:val="auto"/>
                      <w:sz w:val="21"/>
                      <w:szCs w:val="21"/>
                      <w:highlight w:val="none"/>
                    </w:rPr>
                    <w:t>月</w:t>
                  </w:r>
                  <w:r>
                    <w:rPr>
                      <w:rFonts w:hint="eastAsia" w:eastAsia="仿宋" w:cs="Times New Roman"/>
                      <w:color w:val="auto"/>
                      <w:sz w:val="21"/>
                      <w:szCs w:val="21"/>
                      <w:highlight w:val="none"/>
                      <w:lang w:val="en-US" w:eastAsia="zh-CN"/>
                    </w:rPr>
                    <w:t>21</w:t>
                  </w:r>
                  <w:r>
                    <w:rPr>
                      <w:rFonts w:hint="default" w:ascii="Times New Roman" w:hAnsi="Times New Roman" w:eastAsia="仿宋" w:cs="Times New Roman"/>
                      <w:color w:val="auto"/>
                      <w:sz w:val="21"/>
                      <w:szCs w:val="21"/>
                      <w:highlight w:val="none"/>
                    </w:rPr>
                    <w:t>日</w:t>
                  </w:r>
                </w:p>
              </w:tc>
              <w:tc>
                <w:tcPr>
                  <w:tcW w:w="1429" w:type="pct"/>
                  <w:gridSpan w:val="3"/>
                </w:tcPr>
                <w:p w14:paraId="04D6F36E">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标准</w:t>
                  </w:r>
                </w:p>
              </w:tc>
            </w:tr>
            <w:tr w14:paraId="4FFA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vMerge w:val="continue"/>
                  <w:vAlign w:val="center"/>
                </w:tcPr>
                <w:p w14:paraId="61153359">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仿宋" w:cs="Times New Roman"/>
                      <w:color w:val="auto"/>
                      <w:sz w:val="21"/>
                      <w:szCs w:val="21"/>
                      <w:highlight w:val="none"/>
                    </w:rPr>
                  </w:pPr>
                </w:p>
              </w:tc>
              <w:tc>
                <w:tcPr>
                  <w:tcW w:w="575" w:type="pct"/>
                  <w:vAlign w:val="center"/>
                </w:tcPr>
                <w:p w14:paraId="5127DD6A">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昼间</w:t>
                  </w:r>
                </w:p>
              </w:tc>
              <w:tc>
                <w:tcPr>
                  <w:tcW w:w="534" w:type="pct"/>
                  <w:vAlign w:val="center"/>
                </w:tcPr>
                <w:p w14:paraId="03A5879C">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夜间</w:t>
                  </w:r>
                </w:p>
              </w:tc>
              <w:tc>
                <w:tcPr>
                  <w:tcW w:w="885" w:type="dxa"/>
                  <w:vAlign w:val="center"/>
                </w:tcPr>
                <w:p w14:paraId="62BA2AF8">
                  <w:pPr>
                    <w:keepNext w:val="0"/>
                    <w:keepLines w:val="0"/>
                    <w:pageBreakBefore w:val="0"/>
                    <w:kinsoku/>
                    <w:wordWrap/>
                    <w:overflowPunct/>
                    <w:topLinePunct w:val="0"/>
                    <w:autoSpaceDE w:val="0"/>
                    <w:autoSpaceDN w:val="0"/>
                    <w:bidi w:val="0"/>
                    <w:adjustRightInd/>
                    <w:snapToGrid/>
                    <w:jc w:val="center"/>
                    <w:rPr>
                      <w:rFonts w:hint="default"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昼间</w:t>
                  </w:r>
                </w:p>
              </w:tc>
              <w:tc>
                <w:tcPr>
                  <w:tcW w:w="930" w:type="dxa"/>
                  <w:vAlign w:val="center"/>
                </w:tcPr>
                <w:p w14:paraId="6BE4665C">
                  <w:pPr>
                    <w:keepNext w:val="0"/>
                    <w:keepLines w:val="0"/>
                    <w:pageBreakBefore w:val="0"/>
                    <w:kinsoku/>
                    <w:wordWrap/>
                    <w:overflowPunct/>
                    <w:topLinePunct w:val="0"/>
                    <w:autoSpaceDE w:val="0"/>
                    <w:autoSpaceDN w:val="0"/>
                    <w:bidi w:val="0"/>
                    <w:adjustRightInd/>
                    <w:snapToGrid/>
                    <w:jc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夜间</w:t>
                  </w:r>
                </w:p>
              </w:tc>
              <w:tc>
                <w:tcPr>
                  <w:tcW w:w="679" w:type="pct"/>
                  <w:vAlign w:val="center"/>
                </w:tcPr>
                <w:p w14:paraId="52841E94">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昼间</w:t>
                  </w:r>
                </w:p>
              </w:tc>
              <w:tc>
                <w:tcPr>
                  <w:tcW w:w="750" w:type="pct"/>
                  <w:gridSpan w:val="2"/>
                  <w:vAlign w:val="center"/>
                </w:tcPr>
                <w:p w14:paraId="4DF09603">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夜间</w:t>
                  </w:r>
                </w:p>
              </w:tc>
            </w:tr>
            <w:tr w14:paraId="1E9D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tcPr>
                <w:p w14:paraId="475013D9">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N1东厂界外1米</w:t>
                  </w:r>
                </w:p>
              </w:tc>
              <w:tc>
                <w:tcPr>
                  <w:tcW w:w="575" w:type="pct"/>
                  <w:vAlign w:val="center"/>
                </w:tcPr>
                <w:p w14:paraId="4F989F9A">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53</w:t>
                  </w:r>
                </w:p>
              </w:tc>
              <w:tc>
                <w:tcPr>
                  <w:tcW w:w="534" w:type="pct"/>
                  <w:vAlign w:val="center"/>
                </w:tcPr>
                <w:p w14:paraId="167BEBA8">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46</w:t>
                  </w:r>
                </w:p>
              </w:tc>
              <w:tc>
                <w:tcPr>
                  <w:tcW w:w="534" w:type="pct"/>
                  <w:vAlign w:val="center"/>
                </w:tcPr>
                <w:p w14:paraId="1D65E3FE">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56</w:t>
                  </w:r>
                </w:p>
              </w:tc>
              <w:tc>
                <w:tcPr>
                  <w:tcW w:w="561" w:type="pct"/>
                  <w:vAlign w:val="center"/>
                </w:tcPr>
                <w:p w14:paraId="72EF767E">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46</w:t>
                  </w:r>
                </w:p>
              </w:tc>
              <w:tc>
                <w:tcPr>
                  <w:tcW w:w="679" w:type="pct"/>
                  <w:vAlign w:val="center"/>
                </w:tcPr>
                <w:p w14:paraId="4041578B">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70</w:t>
                  </w:r>
                </w:p>
              </w:tc>
              <w:tc>
                <w:tcPr>
                  <w:tcW w:w="750" w:type="pct"/>
                  <w:gridSpan w:val="2"/>
                  <w:vAlign w:val="center"/>
                </w:tcPr>
                <w:p w14:paraId="46B45A72">
                  <w:pPr>
                    <w:keepNext w:val="0"/>
                    <w:keepLines w:val="0"/>
                    <w:pageBreakBefore w:val="0"/>
                    <w:widowControl/>
                    <w:kinsoku/>
                    <w:wordWrap/>
                    <w:overflowPunct/>
                    <w:topLinePunct w:val="0"/>
                    <w:bidi w:val="0"/>
                    <w:adjustRightInd/>
                    <w:snapToGrid/>
                    <w:jc w:val="center"/>
                    <w:textAlignment w:val="center"/>
                    <w:rPr>
                      <w:rFonts w:hint="default"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55</w:t>
                  </w:r>
                </w:p>
              </w:tc>
            </w:tr>
            <w:tr w14:paraId="432A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tcPr>
                <w:p w14:paraId="35CCD0AD">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N2南厂界外1米</w:t>
                  </w:r>
                </w:p>
              </w:tc>
              <w:tc>
                <w:tcPr>
                  <w:tcW w:w="575" w:type="pct"/>
                  <w:vAlign w:val="center"/>
                </w:tcPr>
                <w:p w14:paraId="5945652D">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54</w:t>
                  </w:r>
                </w:p>
              </w:tc>
              <w:tc>
                <w:tcPr>
                  <w:tcW w:w="534" w:type="pct"/>
                  <w:vAlign w:val="center"/>
                </w:tcPr>
                <w:p w14:paraId="47D33B14">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48</w:t>
                  </w:r>
                </w:p>
              </w:tc>
              <w:tc>
                <w:tcPr>
                  <w:tcW w:w="534" w:type="pct"/>
                  <w:vAlign w:val="center"/>
                </w:tcPr>
                <w:p w14:paraId="22C131D4">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57</w:t>
                  </w:r>
                </w:p>
              </w:tc>
              <w:tc>
                <w:tcPr>
                  <w:tcW w:w="561" w:type="pct"/>
                  <w:vAlign w:val="center"/>
                </w:tcPr>
                <w:p w14:paraId="36028C18">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48</w:t>
                  </w:r>
                </w:p>
              </w:tc>
              <w:tc>
                <w:tcPr>
                  <w:tcW w:w="679" w:type="pct"/>
                  <w:vAlign w:val="center"/>
                </w:tcPr>
                <w:p w14:paraId="1A35C19A">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70</w:t>
                  </w:r>
                </w:p>
              </w:tc>
              <w:tc>
                <w:tcPr>
                  <w:tcW w:w="750" w:type="pct"/>
                  <w:gridSpan w:val="2"/>
                  <w:vAlign w:val="center"/>
                </w:tcPr>
                <w:p w14:paraId="3BDEEFF0">
                  <w:pPr>
                    <w:keepNext w:val="0"/>
                    <w:keepLines w:val="0"/>
                    <w:pageBreakBefore w:val="0"/>
                    <w:widowControl/>
                    <w:kinsoku/>
                    <w:wordWrap/>
                    <w:overflowPunct/>
                    <w:topLinePunct w:val="0"/>
                    <w:bidi w:val="0"/>
                    <w:adjustRightInd/>
                    <w:snapToGrid/>
                    <w:jc w:val="center"/>
                    <w:textAlignment w:val="center"/>
                    <w:rPr>
                      <w:rFonts w:hint="default"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55</w:t>
                  </w:r>
                </w:p>
              </w:tc>
            </w:tr>
            <w:tr w14:paraId="050E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pct"/>
                </w:tcPr>
                <w:p w14:paraId="2F1DC26B">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N3西厂界外1米</w:t>
                  </w:r>
                </w:p>
              </w:tc>
              <w:tc>
                <w:tcPr>
                  <w:tcW w:w="575" w:type="pct"/>
                  <w:vAlign w:val="center"/>
                </w:tcPr>
                <w:p w14:paraId="67871463">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59</w:t>
                  </w:r>
                </w:p>
              </w:tc>
              <w:tc>
                <w:tcPr>
                  <w:tcW w:w="534" w:type="pct"/>
                  <w:vAlign w:val="center"/>
                </w:tcPr>
                <w:p w14:paraId="072EF5AF">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46</w:t>
                  </w:r>
                </w:p>
              </w:tc>
              <w:tc>
                <w:tcPr>
                  <w:tcW w:w="534" w:type="pct"/>
                  <w:vAlign w:val="center"/>
                </w:tcPr>
                <w:p w14:paraId="007C4966">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62</w:t>
                  </w:r>
                </w:p>
              </w:tc>
              <w:tc>
                <w:tcPr>
                  <w:tcW w:w="561" w:type="pct"/>
                  <w:vAlign w:val="center"/>
                </w:tcPr>
                <w:p w14:paraId="3AEC3514">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50</w:t>
                  </w:r>
                </w:p>
              </w:tc>
              <w:tc>
                <w:tcPr>
                  <w:tcW w:w="679" w:type="pct"/>
                  <w:vAlign w:val="center"/>
                </w:tcPr>
                <w:p w14:paraId="3B09368D">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70</w:t>
                  </w:r>
                </w:p>
              </w:tc>
              <w:tc>
                <w:tcPr>
                  <w:tcW w:w="750" w:type="pct"/>
                  <w:gridSpan w:val="2"/>
                  <w:vAlign w:val="center"/>
                </w:tcPr>
                <w:p w14:paraId="17F8E6E8">
                  <w:pPr>
                    <w:keepNext w:val="0"/>
                    <w:keepLines w:val="0"/>
                    <w:pageBreakBefore w:val="0"/>
                    <w:widowControl/>
                    <w:kinsoku/>
                    <w:wordWrap/>
                    <w:overflowPunct/>
                    <w:topLinePunct w:val="0"/>
                    <w:bidi w:val="0"/>
                    <w:adjustRightInd/>
                    <w:snapToGrid/>
                    <w:jc w:val="center"/>
                    <w:textAlignment w:val="center"/>
                    <w:rPr>
                      <w:rFonts w:hint="eastAsia"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55</w:t>
                  </w:r>
                </w:p>
              </w:tc>
            </w:tr>
            <w:tr w14:paraId="202C2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63" w:type="pct"/>
                </w:tcPr>
                <w:p w14:paraId="03BC9E97">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N4北厂界外1米</w:t>
                  </w:r>
                </w:p>
              </w:tc>
              <w:tc>
                <w:tcPr>
                  <w:tcW w:w="575" w:type="pct"/>
                  <w:vAlign w:val="center"/>
                </w:tcPr>
                <w:p w14:paraId="2AEDDCEA">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52</w:t>
                  </w:r>
                </w:p>
              </w:tc>
              <w:tc>
                <w:tcPr>
                  <w:tcW w:w="534" w:type="pct"/>
                  <w:vAlign w:val="center"/>
                </w:tcPr>
                <w:p w14:paraId="26CFE0DF">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48</w:t>
                  </w:r>
                </w:p>
              </w:tc>
              <w:tc>
                <w:tcPr>
                  <w:tcW w:w="534" w:type="pct"/>
                  <w:vAlign w:val="center"/>
                </w:tcPr>
                <w:p w14:paraId="3F7505AF">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47</w:t>
                  </w:r>
                </w:p>
              </w:tc>
              <w:tc>
                <w:tcPr>
                  <w:tcW w:w="561" w:type="pct"/>
                  <w:vAlign w:val="center"/>
                </w:tcPr>
                <w:p w14:paraId="2FB58262">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44</w:t>
                  </w:r>
                </w:p>
              </w:tc>
              <w:tc>
                <w:tcPr>
                  <w:tcW w:w="679" w:type="pct"/>
                  <w:vAlign w:val="center"/>
                </w:tcPr>
                <w:p w14:paraId="4F2C41E2">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70</w:t>
                  </w:r>
                </w:p>
              </w:tc>
              <w:tc>
                <w:tcPr>
                  <w:tcW w:w="750" w:type="pct"/>
                  <w:gridSpan w:val="2"/>
                  <w:vAlign w:val="center"/>
                </w:tcPr>
                <w:p w14:paraId="70034044">
                  <w:pPr>
                    <w:keepNext w:val="0"/>
                    <w:keepLines w:val="0"/>
                    <w:pageBreakBefore w:val="0"/>
                    <w:widowControl/>
                    <w:kinsoku/>
                    <w:wordWrap/>
                    <w:overflowPunct/>
                    <w:topLinePunct w:val="0"/>
                    <w:bidi w:val="0"/>
                    <w:adjustRightInd/>
                    <w:snapToGrid/>
                    <w:jc w:val="center"/>
                    <w:textAlignment w:val="center"/>
                    <w:rPr>
                      <w:rFonts w:hint="eastAsia" w:eastAsia="仿宋" w:cs="Times New Roman"/>
                      <w:color w:val="auto"/>
                      <w:kern w:val="0"/>
                      <w:sz w:val="21"/>
                      <w:szCs w:val="21"/>
                      <w:highlight w:val="none"/>
                      <w:lang w:val="en-US" w:eastAsia="zh-CN" w:bidi="ar"/>
                    </w:rPr>
                  </w:pPr>
                  <w:r>
                    <w:rPr>
                      <w:rFonts w:hint="eastAsia" w:eastAsia="仿宋" w:cs="Times New Roman"/>
                      <w:color w:val="auto"/>
                      <w:kern w:val="0"/>
                      <w:sz w:val="21"/>
                      <w:szCs w:val="21"/>
                      <w:highlight w:val="none"/>
                      <w:lang w:val="en-US" w:eastAsia="zh-CN" w:bidi="ar"/>
                    </w:rPr>
                    <w:t>55</w:t>
                  </w:r>
                </w:p>
              </w:tc>
            </w:tr>
          </w:tbl>
          <w:p w14:paraId="305D1AD5">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仿宋" w:cs="Times New Roman"/>
                <w:color w:val="auto"/>
                <w:sz w:val="24"/>
                <w:szCs w:val="24"/>
                <w:highlight w:val="none"/>
              </w:rPr>
              <w:t>监测结果表明，项目所在地</w:t>
            </w:r>
            <w:r>
              <w:rPr>
                <w:rFonts w:hint="eastAsia" w:eastAsia="仿宋" w:cs="Times New Roman"/>
                <w:color w:val="auto"/>
                <w:sz w:val="24"/>
                <w:szCs w:val="24"/>
                <w:highlight w:val="none"/>
                <w:lang w:val="en-US" w:eastAsia="zh-CN"/>
              </w:rPr>
              <w:t>东、南、西、北</w:t>
            </w:r>
            <w:r>
              <w:rPr>
                <w:rFonts w:hint="default" w:ascii="Times New Roman" w:hAnsi="Times New Roman" w:eastAsia="仿宋" w:cs="Times New Roman"/>
                <w:color w:val="auto"/>
                <w:sz w:val="24"/>
                <w:szCs w:val="24"/>
                <w:highlight w:val="none"/>
              </w:rPr>
              <w:t>厂界噪声均符合《声环境质量标准》（GB3096-2008）中的</w:t>
            </w:r>
            <w:r>
              <w:rPr>
                <w:rFonts w:hint="eastAsia" w:eastAsia="仿宋" w:cs="Times New Roman"/>
                <w:color w:val="auto"/>
                <w:sz w:val="24"/>
                <w:szCs w:val="24"/>
                <w:highlight w:val="none"/>
                <w:lang w:val="en-US" w:eastAsia="zh-CN"/>
              </w:rPr>
              <w:t>4a</w:t>
            </w:r>
            <w:r>
              <w:rPr>
                <w:rFonts w:hint="default" w:ascii="Times New Roman" w:hAnsi="Times New Roman" w:eastAsia="仿宋" w:cs="Times New Roman"/>
                <w:color w:val="auto"/>
                <w:sz w:val="24"/>
                <w:szCs w:val="24"/>
                <w:highlight w:val="none"/>
              </w:rPr>
              <w:t>类标准</w:t>
            </w:r>
            <w:r>
              <w:rPr>
                <w:rFonts w:hint="eastAsia" w:eastAsia="仿宋" w:cs="Times New Roman"/>
                <w:color w:val="auto"/>
                <w:sz w:val="24"/>
                <w:szCs w:val="24"/>
                <w:highlight w:val="none"/>
                <w:lang w:eastAsia="zh-CN"/>
              </w:rPr>
              <w:t>。</w:t>
            </w:r>
          </w:p>
        </w:tc>
      </w:tr>
      <w:tr w14:paraId="4947B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551" w:type="dxa"/>
            <w:vAlign w:val="center"/>
          </w:tcPr>
          <w:p w14:paraId="7FE39D96">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eastAsia="仿宋" w:cs="Times New Roman"/>
                <w:color w:val="auto"/>
                <w:kern w:val="0"/>
                <w:sz w:val="24"/>
                <w:szCs w:val="24"/>
                <w:highlight w:val="none"/>
                <w:lang w:val="en-US" w:eastAsia="zh-CN" w:bidi="ar-SA"/>
              </w:rPr>
              <w:t>环境保护目标</w:t>
            </w:r>
          </w:p>
        </w:tc>
        <w:tc>
          <w:tcPr>
            <w:tcW w:w="8506" w:type="dxa"/>
          </w:tcPr>
          <w:p w14:paraId="1B6E9A28">
            <w:pPr>
              <w:autoSpaceDE w:val="0"/>
              <w:autoSpaceDN w:val="0"/>
              <w:spacing w:line="360" w:lineRule="auto"/>
              <w:ind w:firstLine="480" w:firstLineChars="200"/>
              <w:jc w:val="left"/>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根据现场踏勘，本项目周围主要环境保护目标见下表。</w:t>
            </w:r>
          </w:p>
          <w:p w14:paraId="505B97FA">
            <w:pPr>
              <w:pStyle w:val="38"/>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①大气环境保护目标：</w:t>
            </w:r>
          </w:p>
          <w:p w14:paraId="55EEF6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w:t>
            </w:r>
            <w:r>
              <w:rPr>
                <w:rFonts w:hint="eastAsia" w:ascii="Times New Roman" w:hAnsi="Times New Roman" w:eastAsia="仿宋" w:cs="Times New Roman"/>
                <w:b/>
                <w:bCs/>
                <w:color w:val="auto"/>
                <w:kern w:val="0"/>
                <w:sz w:val="22"/>
                <w:szCs w:val="22"/>
                <w:highlight w:val="none"/>
                <w:lang w:val="en-US" w:eastAsia="zh-CN" w:bidi="ar-SA"/>
              </w:rPr>
              <w:t xml:space="preserve">6 </w:t>
            </w:r>
            <w:r>
              <w:rPr>
                <w:rFonts w:hint="default" w:ascii="Times New Roman" w:hAnsi="Times New Roman" w:eastAsia="仿宋" w:cs="Times New Roman"/>
                <w:b/>
                <w:bCs/>
                <w:color w:val="auto"/>
                <w:kern w:val="0"/>
                <w:sz w:val="22"/>
                <w:szCs w:val="22"/>
                <w:highlight w:val="none"/>
                <w:lang w:val="en-US" w:eastAsia="zh-CN" w:bidi="ar-SA"/>
              </w:rPr>
              <w:t>大气环境保护目标一览表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68"/>
              <w:gridCol w:w="661"/>
              <w:gridCol w:w="708"/>
              <w:gridCol w:w="953"/>
              <w:gridCol w:w="693"/>
              <w:gridCol w:w="824"/>
              <w:gridCol w:w="868"/>
              <w:gridCol w:w="824"/>
              <w:gridCol w:w="830"/>
            </w:tblGrid>
            <w:tr w14:paraId="26B8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Merge w:val="restart"/>
                  <w:tcBorders>
                    <w:tl2br w:val="nil"/>
                    <w:tr2bl w:val="nil"/>
                  </w:tcBorders>
                  <w:vAlign w:val="center"/>
                </w:tcPr>
                <w:p w14:paraId="1592D80F">
                  <w:pPr>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w:t>
                  </w:r>
                </w:p>
                <w:p w14:paraId="1A58AA00">
                  <w:pPr>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要素</w:t>
                  </w:r>
                </w:p>
              </w:tc>
              <w:tc>
                <w:tcPr>
                  <w:tcW w:w="765" w:type="pct"/>
                  <w:vMerge w:val="restart"/>
                  <w:tcBorders>
                    <w:tl2br w:val="nil"/>
                    <w:tr2bl w:val="nil"/>
                  </w:tcBorders>
                  <w:vAlign w:val="center"/>
                </w:tcPr>
                <w:p w14:paraId="0CDFCBF7">
                  <w:pPr>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保护对象名称</w:t>
                  </w:r>
                </w:p>
              </w:tc>
              <w:tc>
                <w:tcPr>
                  <w:tcW w:w="826" w:type="pct"/>
                  <w:gridSpan w:val="2"/>
                  <w:tcBorders>
                    <w:tl2br w:val="nil"/>
                    <w:tr2bl w:val="nil"/>
                  </w:tcBorders>
                  <w:vAlign w:val="center"/>
                </w:tcPr>
                <w:p w14:paraId="6F09FEEA">
                  <w:pPr>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坐标（m）</w:t>
                  </w:r>
                </w:p>
              </w:tc>
              <w:tc>
                <w:tcPr>
                  <w:tcW w:w="575" w:type="pct"/>
                  <w:vMerge w:val="restart"/>
                  <w:tcBorders>
                    <w:tl2br w:val="nil"/>
                    <w:tr2bl w:val="nil"/>
                  </w:tcBorders>
                  <w:vAlign w:val="center"/>
                </w:tcPr>
                <w:p w14:paraId="1A35C89E">
                  <w:pPr>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保护对象</w:t>
                  </w:r>
                </w:p>
              </w:tc>
              <w:tc>
                <w:tcPr>
                  <w:tcW w:w="418" w:type="pct"/>
                  <w:vMerge w:val="restart"/>
                  <w:tcBorders>
                    <w:tl2br w:val="nil"/>
                    <w:tr2bl w:val="nil"/>
                  </w:tcBorders>
                  <w:vAlign w:val="center"/>
                </w:tcPr>
                <w:p w14:paraId="68C7EC06">
                  <w:pPr>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保护内容</w:t>
                  </w:r>
                </w:p>
              </w:tc>
              <w:tc>
                <w:tcPr>
                  <w:tcW w:w="497" w:type="pct"/>
                  <w:vMerge w:val="restart"/>
                  <w:tcBorders>
                    <w:tl2br w:val="nil"/>
                    <w:tr2bl w:val="nil"/>
                  </w:tcBorders>
                  <w:vAlign w:val="center"/>
                </w:tcPr>
                <w:p w14:paraId="413A589A">
                  <w:pPr>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环境功能区</w:t>
                  </w:r>
                </w:p>
              </w:tc>
              <w:tc>
                <w:tcPr>
                  <w:tcW w:w="524" w:type="pct"/>
                  <w:vMerge w:val="restart"/>
                  <w:tcBorders>
                    <w:tl2br w:val="nil"/>
                    <w:tr2bl w:val="nil"/>
                  </w:tcBorders>
                  <w:vAlign w:val="center"/>
                </w:tcPr>
                <w:p w14:paraId="527016BF">
                  <w:pPr>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规模（人）</w:t>
                  </w:r>
                </w:p>
              </w:tc>
              <w:tc>
                <w:tcPr>
                  <w:tcW w:w="497" w:type="pct"/>
                  <w:vMerge w:val="restart"/>
                  <w:tcBorders>
                    <w:tl2br w:val="nil"/>
                    <w:tr2bl w:val="nil"/>
                  </w:tcBorders>
                  <w:vAlign w:val="center"/>
                </w:tcPr>
                <w:p w14:paraId="7D709AF4">
                  <w:pPr>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相对方位</w:t>
                  </w:r>
                </w:p>
              </w:tc>
              <w:tc>
                <w:tcPr>
                  <w:tcW w:w="501" w:type="pct"/>
                  <w:vMerge w:val="restart"/>
                  <w:tcBorders>
                    <w:tl2br w:val="nil"/>
                    <w:tr2bl w:val="nil"/>
                  </w:tcBorders>
                  <w:vAlign w:val="center"/>
                </w:tcPr>
                <w:p w14:paraId="35F76EDC">
                  <w:pPr>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相对距离(m)*</w:t>
                  </w:r>
                </w:p>
              </w:tc>
            </w:tr>
            <w:tr w14:paraId="1190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0248CE53">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765" w:type="pct"/>
                  <w:vMerge w:val="continue"/>
                  <w:tcBorders>
                    <w:tl2br w:val="nil"/>
                    <w:tr2bl w:val="nil"/>
                  </w:tcBorders>
                  <w:vAlign w:val="center"/>
                </w:tcPr>
                <w:p w14:paraId="34F4B6DD">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399" w:type="pct"/>
                  <w:tcBorders>
                    <w:tl2br w:val="nil"/>
                    <w:tr2bl w:val="nil"/>
                  </w:tcBorders>
                  <w:vAlign w:val="center"/>
                </w:tcPr>
                <w:p w14:paraId="39A37273">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X</w:t>
                  </w:r>
                </w:p>
              </w:tc>
              <w:tc>
                <w:tcPr>
                  <w:tcW w:w="426" w:type="pct"/>
                  <w:tcBorders>
                    <w:tl2br w:val="nil"/>
                    <w:tr2bl w:val="nil"/>
                  </w:tcBorders>
                  <w:vAlign w:val="center"/>
                </w:tcPr>
                <w:p w14:paraId="6B754DD1">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Y</w:t>
                  </w:r>
                </w:p>
              </w:tc>
              <w:tc>
                <w:tcPr>
                  <w:tcW w:w="575" w:type="pct"/>
                  <w:vMerge w:val="continue"/>
                  <w:tcBorders>
                    <w:tl2br w:val="nil"/>
                    <w:tr2bl w:val="nil"/>
                  </w:tcBorders>
                  <w:vAlign w:val="center"/>
                </w:tcPr>
                <w:p w14:paraId="46D7042D">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418" w:type="pct"/>
                  <w:vMerge w:val="continue"/>
                  <w:tcBorders>
                    <w:tl2br w:val="nil"/>
                    <w:tr2bl w:val="nil"/>
                  </w:tcBorders>
                  <w:vAlign w:val="center"/>
                </w:tcPr>
                <w:p w14:paraId="42E82F50">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14:paraId="23CA631D">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524" w:type="pct"/>
                  <w:vMerge w:val="continue"/>
                  <w:tcBorders>
                    <w:tl2br w:val="nil"/>
                    <w:tr2bl w:val="nil"/>
                  </w:tcBorders>
                  <w:vAlign w:val="center"/>
                </w:tcPr>
                <w:p w14:paraId="5CF1ABAD">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14:paraId="32C11C38">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501" w:type="pct"/>
                  <w:vMerge w:val="continue"/>
                  <w:tcBorders>
                    <w:tl2br w:val="nil"/>
                    <w:tr2bl w:val="nil"/>
                  </w:tcBorders>
                  <w:vAlign w:val="center"/>
                </w:tcPr>
                <w:p w14:paraId="5458FB93">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r>
            <w:tr w14:paraId="02B0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pct"/>
                  <w:vMerge w:val="restart"/>
                  <w:tcBorders>
                    <w:tl2br w:val="nil"/>
                    <w:tr2bl w:val="nil"/>
                  </w:tcBorders>
                  <w:vAlign w:val="center"/>
                </w:tcPr>
                <w:p w14:paraId="0B00E579">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大气环境</w:t>
                  </w:r>
                </w:p>
              </w:tc>
              <w:tc>
                <w:tcPr>
                  <w:tcW w:w="765" w:type="pct"/>
                  <w:tcBorders>
                    <w:tl2br w:val="nil"/>
                    <w:tr2bl w:val="nil"/>
                  </w:tcBorders>
                  <w:vAlign w:val="center"/>
                </w:tcPr>
                <w:p w14:paraId="7470B696">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金坛第一人民医院</w:t>
                  </w:r>
                </w:p>
              </w:tc>
              <w:tc>
                <w:tcPr>
                  <w:tcW w:w="399" w:type="pct"/>
                  <w:tcBorders>
                    <w:tl2br w:val="nil"/>
                    <w:tr2bl w:val="nil"/>
                  </w:tcBorders>
                  <w:vAlign w:val="center"/>
                </w:tcPr>
                <w:p w14:paraId="6C07C15C">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0</w:t>
                  </w:r>
                </w:p>
              </w:tc>
              <w:tc>
                <w:tcPr>
                  <w:tcW w:w="426" w:type="pct"/>
                  <w:tcBorders>
                    <w:tl2br w:val="nil"/>
                    <w:tr2bl w:val="nil"/>
                  </w:tcBorders>
                  <w:vAlign w:val="center"/>
                </w:tcPr>
                <w:p w14:paraId="31A6E89F">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0</w:t>
                  </w:r>
                </w:p>
              </w:tc>
              <w:tc>
                <w:tcPr>
                  <w:tcW w:w="575" w:type="pct"/>
                  <w:tcBorders>
                    <w:tl2br w:val="nil"/>
                    <w:tr2bl w:val="nil"/>
                  </w:tcBorders>
                  <w:vAlign w:val="center"/>
                </w:tcPr>
                <w:p w14:paraId="1EDFA573">
                  <w:pPr>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val="en-US" w:eastAsia="zh-CN"/>
                    </w:rPr>
                    <w:t>医院</w:t>
                  </w:r>
                </w:p>
              </w:tc>
              <w:tc>
                <w:tcPr>
                  <w:tcW w:w="418" w:type="pct"/>
                  <w:vMerge w:val="restart"/>
                  <w:tcBorders>
                    <w:tl2br w:val="nil"/>
                    <w:tr2bl w:val="nil"/>
                  </w:tcBorders>
                  <w:vAlign w:val="center"/>
                </w:tcPr>
                <w:p w14:paraId="6A690CAA">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人群</w:t>
                  </w:r>
                </w:p>
              </w:tc>
              <w:tc>
                <w:tcPr>
                  <w:tcW w:w="497" w:type="pct"/>
                  <w:vMerge w:val="restart"/>
                  <w:tcBorders>
                    <w:tl2br w:val="nil"/>
                    <w:tr2bl w:val="nil"/>
                  </w:tcBorders>
                  <w:vAlign w:val="center"/>
                </w:tcPr>
                <w:p w14:paraId="0D5416BB">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二类区</w:t>
                  </w:r>
                </w:p>
              </w:tc>
              <w:tc>
                <w:tcPr>
                  <w:tcW w:w="524" w:type="pct"/>
                  <w:tcBorders>
                    <w:tl2br w:val="nil"/>
                    <w:tr2bl w:val="nil"/>
                  </w:tcBorders>
                  <w:vAlign w:val="center"/>
                </w:tcPr>
                <w:p w14:paraId="10065396">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6000</w:t>
                  </w:r>
                </w:p>
              </w:tc>
              <w:tc>
                <w:tcPr>
                  <w:tcW w:w="497" w:type="pct"/>
                  <w:tcBorders>
                    <w:tl2br w:val="nil"/>
                    <w:tr2bl w:val="nil"/>
                  </w:tcBorders>
                  <w:vAlign w:val="center"/>
                </w:tcPr>
                <w:p w14:paraId="61B8E612">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w:t>
                  </w:r>
                </w:p>
              </w:tc>
              <w:tc>
                <w:tcPr>
                  <w:tcW w:w="501" w:type="pct"/>
                  <w:tcBorders>
                    <w:tl2br w:val="nil"/>
                    <w:tr2bl w:val="nil"/>
                  </w:tcBorders>
                  <w:vAlign w:val="center"/>
                </w:tcPr>
                <w:p w14:paraId="761641DC">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w:t>
                  </w:r>
                </w:p>
              </w:tc>
            </w:tr>
            <w:tr w14:paraId="5550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726A348E">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765" w:type="pct"/>
                  <w:tcBorders>
                    <w:tl2br w:val="nil"/>
                    <w:tr2bl w:val="nil"/>
                  </w:tcBorders>
                  <w:vAlign w:val="center"/>
                </w:tcPr>
                <w:p w14:paraId="0DA174D7">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城开·半岛花园</w:t>
                  </w:r>
                </w:p>
              </w:tc>
              <w:tc>
                <w:tcPr>
                  <w:tcW w:w="399" w:type="pct"/>
                  <w:tcBorders>
                    <w:tl2br w:val="nil"/>
                    <w:tr2bl w:val="nil"/>
                  </w:tcBorders>
                  <w:vAlign w:val="center"/>
                </w:tcPr>
                <w:p w14:paraId="285FFA6E">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-50</w:t>
                  </w:r>
                </w:p>
              </w:tc>
              <w:tc>
                <w:tcPr>
                  <w:tcW w:w="426" w:type="pct"/>
                  <w:tcBorders>
                    <w:tl2br w:val="nil"/>
                    <w:tr2bl w:val="nil"/>
                  </w:tcBorders>
                  <w:vAlign w:val="center"/>
                </w:tcPr>
                <w:p w14:paraId="10B970F5">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+160</w:t>
                  </w:r>
                </w:p>
              </w:tc>
              <w:tc>
                <w:tcPr>
                  <w:tcW w:w="575" w:type="pct"/>
                  <w:tcBorders>
                    <w:tl2br w:val="nil"/>
                    <w:tr2bl w:val="nil"/>
                  </w:tcBorders>
                  <w:vAlign w:val="center"/>
                </w:tcPr>
                <w:p w14:paraId="1ED30E3E">
                  <w:pPr>
                    <w:pStyle w:val="38"/>
                    <w:keepNext w:val="0"/>
                    <w:keepLines w:val="0"/>
                    <w:pageBreakBefore w:val="0"/>
                    <w:kinsoku/>
                    <w:wordWrap/>
                    <w:overflowPunct/>
                    <w:topLinePunct w:val="0"/>
                    <w:bidi w:val="0"/>
                    <w:adjustRightInd/>
                    <w:snapToGrid w:val="0"/>
                    <w:ind w:firstLine="0"/>
                    <w:jc w:val="center"/>
                    <w:rPr>
                      <w:rFonts w:hint="eastAsia"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val="en-US" w:eastAsia="zh-CN"/>
                    </w:rPr>
                    <w:t>居民区</w:t>
                  </w:r>
                </w:p>
              </w:tc>
              <w:tc>
                <w:tcPr>
                  <w:tcW w:w="418" w:type="pct"/>
                  <w:vMerge w:val="continue"/>
                  <w:tcBorders>
                    <w:tl2br w:val="nil"/>
                    <w:tr2bl w:val="nil"/>
                  </w:tcBorders>
                  <w:vAlign w:val="center"/>
                </w:tcPr>
                <w:p w14:paraId="455AC997">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14:paraId="68DABA7C">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524" w:type="pct"/>
                  <w:tcBorders>
                    <w:tl2br w:val="nil"/>
                    <w:tr2bl w:val="nil"/>
                  </w:tcBorders>
                  <w:vAlign w:val="center"/>
                </w:tcPr>
                <w:p w14:paraId="21590C1A">
                  <w:pPr>
                    <w:keepNext w:val="0"/>
                    <w:keepLines w:val="0"/>
                    <w:pageBreakBefore w:val="0"/>
                    <w:widowControl/>
                    <w:kinsoku/>
                    <w:wordWrap/>
                    <w:overflowPunct/>
                    <w:topLinePunct w:val="0"/>
                    <w:bidi w:val="0"/>
                    <w:adjustRightInd/>
                    <w:ind w:firstLine="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1200</w:t>
                  </w:r>
                </w:p>
              </w:tc>
              <w:tc>
                <w:tcPr>
                  <w:tcW w:w="497" w:type="pct"/>
                  <w:tcBorders>
                    <w:tl2br w:val="nil"/>
                    <w:tr2bl w:val="nil"/>
                  </w:tcBorders>
                  <w:vAlign w:val="center"/>
                </w:tcPr>
                <w:p w14:paraId="42D5A589">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NW</w:t>
                  </w:r>
                </w:p>
              </w:tc>
              <w:tc>
                <w:tcPr>
                  <w:tcW w:w="501" w:type="pct"/>
                  <w:tcBorders>
                    <w:tl2br w:val="nil"/>
                    <w:tr2bl w:val="nil"/>
                  </w:tcBorders>
                  <w:vAlign w:val="center"/>
                </w:tcPr>
                <w:p w14:paraId="768A908E">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167</w:t>
                  </w:r>
                </w:p>
              </w:tc>
            </w:tr>
            <w:tr w14:paraId="0E87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7B1E3750">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765" w:type="pct"/>
                  <w:tcBorders>
                    <w:tl2br w:val="nil"/>
                    <w:tr2bl w:val="nil"/>
                  </w:tcBorders>
                  <w:vAlign w:val="center"/>
                </w:tcPr>
                <w:p w14:paraId="54EAD98E">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紫玉华府</w:t>
                  </w:r>
                </w:p>
              </w:tc>
              <w:tc>
                <w:tcPr>
                  <w:tcW w:w="399" w:type="pct"/>
                  <w:tcBorders>
                    <w:tl2br w:val="nil"/>
                    <w:tr2bl w:val="nil"/>
                  </w:tcBorders>
                  <w:vAlign w:val="center"/>
                </w:tcPr>
                <w:p w14:paraId="54798F0A">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0</w:t>
                  </w:r>
                </w:p>
              </w:tc>
              <w:tc>
                <w:tcPr>
                  <w:tcW w:w="426" w:type="pct"/>
                  <w:tcBorders>
                    <w:tl2br w:val="nil"/>
                    <w:tr2bl w:val="nil"/>
                  </w:tcBorders>
                  <w:vAlign w:val="center"/>
                </w:tcPr>
                <w:p w14:paraId="45FA5953">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+160</w:t>
                  </w:r>
                </w:p>
              </w:tc>
              <w:tc>
                <w:tcPr>
                  <w:tcW w:w="575" w:type="pct"/>
                  <w:tcBorders>
                    <w:tl2br w:val="nil"/>
                    <w:tr2bl w:val="nil"/>
                  </w:tcBorders>
                  <w:vAlign w:val="center"/>
                </w:tcPr>
                <w:p w14:paraId="5366190D">
                  <w:pPr>
                    <w:pStyle w:val="38"/>
                    <w:keepNext w:val="0"/>
                    <w:keepLines w:val="0"/>
                    <w:pageBreakBefore w:val="0"/>
                    <w:kinsoku/>
                    <w:wordWrap/>
                    <w:overflowPunct/>
                    <w:topLinePunct w:val="0"/>
                    <w:bidi w:val="0"/>
                    <w:adjustRightInd/>
                    <w:snapToGrid w:val="0"/>
                    <w:ind w:firstLine="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居民区</w:t>
                  </w:r>
                </w:p>
              </w:tc>
              <w:tc>
                <w:tcPr>
                  <w:tcW w:w="418" w:type="pct"/>
                  <w:vMerge w:val="continue"/>
                  <w:tcBorders>
                    <w:tl2br w:val="nil"/>
                    <w:tr2bl w:val="nil"/>
                  </w:tcBorders>
                  <w:vAlign w:val="center"/>
                </w:tcPr>
                <w:p w14:paraId="5D75BFFC">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14:paraId="19091215">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524" w:type="pct"/>
                  <w:tcBorders>
                    <w:tl2br w:val="nil"/>
                    <w:tr2bl w:val="nil"/>
                  </w:tcBorders>
                  <w:vAlign w:val="center"/>
                </w:tcPr>
                <w:p w14:paraId="6B2A48EE">
                  <w:pPr>
                    <w:keepNext w:val="0"/>
                    <w:keepLines w:val="0"/>
                    <w:pageBreakBefore w:val="0"/>
                    <w:widowControl/>
                    <w:kinsoku/>
                    <w:wordWrap/>
                    <w:overflowPunct/>
                    <w:topLinePunct w:val="0"/>
                    <w:bidi w:val="0"/>
                    <w:adjustRightInd/>
                    <w:ind w:firstLine="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1000</w:t>
                  </w:r>
                </w:p>
              </w:tc>
              <w:tc>
                <w:tcPr>
                  <w:tcW w:w="497" w:type="pct"/>
                  <w:tcBorders>
                    <w:tl2br w:val="nil"/>
                    <w:tr2bl w:val="nil"/>
                  </w:tcBorders>
                  <w:vAlign w:val="center"/>
                </w:tcPr>
                <w:p w14:paraId="34F57938">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N</w:t>
                  </w:r>
                </w:p>
              </w:tc>
              <w:tc>
                <w:tcPr>
                  <w:tcW w:w="501" w:type="pct"/>
                  <w:tcBorders>
                    <w:tl2br w:val="nil"/>
                    <w:tr2bl w:val="nil"/>
                  </w:tcBorders>
                  <w:vAlign w:val="center"/>
                </w:tcPr>
                <w:p w14:paraId="0B6B84CC">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160</w:t>
                  </w:r>
                </w:p>
              </w:tc>
            </w:tr>
            <w:tr w14:paraId="1EB1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29E38F00">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765" w:type="pct"/>
                  <w:tcBorders>
                    <w:tl2br w:val="nil"/>
                    <w:tr2bl w:val="nil"/>
                  </w:tcBorders>
                  <w:vAlign w:val="center"/>
                </w:tcPr>
                <w:p w14:paraId="55D8C7F8">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南戴庄</w:t>
                  </w:r>
                </w:p>
              </w:tc>
              <w:tc>
                <w:tcPr>
                  <w:tcW w:w="399" w:type="pct"/>
                  <w:tcBorders>
                    <w:tl2br w:val="nil"/>
                    <w:tr2bl w:val="nil"/>
                  </w:tcBorders>
                  <w:vAlign w:val="center"/>
                </w:tcPr>
                <w:p w14:paraId="0D0A7279">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+120</w:t>
                  </w:r>
                </w:p>
              </w:tc>
              <w:tc>
                <w:tcPr>
                  <w:tcW w:w="426" w:type="pct"/>
                  <w:tcBorders>
                    <w:tl2br w:val="nil"/>
                    <w:tr2bl w:val="nil"/>
                  </w:tcBorders>
                  <w:vAlign w:val="center"/>
                </w:tcPr>
                <w:p w14:paraId="7D968CF2">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+190</w:t>
                  </w:r>
                </w:p>
              </w:tc>
              <w:tc>
                <w:tcPr>
                  <w:tcW w:w="575" w:type="pct"/>
                  <w:tcBorders>
                    <w:tl2br w:val="nil"/>
                    <w:tr2bl w:val="nil"/>
                  </w:tcBorders>
                  <w:vAlign w:val="center"/>
                </w:tcPr>
                <w:p w14:paraId="0B939DF8">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居民区</w:t>
                  </w:r>
                </w:p>
              </w:tc>
              <w:tc>
                <w:tcPr>
                  <w:tcW w:w="418" w:type="pct"/>
                  <w:vMerge w:val="continue"/>
                  <w:tcBorders>
                    <w:tl2br w:val="nil"/>
                    <w:tr2bl w:val="nil"/>
                  </w:tcBorders>
                  <w:vAlign w:val="center"/>
                </w:tcPr>
                <w:p w14:paraId="17BC1FFF">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14:paraId="14E788EC">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524" w:type="pct"/>
                  <w:tcBorders>
                    <w:tl2br w:val="nil"/>
                    <w:tr2bl w:val="nil"/>
                  </w:tcBorders>
                  <w:vAlign w:val="center"/>
                </w:tcPr>
                <w:p w14:paraId="7F840460">
                  <w:pPr>
                    <w:keepNext w:val="0"/>
                    <w:keepLines w:val="0"/>
                    <w:pageBreakBefore w:val="0"/>
                    <w:widowControl/>
                    <w:kinsoku/>
                    <w:wordWrap/>
                    <w:overflowPunct/>
                    <w:topLinePunct w:val="0"/>
                    <w:bidi w:val="0"/>
                    <w:adjustRightInd/>
                    <w:ind w:firstLine="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800</w:t>
                  </w:r>
                </w:p>
              </w:tc>
              <w:tc>
                <w:tcPr>
                  <w:tcW w:w="497" w:type="pct"/>
                  <w:tcBorders>
                    <w:tl2br w:val="nil"/>
                    <w:tr2bl w:val="nil"/>
                  </w:tcBorders>
                  <w:vAlign w:val="center"/>
                </w:tcPr>
                <w:p w14:paraId="02D73859">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NE</w:t>
                  </w:r>
                </w:p>
              </w:tc>
              <w:tc>
                <w:tcPr>
                  <w:tcW w:w="501" w:type="pct"/>
                  <w:tcBorders>
                    <w:tl2br w:val="nil"/>
                    <w:tr2bl w:val="nil"/>
                  </w:tcBorders>
                  <w:vAlign w:val="center"/>
                </w:tcPr>
                <w:p w14:paraId="1EEF440B">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220</w:t>
                  </w:r>
                </w:p>
              </w:tc>
            </w:tr>
            <w:tr w14:paraId="44C4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0C70ECBD">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765" w:type="pct"/>
                  <w:tcBorders>
                    <w:tl2br w:val="nil"/>
                    <w:tr2bl w:val="nil"/>
                  </w:tcBorders>
                  <w:vAlign w:val="center"/>
                </w:tcPr>
                <w:p w14:paraId="78B200A4">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金坛段玉裁初级中学</w:t>
                  </w:r>
                </w:p>
              </w:tc>
              <w:tc>
                <w:tcPr>
                  <w:tcW w:w="399" w:type="pct"/>
                  <w:tcBorders>
                    <w:tl2br w:val="nil"/>
                    <w:tr2bl w:val="nil"/>
                  </w:tcBorders>
                  <w:vAlign w:val="center"/>
                </w:tcPr>
                <w:p w14:paraId="5BBCCF9A">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+155</w:t>
                  </w:r>
                </w:p>
              </w:tc>
              <w:tc>
                <w:tcPr>
                  <w:tcW w:w="426" w:type="pct"/>
                  <w:tcBorders>
                    <w:tl2br w:val="nil"/>
                    <w:tr2bl w:val="nil"/>
                  </w:tcBorders>
                  <w:vAlign w:val="center"/>
                </w:tcPr>
                <w:p w14:paraId="7648BB37">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0</w:t>
                  </w:r>
                </w:p>
              </w:tc>
              <w:tc>
                <w:tcPr>
                  <w:tcW w:w="575" w:type="pct"/>
                  <w:tcBorders>
                    <w:tl2br w:val="nil"/>
                    <w:tr2bl w:val="nil"/>
                  </w:tcBorders>
                  <w:vAlign w:val="center"/>
                </w:tcPr>
                <w:p w14:paraId="6DADF96F">
                  <w:pPr>
                    <w:pStyle w:val="38"/>
                    <w:keepNext w:val="0"/>
                    <w:keepLines w:val="0"/>
                    <w:pageBreakBefore w:val="0"/>
                    <w:kinsoku/>
                    <w:wordWrap/>
                    <w:overflowPunct/>
                    <w:topLinePunct w:val="0"/>
                    <w:bidi w:val="0"/>
                    <w:adjustRightInd/>
                    <w:snapToGrid w:val="0"/>
                    <w:ind w:firstLine="0"/>
                    <w:jc w:val="center"/>
                    <w:rPr>
                      <w:rFonts w:hint="eastAsia"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学校</w:t>
                  </w:r>
                </w:p>
              </w:tc>
              <w:tc>
                <w:tcPr>
                  <w:tcW w:w="418" w:type="pct"/>
                  <w:vMerge w:val="continue"/>
                  <w:tcBorders>
                    <w:tl2br w:val="nil"/>
                    <w:tr2bl w:val="nil"/>
                  </w:tcBorders>
                  <w:vAlign w:val="center"/>
                </w:tcPr>
                <w:p w14:paraId="1928AFB0">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14:paraId="2BF29EDF">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524" w:type="pct"/>
                  <w:tcBorders>
                    <w:tl2br w:val="nil"/>
                    <w:tr2bl w:val="nil"/>
                  </w:tcBorders>
                  <w:vAlign w:val="center"/>
                </w:tcPr>
                <w:p w14:paraId="4ACB5005">
                  <w:pPr>
                    <w:keepNext w:val="0"/>
                    <w:keepLines w:val="0"/>
                    <w:pageBreakBefore w:val="0"/>
                    <w:widowControl/>
                    <w:kinsoku/>
                    <w:wordWrap/>
                    <w:overflowPunct/>
                    <w:topLinePunct w:val="0"/>
                    <w:bidi w:val="0"/>
                    <w:adjustRightInd/>
                    <w:ind w:firstLine="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2000</w:t>
                  </w:r>
                </w:p>
              </w:tc>
              <w:tc>
                <w:tcPr>
                  <w:tcW w:w="497" w:type="pct"/>
                  <w:tcBorders>
                    <w:tl2br w:val="nil"/>
                    <w:tr2bl w:val="nil"/>
                  </w:tcBorders>
                  <w:vAlign w:val="center"/>
                </w:tcPr>
                <w:p w14:paraId="2DFC627E">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E</w:t>
                  </w:r>
                </w:p>
              </w:tc>
              <w:tc>
                <w:tcPr>
                  <w:tcW w:w="501" w:type="pct"/>
                  <w:tcBorders>
                    <w:tl2br w:val="nil"/>
                    <w:tr2bl w:val="nil"/>
                  </w:tcBorders>
                  <w:vAlign w:val="center"/>
                </w:tcPr>
                <w:p w14:paraId="5F55F54A">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155</w:t>
                  </w:r>
                </w:p>
              </w:tc>
            </w:tr>
            <w:tr w14:paraId="39CC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4F33F722">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765" w:type="pct"/>
                  <w:tcBorders>
                    <w:tl2br w:val="nil"/>
                    <w:tr2bl w:val="nil"/>
                  </w:tcBorders>
                  <w:vAlign w:val="center"/>
                </w:tcPr>
                <w:p w14:paraId="162BAB84">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金坛段玉裁实验小学</w:t>
                  </w:r>
                </w:p>
              </w:tc>
              <w:tc>
                <w:tcPr>
                  <w:tcW w:w="399" w:type="pct"/>
                  <w:tcBorders>
                    <w:tl2br w:val="nil"/>
                    <w:tr2bl w:val="nil"/>
                  </w:tcBorders>
                  <w:vAlign w:val="center"/>
                </w:tcPr>
                <w:p w14:paraId="5FE82A62">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+155</w:t>
                  </w:r>
                </w:p>
              </w:tc>
              <w:tc>
                <w:tcPr>
                  <w:tcW w:w="426" w:type="pct"/>
                  <w:tcBorders>
                    <w:tl2br w:val="nil"/>
                    <w:tr2bl w:val="nil"/>
                  </w:tcBorders>
                  <w:vAlign w:val="center"/>
                </w:tcPr>
                <w:p w14:paraId="567887F5">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0</w:t>
                  </w:r>
                </w:p>
              </w:tc>
              <w:tc>
                <w:tcPr>
                  <w:tcW w:w="575" w:type="pct"/>
                  <w:tcBorders>
                    <w:tl2br w:val="nil"/>
                    <w:tr2bl w:val="nil"/>
                  </w:tcBorders>
                  <w:vAlign w:val="center"/>
                </w:tcPr>
                <w:p w14:paraId="49E8BC9D">
                  <w:pPr>
                    <w:pStyle w:val="38"/>
                    <w:keepNext w:val="0"/>
                    <w:keepLines w:val="0"/>
                    <w:pageBreakBefore w:val="0"/>
                    <w:kinsoku/>
                    <w:wordWrap/>
                    <w:overflowPunct/>
                    <w:topLinePunct w:val="0"/>
                    <w:bidi w:val="0"/>
                    <w:adjustRightInd/>
                    <w:snapToGrid w:val="0"/>
                    <w:ind w:firstLine="0"/>
                    <w:jc w:val="center"/>
                    <w:rPr>
                      <w:rFonts w:hint="eastAsia"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学校</w:t>
                  </w:r>
                </w:p>
              </w:tc>
              <w:tc>
                <w:tcPr>
                  <w:tcW w:w="418" w:type="pct"/>
                  <w:vMerge w:val="continue"/>
                  <w:tcBorders>
                    <w:tl2br w:val="nil"/>
                    <w:tr2bl w:val="nil"/>
                  </w:tcBorders>
                  <w:vAlign w:val="center"/>
                </w:tcPr>
                <w:p w14:paraId="054A1B5B">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14:paraId="0BCE2B33">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524" w:type="pct"/>
                  <w:tcBorders>
                    <w:tl2br w:val="nil"/>
                    <w:tr2bl w:val="nil"/>
                  </w:tcBorders>
                  <w:vAlign w:val="center"/>
                </w:tcPr>
                <w:p w14:paraId="263CD46F">
                  <w:pPr>
                    <w:keepNext w:val="0"/>
                    <w:keepLines w:val="0"/>
                    <w:pageBreakBefore w:val="0"/>
                    <w:widowControl/>
                    <w:kinsoku/>
                    <w:wordWrap/>
                    <w:overflowPunct/>
                    <w:topLinePunct w:val="0"/>
                    <w:bidi w:val="0"/>
                    <w:adjustRightInd/>
                    <w:ind w:firstLine="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2000</w:t>
                  </w:r>
                </w:p>
              </w:tc>
              <w:tc>
                <w:tcPr>
                  <w:tcW w:w="497" w:type="pct"/>
                  <w:tcBorders>
                    <w:tl2br w:val="nil"/>
                    <w:tr2bl w:val="nil"/>
                  </w:tcBorders>
                  <w:vAlign w:val="center"/>
                </w:tcPr>
                <w:p w14:paraId="08E2ADF3">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E</w:t>
                  </w:r>
                </w:p>
              </w:tc>
              <w:tc>
                <w:tcPr>
                  <w:tcW w:w="501" w:type="pct"/>
                  <w:tcBorders>
                    <w:tl2br w:val="nil"/>
                    <w:tr2bl w:val="nil"/>
                  </w:tcBorders>
                  <w:vAlign w:val="center"/>
                </w:tcPr>
                <w:p w14:paraId="4C04F3E8">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155</w:t>
                  </w:r>
                </w:p>
              </w:tc>
            </w:tr>
            <w:tr w14:paraId="02AF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451D907F">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765" w:type="pct"/>
                  <w:tcBorders>
                    <w:tl2br w:val="nil"/>
                    <w:tr2bl w:val="nil"/>
                  </w:tcBorders>
                  <w:vAlign w:val="center"/>
                </w:tcPr>
                <w:p w14:paraId="56C2141E">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金坛区新城金郡一期</w:t>
                  </w:r>
                </w:p>
              </w:tc>
              <w:tc>
                <w:tcPr>
                  <w:tcW w:w="399" w:type="pct"/>
                  <w:tcBorders>
                    <w:tl2br w:val="nil"/>
                    <w:tr2bl w:val="nil"/>
                  </w:tcBorders>
                  <w:vAlign w:val="center"/>
                </w:tcPr>
                <w:p w14:paraId="71A1F270">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+160</w:t>
                  </w:r>
                </w:p>
              </w:tc>
              <w:tc>
                <w:tcPr>
                  <w:tcW w:w="426" w:type="pct"/>
                  <w:tcBorders>
                    <w:tl2br w:val="nil"/>
                    <w:tr2bl w:val="nil"/>
                  </w:tcBorders>
                  <w:vAlign w:val="center"/>
                </w:tcPr>
                <w:p w14:paraId="7A9229F2">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-157</w:t>
                  </w:r>
                </w:p>
              </w:tc>
              <w:tc>
                <w:tcPr>
                  <w:tcW w:w="575" w:type="pct"/>
                  <w:tcBorders>
                    <w:tl2br w:val="nil"/>
                    <w:tr2bl w:val="nil"/>
                  </w:tcBorders>
                  <w:vAlign w:val="center"/>
                </w:tcPr>
                <w:p w14:paraId="4F1D045A">
                  <w:pPr>
                    <w:pStyle w:val="38"/>
                    <w:keepNext w:val="0"/>
                    <w:keepLines w:val="0"/>
                    <w:pageBreakBefore w:val="0"/>
                    <w:kinsoku/>
                    <w:wordWrap/>
                    <w:overflowPunct/>
                    <w:topLinePunct w:val="0"/>
                    <w:bidi w:val="0"/>
                    <w:adjustRightInd/>
                    <w:snapToGrid w:val="0"/>
                    <w:ind w:firstLine="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居民区</w:t>
                  </w:r>
                </w:p>
              </w:tc>
              <w:tc>
                <w:tcPr>
                  <w:tcW w:w="418" w:type="pct"/>
                  <w:vMerge w:val="continue"/>
                  <w:tcBorders>
                    <w:tl2br w:val="nil"/>
                    <w:tr2bl w:val="nil"/>
                  </w:tcBorders>
                  <w:vAlign w:val="center"/>
                </w:tcPr>
                <w:p w14:paraId="2216BB56">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14:paraId="47AB5237">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524" w:type="pct"/>
                  <w:tcBorders>
                    <w:tl2br w:val="nil"/>
                    <w:tr2bl w:val="nil"/>
                  </w:tcBorders>
                  <w:vAlign w:val="center"/>
                </w:tcPr>
                <w:p w14:paraId="396437BB">
                  <w:pPr>
                    <w:keepNext w:val="0"/>
                    <w:keepLines w:val="0"/>
                    <w:pageBreakBefore w:val="0"/>
                    <w:widowControl/>
                    <w:kinsoku/>
                    <w:wordWrap/>
                    <w:overflowPunct/>
                    <w:topLinePunct w:val="0"/>
                    <w:bidi w:val="0"/>
                    <w:adjustRightInd/>
                    <w:ind w:firstLine="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1500</w:t>
                  </w:r>
                </w:p>
              </w:tc>
              <w:tc>
                <w:tcPr>
                  <w:tcW w:w="497" w:type="pct"/>
                  <w:tcBorders>
                    <w:tl2br w:val="nil"/>
                    <w:tr2bl w:val="nil"/>
                  </w:tcBorders>
                  <w:vAlign w:val="center"/>
                </w:tcPr>
                <w:p w14:paraId="7F6110CB">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SE</w:t>
                  </w:r>
                </w:p>
              </w:tc>
              <w:tc>
                <w:tcPr>
                  <w:tcW w:w="501" w:type="pct"/>
                  <w:tcBorders>
                    <w:tl2br w:val="nil"/>
                    <w:tr2bl w:val="nil"/>
                  </w:tcBorders>
                  <w:vAlign w:val="center"/>
                </w:tcPr>
                <w:p w14:paraId="2C1D208A">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231</w:t>
                  </w:r>
                </w:p>
              </w:tc>
            </w:tr>
            <w:tr w14:paraId="21CA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59288204">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765" w:type="pct"/>
                  <w:tcBorders>
                    <w:tl2br w:val="nil"/>
                    <w:tr2bl w:val="nil"/>
                  </w:tcBorders>
                  <w:vAlign w:val="center"/>
                </w:tcPr>
                <w:p w14:paraId="4AFA05A5">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常州市金坛区金沙高级中学</w:t>
                  </w:r>
                </w:p>
              </w:tc>
              <w:tc>
                <w:tcPr>
                  <w:tcW w:w="399" w:type="pct"/>
                  <w:tcBorders>
                    <w:tl2br w:val="nil"/>
                    <w:tr2bl w:val="nil"/>
                  </w:tcBorders>
                  <w:vAlign w:val="center"/>
                </w:tcPr>
                <w:p w14:paraId="573D0016">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0</w:t>
                  </w:r>
                </w:p>
              </w:tc>
              <w:tc>
                <w:tcPr>
                  <w:tcW w:w="426" w:type="pct"/>
                  <w:tcBorders>
                    <w:tl2br w:val="nil"/>
                    <w:tr2bl w:val="nil"/>
                  </w:tcBorders>
                  <w:vAlign w:val="center"/>
                </w:tcPr>
                <w:p w14:paraId="494832DD">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-428</w:t>
                  </w:r>
                </w:p>
              </w:tc>
              <w:tc>
                <w:tcPr>
                  <w:tcW w:w="575" w:type="pct"/>
                  <w:tcBorders>
                    <w:tl2br w:val="nil"/>
                    <w:tr2bl w:val="nil"/>
                  </w:tcBorders>
                  <w:vAlign w:val="center"/>
                </w:tcPr>
                <w:p w14:paraId="2E3F682C">
                  <w:pPr>
                    <w:pStyle w:val="38"/>
                    <w:keepNext w:val="0"/>
                    <w:keepLines w:val="0"/>
                    <w:pageBreakBefore w:val="0"/>
                    <w:kinsoku/>
                    <w:wordWrap/>
                    <w:overflowPunct/>
                    <w:topLinePunct w:val="0"/>
                    <w:bidi w:val="0"/>
                    <w:adjustRightInd/>
                    <w:snapToGrid w:val="0"/>
                    <w:ind w:firstLine="0"/>
                    <w:jc w:val="center"/>
                    <w:rPr>
                      <w:rFonts w:hint="eastAsia"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学校</w:t>
                  </w:r>
                </w:p>
              </w:tc>
              <w:tc>
                <w:tcPr>
                  <w:tcW w:w="418" w:type="pct"/>
                  <w:vMerge w:val="continue"/>
                  <w:tcBorders>
                    <w:tl2br w:val="nil"/>
                    <w:tr2bl w:val="nil"/>
                  </w:tcBorders>
                  <w:vAlign w:val="center"/>
                </w:tcPr>
                <w:p w14:paraId="44965941">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14:paraId="0E96B5DD">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524" w:type="pct"/>
                  <w:tcBorders>
                    <w:tl2br w:val="nil"/>
                    <w:tr2bl w:val="nil"/>
                  </w:tcBorders>
                  <w:vAlign w:val="center"/>
                </w:tcPr>
                <w:p w14:paraId="27DF55D0">
                  <w:pPr>
                    <w:keepNext w:val="0"/>
                    <w:keepLines w:val="0"/>
                    <w:pageBreakBefore w:val="0"/>
                    <w:widowControl/>
                    <w:kinsoku/>
                    <w:wordWrap/>
                    <w:overflowPunct/>
                    <w:topLinePunct w:val="0"/>
                    <w:bidi w:val="0"/>
                    <w:adjustRightInd/>
                    <w:ind w:firstLine="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2680</w:t>
                  </w:r>
                </w:p>
              </w:tc>
              <w:tc>
                <w:tcPr>
                  <w:tcW w:w="497" w:type="pct"/>
                  <w:tcBorders>
                    <w:tl2br w:val="nil"/>
                    <w:tr2bl w:val="nil"/>
                  </w:tcBorders>
                  <w:vAlign w:val="center"/>
                </w:tcPr>
                <w:p w14:paraId="3E098861">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S</w:t>
                  </w:r>
                </w:p>
              </w:tc>
              <w:tc>
                <w:tcPr>
                  <w:tcW w:w="501" w:type="pct"/>
                  <w:tcBorders>
                    <w:tl2br w:val="nil"/>
                    <w:tr2bl w:val="nil"/>
                  </w:tcBorders>
                  <w:vAlign w:val="center"/>
                </w:tcPr>
                <w:p w14:paraId="76ABCEB6">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428</w:t>
                  </w:r>
                </w:p>
              </w:tc>
            </w:tr>
            <w:tr w14:paraId="109F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16BB056C">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765" w:type="pct"/>
                  <w:tcBorders>
                    <w:tl2br w:val="nil"/>
                    <w:tr2bl w:val="nil"/>
                  </w:tcBorders>
                  <w:vAlign w:val="center"/>
                </w:tcPr>
                <w:p w14:paraId="1856F3B3">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金沙苑</w:t>
                  </w:r>
                </w:p>
              </w:tc>
              <w:tc>
                <w:tcPr>
                  <w:tcW w:w="399" w:type="pct"/>
                  <w:tcBorders>
                    <w:tl2br w:val="nil"/>
                    <w:tr2bl w:val="nil"/>
                  </w:tcBorders>
                  <w:vAlign w:val="center"/>
                </w:tcPr>
                <w:p w14:paraId="67A437AF">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-39</w:t>
                  </w:r>
                </w:p>
              </w:tc>
              <w:tc>
                <w:tcPr>
                  <w:tcW w:w="426" w:type="pct"/>
                  <w:tcBorders>
                    <w:tl2br w:val="nil"/>
                    <w:tr2bl w:val="nil"/>
                  </w:tcBorders>
                  <w:vAlign w:val="center"/>
                </w:tcPr>
                <w:p w14:paraId="21B9F3C8">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-435</w:t>
                  </w:r>
                </w:p>
              </w:tc>
              <w:tc>
                <w:tcPr>
                  <w:tcW w:w="575" w:type="pct"/>
                  <w:tcBorders>
                    <w:tl2br w:val="nil"/>
                    <w:tr2bl w:val="nil"/>
                  </w:tcBorders>
                  <w:vAlign w:val="center"/>
                </w:tcPr>
                <w:p w14:paraId="42E0203E">
                  <w:pPr>
                    <w:pStyle w:val="38"/>
                    <w:keepNext w:val="0"/>
                    <w:keepLines w:val="0"/>
                    <w:pageBreakBefore w:val="0"/>
                    <w:kinsoku/>
                    <w:wordWrap/>
                    <w:overflowPunct/>
                    <w:topLinePunct w:val="0"/>
                    <w:bidi w:val="0"/>
                    <w:adjustRightInd/>
                    <w:snapToGrid w:val="0"/>
                    <w:ind w:firstLine="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居民区</w:t>
                  </w:r>
                </w:p>
              </w:tc>
              <w:tc>
                <w:tcPr>
                  <w:tcW w:w="418" w:type="pct"/>
                  <w:vMerge w:val="continue"/>
                  <w:tcBorders>
                    <w:tl2br w:val="nil"/>
                    <w:tr2bl w:val="nil"/>
                  </w:tcBorders>
                  <w:vAlign w:val="center"/>
                </w:tcPr>
                <w:p w14:paraId="57CC20F3">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14:paraId="1EB0C92F">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524" w:type="pct"/>
                  <w:tcBorders>
                    <w:tl2br w:val="nil"/>
                    <w:tr2bl w:val="nil"/>
                  </w:tcBorders>
                  <w:vAlign w:val="center"/>
                </w:tcPr>
                <w:p w14:paraId="34E6476E">
                  <w:pPr>
                    <w:keepNext w:val="0"/>
                    <w:keepLines w:val="0"/>
                    <w:pageBreakBefore w:val="0"/>
                    <w:widowControl/>
                    <w:kinsoku/>
                    <w:wordWrap/>
                    <w:overflowPunct/>
                    <w:topLinePunct w:val="0"/>
                    <w:bidi w:val="0"/>
                    <w:adjustRightInd/>
                    <w:ind w:firstLine="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1000</w:t>
                  </w:r>
                </w:p>
              </w:tc>
              <w:tc>
                <w:tcPr>
                  <w:tcW w:w="497" w:type="pct"/>
                  <w:tcBorders>
                    <w:tl2br w:val="nil"/>
                    <w:tr2bl w:val="nil"/>
                  </w:tcBorders>
                  <w:vAlign w:val="center"/>
                </w:tcPr>
                <w:p w14:paraId="1B6B8962">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SW</w:t>
                  </w:r>
                </w:p>
              </w:tc>
              <w:tc>
                <w:tcPr>
                  <w:tcW w:w="501" w:type="pct"/>
                  <w:tcBorders>
                    <w:tl2br w:val="nil"/>
                    <w:tr2bl w:val="nil"/>
                  </w:tcBorders>
                  <w:vAlign w:val="center"/>
                </w:tcPr>
                <w:p w14:paraId="56A1E60D">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435</w:t>
                  </w:r>
                </w:p>
              </w:tc>
            </w:tr>
            <w:tr w14:paraId="6931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Merge w:val="continue"/>
                  <w:tcBorders>
                    <w:tl2br w:val="nil"/>
                    <w:tr2bl w:val="nil"/>
                  </w:tcBorders>
                  <w:vAlign w:val="center"/>
                </w:tcPr>
                <w:p w14:paraId="58308ABB">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765" w:type="pct"/>
                  <w:tcBorders>
                    <w:tl2br w:val="nil"/>
                    <w:tr2bl w:val="nil"/>
                  </w:tcBorders>
                  <w:vAlign w:val="center"/>
                </w:tcPr>
                <w:p w14:paraId="58423F5C">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朱庄花苑</w:t>
                  </w:r>
                </w:p>
              </w:tc>
              <w:tc>
                <w:tcPr>
                  <w:tcW w:w="399" w:type="pct"/>
                  <w:tcBorders>
                    <w:tl2br w:val="nil"/>
                    <w:tr2bl w:val="nil"/>
                  </w:tcBorders>
                  <w:vAlign w:val="center"/>
                </w:tcPr>
                <w:p w14:paraId="00A00B40">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-310</w:t>
                  </w:r>
                </w:p>
              </w:tc>
              <w:tc>
                <w:tcPr>
                  <w:tcW w:w="426" w:type="pct"/>
                  <w:tcBorders>
                    <w:tl2br w:val="nil"/>
                    <w:tr2bl w:val="nil"/>
                  </w:tcBorders>
                  <w:vAlign w:val="center"/>
                </w:tcPr>
                <w:p w14:paraId="4FC4A559">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0</w:t>
                  </w:r>
                </w:p>
              </w:tc>
              <w:tc>
                <w:tcPr>
                  <w:tcW w:w="575" w:type="pct"/>
                  <w:tcBorders>
                    <w:tl2br w:val="nil"/>
                    <w:tr2bl w:val="nil"/>
                  </w:tcBorders>
                  <w:vAlign w:val="center"/>
                </w:tcPr>
                <w:p w14:paraId="68D21EA2">
                  <w:pPr>
                    <w:pStyle w:val="38"/>
                    <w:keepNext w:val="0"/>
                    <w:keepLines w:val="0"/>
                    <w:pageBreakBefore w:val="0"/>
                    <w:kinsoku/>
                    <w:wordWrap/>
                    <w:overflowPunct/>
                    <w:topLinePunct w:val="0"/>
                    <w:bidi w:val="0"/>
                    <w:adjustRightInd/>
                    <w:snapToGrid w:val="0"/>
                    <w:ind w:firstLine="0"/>
                    <w:jc w:val="center"/>
                    <w:rPr>
                      <w:rFonts w:hint="eastAsia"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居民区</w:t>
                  </w:r>
                </w:p>
              </w:tc>
              <w:tc>
                <w:tcPr>
                  <w:tcW w:w="418" w:type="pct"/>
                  <w:vMerge w:val="continue"/>
                  <w:tcBorders>
                    <w:tl2br w:val="nil"/>
                    <w:tr2bl w:val="nil"/>
                  </w:tcBorders>
                  <w:vAlign w:val="center"/>
                </w:tcPr>
                <w:p w14:paraId="57483336">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497" w:type="pct"/>
                  <w:vMerge w:val="continue"/>
                  <w:tcBorders>
                    <w:tl2br w:val="nil"/>
                    <w:tr2bl w:val="nil"/>
                  </w:tcBorders>
                  <w:vAlign w:val="center"/>
                </w:tcPr>
                <w:p w14:paraId="347E9A0A">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rPr>
                  </w:pPr>
                </w:p>
              </w:tc>
              <w:tc>
                <w:tcPr>
                  <w:tcW w:w="524" w:type="pct"/>
                  <w:tcBorders>
                    <w:tl2br w:val="nil"/>
                    <w:tr2bl w:val="nil"/>
                  </w:tcBorders>
                  <w:vAlign w:val="center"/>
                </w:tcPr>
                <w:p w14:paraId="227C11A7">
                  <w:pPr>
                    <w:keepNext w:val="0"/>
                    <w:keepLines w:val="0"/>
                    <w:pageBreakBefore w:val="0"/>
                    <w:widowControl/>
                    <w:kinsoku/>
                    <w:wordWrap/>
                    <w:overflowPunct/>
                    <w:topLinePunct w:val="0"/>
                    <w:bidi w:val="0"/>
                    <w:adjustRightInd/>
                    <w:ind w:firstLine="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2000</w:t>
                  </w:r>
                </w:p>
              </w:tc>
              <w:tc>
                <w:tcPr>
                  <w:tcW w:w="497" w:type="pct"/>
                  <w:tcBorders>
                    <w:tl2br w:val="nil"/>
                    <w:tr2bl w:val="nil"/>
                  </w:tcBorders>
                  <w:vAlign w:val="center"/>
                </w:tcPr>
                <w:p w14:paraId="297D29D1">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W</w:t>
                  </w:r>
                </w:p>
              </w:tc>
              <w:tc>
                <w:tcPr>
                  <w:tcW w:w="501" w:type="pct"/>
                  <w:tcBorders>
                    <w:tl2br w:val="nil"/>
                    <w:tr2bl w:val="nil"/>
                  </w:tcBorders>
                  <w:vAlign w:val="center"/>
                </w:tcPr>
                <w:p w14:paraId="7646779A">
                  <w:pPr>
                    <w:pStyle w:val="38"/>
                    <w:keepNext w:val="0"/>
                    <w:keepLines w:val="0"/>
                    <w:pageBreakBefore w:val="0"/>
                    <w:kinsoku/>
                    <w:wordWrap/>
                    <w:overflowPunct/>
                    <w:topLinePunct w:val="0"/>
                    <w:bidi w:val="0"/>
                    <w:adjustRightInd/>
                    <w:snapToGrid w:val="0"/>
                    <w:ind w:firstLine="0"/>
                    <w:jc w:val="center"/>
                    <w:rPr>
                      <w:rFonts w:hint="default" w:ascii="Times New Roman" w:hAnsi="Times New Roman" w:eastAsia="仿宋" w:cs="Times New Roman"/>
                      <w:color w:val="auto"/>
                      <w:sz w:val="21"/>
                      <w:szCs w:val="21"/>
                      <w:highlight w:val="none"/>
                      <w:lang w:val="en-US" w:eastAsia="zh-CN"/>
                    </w:rPr>
                  </w:pPr>
                  <w:r>
                    <w:rPr>
                      <w:rFonts w:hint="eastAsia" w:ascii="Times New Roman" w:eastAsia="仿宋" w:cs="Times New Roman"/>
                      <w:color w:val="auto"/>
                      <w:sz w:val="21"/>
                      <w:szCs w:val="21"/>
                      <w:highlight w:val="none"/>
                      <w:lang w:val="en-US" w:eastAsia="zh-CN"/>
                    </w:rPr>
                    <w:t>310</w:t>
                  </w:r>
                </w:p>
              </w:tc>
            </w:tr>
          </w:tbl>
          <w:p w14:paraId="5746B487">
            <w:pPr>
              <w:pStyle w:val="38"/>
              <w:keepNext w:val="0"/>
              <w:keepLines w:val="0"/>
              <w:pageBreakBefore w:val="0"/>
              <w:widowControl w:val="0"/>
              <w:kinsoku/>
              <w:wordWrap/>
              <w:overflowPunct/>
              <w:topLinePunct w:val="0"/>
              <w:bidi w:val="0"/>
              <w:snapToGrid/>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eastAsia="仿宋" w:cs="Times New Roman"/>
                <w:b/>
                <w:color w:val="auto"/>
                <w:sz w:val="21"/>
                <w:szCs w:val="21"/>
                <w:highlight w:val="none"/>
                <w:lang w:val="en-US" w:eastAsia="zh-CN"/>
              </w:rPr>
              <w:t>注：</w:t>
            </w:r>
            <w:r>
              <w:rPr>
                <w:rFonts w:hint="default" w:ascii="Times New Roman" w:hAnsi="Times New Roman" w:eastAsia="仿宋" w:cs="Times New Roman"/>
                <w:b/>
                <w:color w:val="auto"/>
                <w:sz w:val="21"/>
                <w:szCs w:val="21"/>
                <w:highlight w:val="none"/>
              </w:rPr>
              <w:t>坐标以本项目中心为原点</w:t>
            </w:r>
            <w:r>
              <w:rPr>
                <w:rFonts w:hint="eastAsia" w:ascii="Times New Roman" w:hAnsi="Times New Roman" w:eastAsia="仿宋" w:cs="Times New Roman"/>
                <w:b/>
                <w:color w:val="auto"/>
                <w:sz w:val="21"/>
                <w:szCs w:val="21"/>
                <w:highlight w:val="none"/>
                <w:lang w:eastAsia="zh-CN"/>
              </w:rPr>
              <w:t>。</w:t>
            </w:r>
            <w:r>
              <w:rPr>
                <w:rFonts w:hint="eastAsia" w:ascii="Times New Roman" w:hAnsi="Times New Roman" w:eastAsia="仿宋" w:cs="Times New Roman"/>
                <w:b/>
                <w:color w:val="auto"/>
                <w:sz w:val="21"/>
                <w:szCs w:val="21"/>
                <w:highlight w:val="none"/>
                <w:lang w:val="en-US" w:eastAsia="zh-CN"/>
              </w:rPr>
              <w:t>相对距离</w:t>
            </w:r>
            <w:r>
              <w:rPr>
                <w:rFonts w:hint="eastAsia" w:ascii="Times New Roman" w:hAnsi="Times New Roman" w:eastAsia="仿宋" w:cs="Times New Roman"/>
                <w:b/>
                <w:color w:val="auto"/>
                <w:sz w:val="21"/>
                <w:szCs w:val="21"/>
                <w:highlight w:val="none"/>
                <w:vertAlign w:val="superscript"/>
                <w:lang w:val="en-US" w:eastAsia="zh-CN"/>
              </w:rPr>
              <w:t>*</w:t>
            </w:r>
            <w:r>
              <w:rPr>
                <w:rFonts w:hint="eastAsia" w:ascii="Times New Roman" w:hAnsi="Times New Roman" w:eastAsia="仿宋" w:cs="Times New Roman"/>
                <w:b/>
                <w:color w:val="auto"/>
                <w:sz w:val="21"/>
                <w:szCs w:val="21"/>
                <w:highlight w:val="none"/>
                <w:lang w:val="en-US" w:eastAsia="zh-CN"/>
              </w:rPr>
              <w:t>均为边界——边界的距离。</w:t>
            </w:r>
          </w:p>
          <w:p w14:paraId="06D5D204">
            <w:pPr>
              <w:autoSpaceDE w:val="0"/>
              <w:autoSpaceDN w:val="0"/>
              <w:spacing w:line="360" w:lineRule="auto"/>
              <w:ind w:firstLine="480" w:firstLineChars="200"/>
              <w:jc w:val="left"/>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②地表水保护目标：</w:t>
            </w:r>
          </w:p>
          <w:p w14:paraId="62C44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w:t>
            </w:r>
            <w:r>
              <w:rPr>
                <w:rFonts w:hint="eastAsia" w:ascii="Times New Roman" w:hAnsi="Times New Roman" w:eastAsia="仿宋" w:cs="Times New Roman"/>
                <w:b/>
                <w:bCs/>
                <w:color w:val="auto"/>
                <w:kern w:val="0"/>
                <w:sz w:val="22"/>
                <w:szCs w:val="22"/>
                <w:highlight w:val="none"/>
                <w:lang w:val="en-US" w:eastAsia="zh-CN" w:bidi="ar-SA"/>
              </w:rPr>
              <w:t>7</w:t>
            </w:r>
            <w:r>
              <w:rPr>
                <w:rFonts w:hint="default" w:ascii="Times New Roman" w:hAnsi="Times New Roman" w:eastAsia="仿宋" w:cs="Times New Roman"/>
                <w:b/>
                <w:bCs/>
                <w:color w:val="auto"/>
                <w:kern w:val="0"/>
                <w:sz w:val="22"/>
                <w:szCs w:val="22"/>
                <w:highlight w:val="none"/>
                <w:lang w:val="en-US" w:eastAsia="zh-CN" w:bidi="ar-SA"/>
              </w:rPr>
              <w:t xml:space="preserve"> 地表水环境保护目标一览表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277"/>
              <w:gridCol w:w="563"/>
              <w:gridCol w:w="1923"/>
              <w:gridCol w:w="1625"/>
              <w:gridCol w:w="1889"/>
            </w:tblGrid>
            <w:tr w14:paraId="3814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4" w:type="pct"/>
                  <w:tcBorders>
                    <w:tl2br w:val="nil"/>
                    <w:tr2bl w:val="nil"/>
                  </w:tcBorders>
                  <w:vAlign w:val="center"/>
                </w:tcPr>
                <w:p w14:paraId="46DB5E61">
                  <w:pPr>
                    <w:pStyle w:val="109"/>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环境要素</w:t>
                  </w:r>
                </w:p>
              </w:tc>
              <w:tc>
                <w:tcPr>
                  <w:tcW w:w="771" w:type="pct"/>
                  <w:tcBorders>
                    <w:tl2br w:val="nil"/>
                    <w:tr2bl w:val="nil"/>
                  </w:tcBorders>
                  <w:vAlign w:val="center"/>
                </w:tcPr>
                <w:p w14:paraId="001140D9">
                  <w:pPr>
                    <w:pStyle w:val="109"/>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环境保护目标</w:t>
                  </w:r>
                </w:p>
              </w:tc>
              <w:tc>
                <w:tcPr>
                  <w:tcW w:w="340" w:type="pct"/>
                  <w:tcBorders>
                    <w:tl2br w:val="nil"/>
                    <w:tr2bl w:val="nil"/>
                  </w:tcBorders>
                  <w:vAlign w:val="center"/>
                </w:tcPr>
                <w:p w14:paraId="3B20B512">
                  <w:pPr>
                    <w:pStyle w:val="109"/>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方位</w:t>
                  </w:r>
                </w:p>
              </w:tc>
              <w:tc>
                <w:tcPr>
                  <w:tcW w:w="1161" w:type="pct"/>
                  <w:tcBorders>
                    <w:tl2br w:val="nil"/>
                    <w:tr2bl w:val="nil"/>
                  </w:tcBorders>
                  <w:vAlign w:val="center"/>
                </w:tcPr>
                <w:p w14:paraId="58E8D9A2">
                  <w:pPr>
                    <w:pStyle w:val="109"/>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距项目最近距离（m）</w:t>
                  </w:r>
                </w:p>
              </w:tc>
              <w:tc>
                <w:tcPr>
                  <w:tcW w:w="981" w:type="pct"/>
                  <w:tcBorders>
                    <w:tl2br w:val="nil"/>
                    <w:tr2bl w:val="nil"/>
                  </w:tcBorders>
                  <w:vAlign w:val="center"/>
                </w:tcPr>
                <w:p w14:paraId="2CB47CB7">
                  <w:pPr>
                    <w:pStyle w:val="109"/>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规模</w:t>
                  </w:r>
                </w:p>
              </w:tc>
              <w:tc>
                <w:tcPr>
                  <w:tcW w:w="1141" w:type="pct"/>
                  <w:tcBorders>
                    <w:tl2br w:val="nil"/>
                    <w:tr2bl w:val="nil"/>
                  </w:tcBorders>
                  <w:vAlign w:val="center"/>
                </w:tcPr>
                <w:p w14:paraId="3A328386">
                  <w:pPr>
                    <w:pStyle w:val="109"/>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环境功能</w:t>
                  </w:r>
                </w:p>
              </w:tc>
            </w:tr>
            <w:tr w14:paraId="749D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4" w:type="pct"/>
                  <w:vMerge w:val="restart"/>
                  <w:tcBorders>
                    <w:tl2br w:val="nil"/>
                    <w:tr2bl w:val="nil"/>
                  </w:tcBorders>
                  <w:vAlign w:val="center"/>
                </w:tcPr>
                <w:p w14:paraId="0D00B543">
                  <w:pPr>
                    <w:pStyle w:val="109"/>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水环境</w:t>
                  </w:r>
                </w:p>
              </w:tc>
              <w:tc>
                <w:tcPr>
                  <w:tcW w:w="771" w:type="pct"/>
                  <w:tcBorders>
                    <w:tl2br w:val="nil"/>
                    <w:tr2bl w:val="nil"/>
                  </w:tcBorders>
                  <w:shd w:val="clear" w:color="auto" w:fill="auto"/>
                  <w:vAlign w:val="center"/>
                </w:tcPr>
                <w:p w14:paraId="7B7BBE7F">
                  <w:pPr>
                    <w:keepNext w:val="0"/>
                    <w:keepLines w:val="0"/>
                    <w:widowControl/>
                    <w:suppressLineNumbers w:val="0"/>
                    <w:jc w:val="center"/>
                    <w:rPr>
                      <w:rFonts w:hint="eastAsia" w:ascii="Times New Roman" w:hAnsi="Times New Roman" w:eastAsia="仿宋" w:cs="Times New Roman"/>
                      <w:bCs/>
                      <w:snapToGrid w:val="0"/>
                      <w:color w:val="auto"/>
                      <w:kern w:val="0"/>
                      <w:sz w:val="21"/>
                      <w:szCs w:val="21"/>
                      <w:highlight w:val="none"/>
                      <w:lang w:val="en-US" w:eastAsia="zh-CN" w:bidi="ar-SA"/>
                    </w:rPr>
                  </w:pPr>
                  <w:r>
                    <w:rPr>
                      <w:rFonts w:hint="eastAsia" w:ascii="Times New Roman" w:hAnsi="Times New Roman" w:eastAsia="仿宋" w:cs="Times New Roman"/>
                      <w:bCs/>
                      <w:snapToGrid w:val="0"/>
                      <w:color w:val="auto"/>
                      <w:kern w:val="0"/>
                      <w:sz w:val="21"/>
                      <w:szCs w:val="21"/>
                      <w:highlight w:val="none"/>
                      <w:lang w:val="en-US" w:eastAsia="zh-CN" w:bidi="ar-SA"/>
                    </w:rPr>
                    <w:t>丹金</w:t>
                  </w:r>
                  <w:r>
                    <w:rPr>
                      <w:rFonts w:hint="default" w:ascii="Times New Roman" w:hAnsi="Times New Roman" w:eastAsia="仿宋" w:cs="Times New Roman"/>
                      <w:bCs/>
                      <w:snapToGrid w:val="0"/>
                      <w:color w:val="auto"/>
                      <w:kern w:val="0"/>
                      <w:sz w:val="21"/>
                      <w:szCs w:val="21"/>
                      <w:highlight w:val="none"/>
                      <w:lang w:val="en-US" w:eastAsia="zh-CN" w:bidi="ar-SA"/>
                    </w:rPr>
                    <w:t>溧漕河</w:t>
                  </w:r>
                </w:p>
              </w:tc>
              <w:tc>
                <w:tcPr>
                  <w:tcW w:w="340" w:type="pct"/>
                  <w:tcBorders>
                    <w:tl2br w:val="nil"/>
                    <w:tr2bl w:val="nil"/>
                  </w:tcBorders>
                  <w:shd w:val="clear" w:color="auto" w:fill="auto"/>
                  <w:vAlign w:val="center"/>
                </w:tcPr>
                <w:p w14:paraId="750A567A">
                  <w:pPr>
                    <w:pStyle w:val="109"/>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仿宋" w:cs="Times New Roman"/>
                      <w:bCs/>
                      <w:snapToGrid w:val="0"/>
                      <w:color w:val="auto"/>
                      <w:kern w:val="0"/>
                      <w:sz w:val="21"/>
                      <w:szCs w:val="21"/>
                      <w:highlight w:val="none"/>
                      <w:lang w:val="en-US" w:eastAsia="zh-CN" w:bidi="ar-SA"/>
                    </w:rPr>
                  </w:pPr>
                  <w:r>
                    <w:rPr>
                      <w:rFonts w:hint="eastAsia" w:eastAsia="仿宋" w:cs="Times New Roman"/>
                      <w:bCs/>
                      <w:snapToGrid w:val="0"/>
                      <w:color w:val="auto"/>
                      <w:kern w:val="0"/>
                      <w:sz w:val="21"/>
                      <w:szCs w:val="21"/>
                      <w:highlight w:val="none"/>
                      <w:lang w:val="en-US" w:eastAsia="zh-CN" w:bidi="ar-SA"/>
                    </w:rPr>
                    <w:t>W</w:t>
                  </w:r>
                </w:p>
              </w:tc>
              <w:tc>
                <w:tcPr>
                  <w:tcW w:w="1161" w:type="pct"/>
                  <w:tcBorders>
                    <w:tl2br w:val="nil"/>
                    <w:tr2bl w:val="nil"/>
                  </w:tcBorders>
                  <w:shd w:val="clear" w:color="auto" w:fill="auto"/>
                  <w:vAlign w:val="center"/>
                </w:tcPr>
                <w:p w14:paraId="6A03CA4E">
                  <w:pPr>
                    <w:pStyle w:val="109"/>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1660</w:t>
                  </w:r>
                </w:p>
              </w:tc>
              <w:tc>
                <w:tcPr>
                  <w:tcW w:w="981" w:type="pct"/>
                  <w:tcBorders>
                    <w:tl2br w:val="nil"/>
                    <w:tr2bl w:val="nil"/>
                  </w:tcBorders>
                  <w:shd w:val="clear" w:color="auto" w:fill="auto"/>
                  <w:vAlign w:val="center"/>
                </w:tcPr>
                <w:p w14:paraId="5632A420">
                  <w:pPr>
                    <w:pStyle w:val="109"/>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w:t>
                  </w:r>
                </w:p>
              </w:tc>
              <w:tc>
                <w:tcPr>
                  <w:tcW w:w="1141" w:type="pct"/>
                  <w:tcBorders>
                    <w:tl2br w:val="nil"/>
                    <w:tr2bl w:val="nil"/>
                  </w:tcBorders>
                  <w:vAlign w:val="center"/>
                </w:tcPr>
                <w:p w14:paraId="7FBE80BC">
                  <w:pPr>
                    <w:pStyle w:val="109"/>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防洪、排涝、供水、航运等</w:t>
                  </w:r>
                </w:p>
              </w:tc>
            </w:tr>
            <w:tr w14:paraId="1624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4" w:type="pct"/>
                  <w:vMerge w:val="continue"/>
                  <w:tcBorders>
                    <w:tl2br w:val="nil"/>
                    <w:tr2bl w:val="nil"/>
                  </w:tcBorders>
                  <w:vAlign w:val="center"/>
                </w:tcPr>
                <w:p w14:paraId="0B7F028A">
                  <w:pPr>
                    <w:pStyle w:val="109"/>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sz w:val="21"/>
                      <w:szCs w:val="21"/>
                      <w:highlight w:val="none"/>
                    </w:rPr>
                  </w:pPr>
                </w:p>
              </w:tc>
              <w:tc>
                <w:tcPr>
                  <w:tcW w:w="771" w:type="pct"/>
                  <w:tcBorders>
                    <w:tl2br w:val="nil"/>
                    <w:tr2bl w:val="nil"/>
                  </w:tcBorders>
                  <w:shd w:val="clear" w:color="auto" w:fill="auto"/>
                  <w:vAlign w:val="center"/>
                </w:tcPr>
                <w:p w14:paraId="703411D9">
                  <w:pPr>
                    <w:keepNext w:val="0"/>
                    <w:keepLines w:val="0"/>
                    <w:widowControl/>
                    <w:suppressLineNumbers w:val="0"/>
                    <w:jc w:val="center"/>
                    <w:rPr>
                      <w:rFonts w:hint="default" w:ascii="Times New Roman" w:hAnsi="Times New Roman" w:eastAsia="仿宋" w:cs="Times New Roman"/>
                      <w:bCs/>
                      <w:snapToGrid w:val="0"/>
                      <w:color w:val="auto"/>
                      <w:kern w:val="0"/>
                      <w:sz w:val="21"/>
                      <w:szCs w:val="21"/>
                      <w:highlight w:val="none"/>
                      <w:lang w:val="en-US" w:eastAsia="zh-CN" w:bidi="ar-SA"/>
                    </w:rPr>
                  </w:pPr>
                  <w:r>
                    <w:rPr>
                      <w:rFonts w:hint="eastAsia" w:eastAsia="仿宋" w:cs="Times New Roman"/>
                      <w:bCs/>
                      <w:snapToGrid w:val="0"/>
                      <w:color w:val="auto"/>
                      <w:kern w:val="0"/>
                      <w:sz w:val="21"/>
                      <w:szCs w:val="21"/>
                      <w:highlight w:val="none"/>
                      <w:lang w:val="en-US" w:eastAsia="zh-CN" w:bidi="ar-SA"/>
                    </w:rPr>
                    <w:t>钱资湖</w:t>
                  </w:r>
                </w:p>
              </w:tc>
              <w:tc>
                <w:tcPr>
                  <w:tcW w:w="340" w:type="pct"/>
                  <w:tcBorders>
                    <w:tl2br w:val="nil"/>
                    <w:tr2bl w:val="nil"/>
                  </w:tcBorders>
                  <w:shd w:val="clear" w:color="auto" w:fill="auto"/>
                  <w:vAlign w:val="center"/>
                </w:tcPr>
                <w:p w14:paraId="0B2CEB8F">
                  <w:pPr>
                    <w:pStyle w:val="109"/>
                    <w:keepNext w:val="0"/>
                    <w:keepLines w:val="0"/>
                    <w:pageBreakBefore w:val="0"/>
                    <w:widowControl w:val="0"/>
                    <w:kinsoku/>
                    <w:wordWrap/>
                    <w:overflowPunct/>
                    <w:topLinePunct w:val="0"/>
                    <w:autoSpaceDE/>
                    <w:autoSpaceDN/>
                    <w:bidi w:val="0"/>
                    <w:adjustRightInd/>
                    <w:jc w:val="center"/>
                    <w:textAlignment w:val="auto"/>
                    <w:rPr>
                      <w:rFonts w:hint="default" w:eastAsia="仿宋" w:cs="Times New Roman"/>
                      <w:bCs/>
                      <w:snapToGrid w:val="0"/>
                      <w:color w:val="auto"/>
                      <w:kern w:val="0"/>
                      <w:sz w:val="21"/>
                      <w:szCs w:val="21"/>
                      <w:highlight w:val="none"/>
                      <w:lang w:val="en-US" w:eastAsia="zh-CN" w:bidi="ar-SA"/>
                    </w:rPr>
                  </w:pPr>
                  <w:r>
                    <w:rPr>
                      <w:rFonts w:hint="eastAsia" w:eastAsia="仿宋" w:cs="Times New Roman"/>
                      <w:bCs/>
                      <w:snapToGrid w:val="0"/>
                      <w:color w:val="auto"/>
                      <w:kern w:val="0"/>
                      <w:sz w:val="21"/>
                      <w:szCs w:val="21"/>
                      <w:highlight w:val="none"/>
                      <w:lang w:val="en-US" w:eastAsia="zh-CN" w:bidi="ar-SA"/>
                    </w:rPr>
                    <w:t>S</w:t>
                  </w:r>
                </w:p>
              </w:tc>
              <w:tc>
                <w:tcPr>
                  <w:tcW w:w="1161" w:type="pct"/>
                  <w:tcBorders>
                    <w:tl2br w:val="nil"/>
                    <w:tr2bl w:val="nil"/>
                  </w:tcBorders>
                  <w:shd w:val="clear" w:color="auto" w:fill="auto"/>
                  <w:vAlign w:val="center"/>
                </w:tcPr>
                <w:p w14:paraId="2CE6D2A2">
                  <w:pPr>
                    <w:pStyle w:val="109"/>
                    <w:keepNext w:val="0"/>
                    <w:keepLines w:val="0"/>
                    <w:pageBreakBefore w:val="0"/>
                    <w:widowControl w:val="0"/>
                    <w:kinsoku/>
                    <w:wordWrap/>
                    <w:overflowPunct/>
                    <w:topLinePunct w:val="0"/>
                    <w:autoSpaceDE/>
                    <w:autoSpaceDN/>
                    <w:bidi w:val="0"/>
                    <w:adjustRightInd/>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1330</w:t>
                  </w:r>
                </w:p>
              </w:tc>
              <w:tc>
                <w:tcPr>
                  <w:tcW w:w="981" w:type="pct"/>
                  <w:tcBorders>
                    <w:tl2br w:val="nil"/>
                    <w:tr2bl w:val="nil"/>
                  </w:tcBorders>
                  <w:shd w:val="clear" w:color="auto" w:fill="auto"/>
                  <w:vAlign w:val="center"/>
                </w:tcPr>
                <w:p w14:paraId="40388815">
                  <w:pPr>
                    <w:pStyle w:val="109"/>
                    <w:keepNext w:val="0"/>
                    <w:keepLines w:val="0"/>
                    <w:pageBreakBefore w:val="0"/>
                    <w:widowControl w:val="0"/>
                    <w:kinsoku/>
                    <w:wordWrap/>
                    <w:overflowPunct/>
                    <w:topLinePunct w:val="0"/>
                    <w:autoSpaceDE/>
                    <w:autoSpaceDN/>
                    <w:bidi w:val="0"/>
                    <w:adjustRightInd/>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5.15平方公里</w:t>
                  </w:r>
                </w:p>
              </w:tc>
              <w:tc>
                <w:tcPr>
                  <w:tcW w:w="1141" w:type="pct"/>
                  <w:tcBorders>
                    <w:tl2br w:val="nil"/>
                    <w:tr2bl w:val="nil"/>
                  </w:tcBorders>
                  <w:vAlign w:val="center"/>
                </w:tcPr>
                <w:p w14:paraId="3385A04B">
                  <w:pPr>
                    <w:pStyle w:val="109"/>
                    <w:keepNext w:val="0"/>
                    <w:keepLines w:val="0"/>
                    <w:pageBreakBefore w:val="0"/>
                    <w:widowControl w:val="0"/>
                    <w:kinsoku/>
                    <w:wordWrap/>
                    <w:overflowPunct/>
                    <w:topLinePunct w:val="0"/>
                    <w:autoSpaceDE/>
                    <w:autoSpaceDN/>
                    <w:bidi w:val="0"/>
                    <w:adjustRightInd/>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行洪、排涝、引水、生态景观等</w:t>
                  </w:r>
                </w:p>
              </w:tc>
            </w:tr>
          </w:tbl>
          <w:p w14:paraId="0AA63A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③生态环境保护目标：</w:t>
            </w:r>
          </w:p>
          <w:p w14:paraId="3231AE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w:t>
            </w:r>
            <w:r>
              <w:rPr>
                <w:rFonts w:hint="eastAsia" w:ascii="Times New Roman" w:hAnsi="Times New Roman" w:eastAsia="仿宋" w:cs="Times New Roman"/>
                <w:b/>
                <w:bCs/>
                <w:color w:val="auto"/>
                <w:kern w:val="0"/>
                <w:sz w:val="22"/>
                <w:szCs w:val="22"/>
                <w:highlight w:val="none"/>
                <w:lang w:val="en-US" w:eastAsia="zh-CN" w:bidi="ar-SA"/>
              </w:rPr>
              <w:t xml:space="preserve">8 </w:t>
            </w:r>
            <w:r>
              <w:rPr>
                <w:rFonts w:hint="default" w:ascii="Times New Roman" w:hAnsi="Times New Roman" w:eastAsia="仿宋" w:cs="Times New Roman"/>
                <w:b/>
                <w:bCs/>
                <w:color w:val="auto"/>
                <w:kern w:val="0"/>
                <w:sz w:val="22"/>
                <w:szCs w:val="22"/>
                <w:highlight w:val="none"/>
                <w:lang w:val="en-US" w:eastAsia="zh-CN" w:bidi="ar-SA"/>
              </w:rPr>
              <w:t>生态环境保护一览表</w:t>
            </w: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749"/>
              <w:gridCol w:w="843"/>
              <w:gridCol w:w="1516"/>
              <w:gridCol w:w="1453"/>
              <w:gridCol w:w="1642"/>
            </w:tblGrid>
            <w:tr w14:paraId="6980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pct"/>
                  <w:vAlign w:val="center"/>
                </w:tcPr>
                <w:p w14:paraId="04022DCE">
                  <w:pPr>
                    <w:pStyle w:val="109"/>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sz w:val="21"/>
                      <w:szCs w:val="21"/>
                      <w:highlight w:val="none"/>
                    </w:rPr>
                    <w:t>环境要素</w:t>
                  </w:r>
                </w:p>
              </w:tc>
              <w:tc>
                <w:tcPr>
                  <w:tcW w:w="1056" w:type="pct"/>
                  <w:vAlign w:val="center"/>
                </w:tcPr>
                <w:p w14:paraId="48549F42">
                  <w:pPr>
                    <w:pStyle w:val="109"/>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sz w:val="21"/>
                      <w:szCs w:val="21"/>
                      <w:highlight w:val="none"/>
                    </w:rPr>
                    <w:t>环境保护目标</w:t>
                  </w:r>
                </w:p>
              </w:tc>
              <w:tc>
                <w:tcPr>
                  <w:tcW w:w="509" w:type="pct"/>
                  <w:vAlign w:val="center"/>
                </w:tcPr>
                <w:p w14:paraId="4F2C0B21">
                  <w:pPr>
                    <w:pStyle w:val="109"/>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sz w:val="21"/>
                      <w:szCs w:val="21"/>
                      <w:highlight w:val="none"/>
                    </w:rPr>
                    <w:t>方位</w:t>
                  </w:r>
                </w:p>
              </w:tc>
              <w:tc>
                <w:tcPr>
                  <w:tcW w:w="915" w:type="pct"/>
                  <w:vAlign w:val="center"/>
                </w:tcPr>
                <w:p w14:paraId="3F5DC70E">
                  <w:pPr>
                    <w:pStyle w:val="109"/>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sz w:val="21"/>
                      <w:szCs w:val="21"/>
                      <w:highlight w:val="none"/>
                    </w:rPr>
                    <w:t>距项目最近距离（m）</w:t>
                  </w:r>
                </w:p>
              </w:tc>
              <w:tc>
                <w:tcPr>
                  <w:tcW w:w="877" w:type="pct"/>
                  <w:vAlign w:val="center"/>
                </w:tcPr>
                <w:p w14:paraId="2B9DBB2C">
                  <w:pPr>
                    <w:pStyle w:val="109"/>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sz w:val="21"/>
                      <w:szCs w:val="21"/>
                      <w:highlight w:val="none"/>
                    </w:rPr>
                    <w:t>规模</w:t>
                  </w:r>
                </w:p>
              </w:tc>
              <w:tc>
                <w:tcPr>
                  <w:tcW w:w="991" w:type="pct"/>
                  <w:vAlign w:val="center"/>
                </w:tcPr>
                <w:p w14:paraId="5963C34E">
                  <w:pPr>
                    <w:pStyle w:val="109"/>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sz w:val="21"/>
                      <w:szCs w:val="21"/>
                      <w:highlight w:val="none"/>
                    </w:rPr>
                    <w:t>环境功能</w:t>
                  </w:r>
                </w:p>
              </w:tc>
            </w:tr>
            <w:tr w14:paraId="00F5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49" w:type="pct"/>
                  <w:vAlign w:val="center"/>
                </w:tcPr>
                <w:p w14:paraId="37978B54">
                  <w:pPr>
                    <w:pStyle w:val="109"/>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生态环境</w:t>
                  </w:r>
                </w:p>
              </w:tc>
              <w:tc>
                <w:tcPr>
                  <w:tcW w:w="1056" w:type="pct"/>
                  <w:vAlign w:val="center"/>
                </w:tcPr>
                <w:p w14:paraId="5D5AA0C9">
                  <w:pPr>
                    <w:pStyle w:val="109"/>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sz w:val="21"/>
                      <w:szCs w:val="21"/>
                      <w:highlight w:val="none"/>
                      <w:lang w:val="en-US" w:eastAsia="zh-CN"/>
                    </w:rPr>
                    <w:t>钱资荡</w:t>
                  </w:r>
                  <w:r>
                    <w:rPr>
                      <w:rFonts w:hint="default" w:ascii="Times New Roman" w:hAnsi="Times New Roman" w:eastAsia="仿宋" w:cs="Times New Roman"/>
                      <w:color w:val="auto"/>
                      <w:sz w:val="21"/>
                      <w:szCs w:val="21"/>
                      <w:highlight w:val="none"/>
                    </w:rPr>
                    <w:t>重要湿地</w:t>
                  </w:r>
                </w:p>
              </w:tc>
              <w:tc>
                <w:tcPr>
                  <w:tcW w:w="509" w:type="pct"/>
                  <w:vAlign w:val="center"/>
                </w:tcPr>
                <w:p w14:paraId="7256C3A8">
                  <w:pPr>
                    <w:pStyle w:val="109"/>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sz w:val="21"/>
                      <w:szCs w:val="21"/>
                      <w:highlight w:val="none"/>
                      <w:lang w:val="en-US" w:eastAsia="zh-CN"/>
                    </w:rPr>
                    <w:t>S</w:t>
                  </w:r>
                </w:p>
              </w:tc>
              <w:tc>
                <w:tcPr>
                  <w:tcW w:w="915" w:type="pct"/>
                  <w:vAlign w:val="center"/>
                </w:tcPr>
                <w:p w14:paraId="618A4F50">
                  <w:pPr>
                    <w:pStyle w:val="109"/>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sz w:val="21"/>
                      <w:szCs w:val="21"/>
                      <w:highlight w:val="none"/>
                      <w:lang w:val="en-US" w:eastAsia="zh-CN"/>
                    </w:rPr>
                    <w:t>1330</w:t>
                  </w:r>
                </w:p>
              </w:tc>
              <w:tc>
                <w:tcPr>
                  <w:tcW w:w="877" w:type="pct"/>
                  <w:vAlign w:val="center"/>
                </w:tcPr>
                <w:p w14:paraId="03D47FED">
                  <w:pPr>
                    <w:pStyle w:val="109"/>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sz w:val="21"/>
                      <w:szCs w:val="21"/>
                      <w:highlight w:val="none"/>
                      <w:lang w:val="en-US" w:eastAsia="zh-CN"/>
                    </w:rPr>
                    <w:t>5.15平方公里</w:t>
                  </w:r>
                </w:p>
              </w:tc>
              <w:tc>
                <w:tcPr>
                  <w:tcW w:w="991" w:type="pct"/>
                  <w:vAlign w:val="center"/>
                </w:tcPr>
                <w:p w14:paraId="537FF84E">
                  <w:pPr>
                    <w:pStyle w:val="109"/>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仿宋" w:cs="Times New Roman"/>
                      <w:color w:val="auto"/>
                      <w:kern w:val="0"/>
                      <w:sz w:val="21"/>
                      <w:szCs w:val="21"/>
                      <w:highlight w:val="none"/>
                      <w:lang w:val="en-US"/>
                    </w:rPr>
                  </w:pPr>
                  <w:r>
                    <w:rPr>
                      <w:rFonts w:hint="eastAsia" w:eastAsia="仿宋" w:cs="Times New Roman"/>
                      <w:color w:val="auto"/>
                      <w:sz w:val="21"/>
                      <w:szCs w:val="21"/>
                      <w:highlight w:val="none"/>
                      <w:lang w:val="en-US" w:eastAsia="zh-CN"/>
                    </w:rPr>
                    <w:t>湿地生态保护系统</w:t>
                  </w:r>
                </w:p>
              </w:tc>
            </w:tr>
          </w:tbl>
          <w:p w14:paraId="211C3B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④地下水环境保护目标：</w:t>
            </w:r>
          </w:p>
          <w:p w14:paraId="2631BC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rPr>
              <w:t>项目厂界外500米范围内无地下水集中式饮用水水源和热水、矿泉水、温泉等特殊地下水资源。</w:t>
            </w:r>
          </w:p>
          <w:p w14:paraId="4010C1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⑤声环境保护目标：</w:t>
            </w:r>
          </w:p>
          <w:p w14:paraId="101088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w:t>
            </w:r>
            <w:r>
              <w:rPr>
                <w:rFonts w:hint="eastAsia" w:ascii="Times New Roman" w:hAnsi="Times New Roman" w:eastAsia="仿宋" w:cs="Times New Roman"/>
                <w:b/>
                <w:bCs/>
                <w:color w:val="auto"/>
                <w:kern w:val="0"/>
                <w:sz w:val="22"/>
                <w:szCs w:val="22"/>
                <w:highlight w:val="none"/>
                <w:lang w:val="en-US" w:eastAsia="zh-CN" w:bidi="ar-SA"/>
              </w:rPr>
              <w:t>9 声</w:t>
            </w:r>
            <w:r>
              <w:rPr>
                <w:rFonts w:hint="default" w:ascii="Times New Roman" w:hAnsi="Times New Roman" w:eastAsia="仿宋" w:cs="Times New Roman"/>
                <w:b/>
                <w:bCs/>
                <w:color w:val="auto"/>
                <w:kern w:val="0"/>
                <w:sz w:val="22"/>
                <w:szCs w:val="22"/>
                <w:highlight w:val="none"/>
                <w:lang w:val="en-US" w:eastAsia="zh-CN" w:bidi="ar-SA"/>
              </w:rPr>
              <w:t>保护一览表</w:t>
            </w: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1400"/>
              <w:gridCol w:w="1400"/>
              <w:gridCol w:w="1400"/>
              <w:gridCol w:w="1400"/>
              <w:gridCol w:w="1340"/>
            </w:tblGrid>
            <w:tr w14:paraId="306C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14:paraId="24BCD9D0">
                  <w:pPr>
                    <w:pStyle w:val="109"/>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sz w:val="21"/>
                      <w:szCs w:val="21"/>
                      <w:highlight w:val="none"/>
                    </w:rPr>
                    <w:t>环境要素</w:t>
                  </w:r>
                </w:p>
              </w:tc>
              <w:tc>
                <w:tcPr>
                  <w:tcW w:w="845" w:type="pct"/>
                  <w:vAlign w:val="center"/>
                </w:tcPr>
                <w:p w14:paraId="2BE2A327">
                  <w:pPr>
                    <w:pStyle w:val="109"/>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sz w:val="21"/>
                      <w:szCs w:val="21"/>
                      <w:highlight w:val="none"/>
                    </w:rPr>
                    <w:t>环境保护目标</w:t>
                  </w:r>
                </w:p>
              </w:tc>
              <w:tc>
                <w:tcPr>
                  <w:tcW w:w="845" w:type="pct"/>
                  <w:vAlign w:val="center"/>
                </w:tcPr>
                <w:p w14:paraId="41EDC36A">
                  <w:pPr>
                    <w:pStyle w:val="109"/>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sz w:val="21"/>
                      <w:szCs w:val="21"/>
                      <w:highlight w:val="none"/>
                    </w:rPr>
                    <w:t>方位</w:t>
                  </w:r>
                </w:p>
              </w:tc>
              <w:tc>
                <w:tcPr>
                  <w:tcW w:w="845" w:type="pct"/>
                  <w:vAlign w:val="center"/>
                </w:tcPr>
                <w:p w14:paraId="0E5089CB">
                  <w:pPr>
                    <w:pStyle w:val="109"/>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sz w:val="21"/>
                      <w:szCs w:val="21"/>
                      <w:highlight w:val="none"/>
                    </w:rPr>
                    <w:t>距项目最近距离（m）</w:t>
                  </w:r>
                </w:p>
              </w:tc>
              <w:tc>
                <w:tcPr>
                  <w:tcW w:w="845" w:type="pct"/>
                  <w:vAlign w:val="center"/>
                </w:tcPr>
                <w:p w14:paraId="32EF899A">
                  <w:pPr>
                    <w:pStyle w:val="109"/>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sz w:val="21"/>
                      <w:szCs w:val="21"/>
                      <w:highlight w:val="none"/>
                    </w:rPr>
                    <w:t>规模</w:t>
                  </w:r>
                </w:p>
              </w:tc>
              <w:tc>
                <w:tcPr>
                  <w:tcW w:w="809" w:type="pct"/>
                  <w:vAlign w:val="center"/>
                </w:tcPr>
                <w:p w14:paraId="0547C611">
                  <w:pPr>
                    <w:pStyle w:val="109"/>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sz w:val="21"/>
                      <w:szCs w:val="21"/>
                      <w:highlight w:val="none"/>
                    </w:rPr>
                    <w:t>环境功能</w:t>
                  </w:r>
                </w:p>
              </w:tc>
            </w:tr>
            <w:tr w14:paraId="1957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808" w:type="pct"/>
                  <w:vAlign w:val="center"/>
                </w:tcPr>
                <w:p w14:paraId="0B241626">
                  <w:pPr>
                    <w:pStyle w:val="109"/>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sz w:val="21"/>
                      <w:szCs w:val="21"/>
                      <w:highlight w:val="none"/>
                      <w:lang w:val="en-US" w:eastAsia="zh-CN"/>
                    </w:rPr>
                    <w:t>声</w:t>
                  </w:r>
                  <w:r>
                    <w:rPr>
                      <w:rFonts w:hint="default" w:ascii="Times New Roman" w:hAnsi="Times New Roman" w:eastAsia="仿宋" w:cs="Times New Roman"/>
                      <w:color w:val="auto"/>
                      <w:sz w:val="21"/>
                      <w:szCs w:val="21"/>
                      <w:highlight w:val="none"/>
                    </w:rPr>
                    <w:t>环境</w:t>
                  </w:r>
                </w:p>
              </w:tc>
              <w:tc>
                <w:tcPr>
                  <w:tcW w:w="845" w:type="pct"/>
                  <w:vAlign w:val="center"/>
                </w:tcPr>
                <w:p w14:paraId="0F345B49">
                  <w:pPr>
                    <w:pStyle w:val="109"/>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金坛第一人民医院</w:t>
                  </w:r>
                </w:p>
              </w:tc>
              <w:tc>
                <w:tcPr>
                  <w:tcW w:w="845" w:type="pct"/>
                  <w:vAlign w:val="center"/>
                </w:tcPr>
                <w:p w14:paraId="65F103B0">
                  <w:pPr>
                    <w:pStyle w:val="109"/>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45" w:type="pct"/>
                  <w:vAlign w:val="center"/>
                </w:tcPr>
                <w:p w14:paraId="4C0924A8">
                  <w:pPr>
                    <w:pStyle w:val="109"/>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845" w:type="pct"/>
                  <w:vAlign w:val="center"/>
                </w:tcPr>
                <w:p w14:paraId="23496001">
                  <w:pPr>
                    <w:pStyle w:val="109"/>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6000</w:t>
                  </w:r>
                </w:p>
              </w:tc>
              <w:tc>
                <w:tcPr>
                  <w:tcW w:w="809" w:type="pct"/>
                  <w:vAlign w:val="center"/>
                </w:tcPr>
                <w:p w14:paraId="6F7FAC42">
                  <w:pPr>
                    <w:pStyle w:val="109"/>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sz w:val="21"/>
                      <w:szCs w:val="21"/>
                      <w:highlight w:val="none"/>
                      <w:lang w:val="en-US" w:eastAsia="zh-CN"/>
                    </w:rPr>
                    <w:t>1</w:t>
                  </w:r>
                  <w:r>
                    <w:rPr>
                      <w:rFonts w:hint="default" w:ascii="Times New Roman" w:hAnsi="Times New Roman" w:eastAsia="仿宋" w:cs="Times New Roman"/>
                      <w:color w:val="auto"/>
                      <w:sz w:val="21"/>
                      <w:szCs w:val="21"/>
                      <w:highlight w:val="none"/>
                    </w:rPr>
                    <w:t>类区</w:t>
                  </w:r>
                </w:p>
              </w:tc>
            </w:tr>
          </w:tbl>
          <w:p w14:paraId="25F1C211">
            <w:pPr>
              <w:adjustRightInd w:val="0"/>
              <w:snapToGrid w:val="0"/>
              <w:spacing w:line="360" w:lineRule="auto"/>
              <w:rPr>
                <w:rFonts w:hint="default" w:ascii="Times New Roman" w:hAnsi="Times New Roman" w:cs="Times New Roman"/>
                <w:b/>
                <w:color w:val="auto"/>
                <w:kern w:val="0"/>
                <w:sz w:val="24"/>
              </w:rPr>
            </w:pPr>
          </w:p>
        </w:tc>
      </w:tr>
      <w:tr w14:paraId="0AC70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51" w:type="dxa"/>
            <w:vAlign w:val="center"/>
          </w:tcPr>
          <w:p w14:paraId="0E32309A">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eastAsia="仿宋" w:cs="Times New Roman"/>
                <w:color w:val="auto"/>
                <w:kern w:val="0"/>
                <w:sz w:val="24"/>
                <w:szCs w:val="24"/>
                <w:highlight w:val="none"/>
                <w:lang w:val="en-US" w:eastAsia="zh-CN" w:bidi="ar-SA"/>
              </w:rPr>
              <w:t>污染物排放控制标准</w:t>
            </w:r>
          </w:p>
        </w:tc>
        <w:tc>
          <w:tcPr>
            <w:tcW w:w="8506" w:type="dxa"/>
          </w:tcPr>
          <w:p w14:paraId="45CE177F">
            <w:pPr>
              <w:autoSpaceDE w:val="0"/>
              <w:autoSpaceDN w:val="0"/>
              <w:spacing w:line="440" w:lineRule="exact"/>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1.废水</w:t>
            </w:r>
          </w:p>
          <w:p w14:paraId="334CAA4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本项目</w:t>
            </w:r>
            <w:r>
              <w:rPr>
                <w:rFonts w:hint="eastAsia" w:eastAsia="仿宋" w:cs="Times New Roman"/>
                <w:color w:val="auto"/>
                <w:kern w:val="0"/>
                <w:sz w:val="24"/>
                <w:szCs w:val="24"/>
                <w:highlight w:val="none"/>
                <w:lang w:val="en-US" w:eastAsia="zh-CN"/>
              </w:rPr>
              <w:t>施工期和营运期生活污水一并经院内废水处理设施预处理后排入</w:t>
            </w:r>
            <w:r>
              <w:rPr>
                <w:rFonts w:hint="eastAsia" w:eastAsia="仿宋" w:cs="Times New Roman"/>
                <w:color w:val="auto"/>
                <w:kern w:val="0"/>
                <w:sz w:val="24"/>
                <w:szCs w:val="24"/>
                <w:highlight w:val="none"/>
                <w:lang w:eastAsia="zh-CN"/>
              </w:rPr>
              <w:t>常州金坛区第</w:t>
            </w:r>
            <w:r>
              <w:rPr>
                <w:rFonts w:hint="eastAsia" w:eastAsia="仿宋" w:cs="Times New Roman"/>
                <w:color w:val="auto"/>
                <w:kern w:val="0"/>
                <w:sz w:val="24"/>
                <w:szCs w:val="24"/>
                <w:highlight w:val="none"/>
                <w:lang w:val="en-US" w:eastAsia="zh-CN"/>
              </w:rPr>
              <w:t>一</w:t>
            </w:r>
            <w:r>
              <w:rPr>
                <w:rFonts w:hint="eastAsia" w:eastAsia="仿宋" w:cs="Times New Roman"/>
                <w:color w:val="auto"/>
                <w:kern w:val="0"/>
                <w:sz w:val="24"/>
                <w:szCs w:val="24"/>
                <w:highlight w:val="none"/>
                <w:lang w:eastAsia="zh-CN"/>
              </w:rPr>
              <w:t>污水处理有限公司</w:t>
            </w:r>
            <w:r>
              <w:rPr>
                <w:rFonts w:hint="eastAsia" w:eastAsia="仿宋" w:cs="Times New Roman"/>
                <w:color w:val="auto"/>
                <w:kern w:val="0"/>
                <w:sz w:val="24"/>
                <w:szCs w:val="24"/>
                <w:highlight w:val="none"/>
                <w:lang w:val="en-US" w:eastAsia="zh-CN"/>
              </w:rPr>
              <w:t>进行处理；本项目病房及急诊废水排入院内污水处理站处理，生活废水经化粪池、食堂废水经隔油池预处理后排入院内污水处理站处理，均接管至金坛第一污水处理厂处理后排入丹金溧漕河。</w:t>
            </w:r>
          </w:p>
          <w:p w14:paraId="2F97E60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eastAsia" w:eastAsia="仿宋" w:cs="Times New Roman"/>
                <w:color w:val="auto"/>
                <w:kern w:val="0"/>
                <w:sz w:val="24"/>
                <w:szCs w:val="24"/>
                <w:highlight w:val="none"/>
                <w:lang w:val="en-US" w:eastAsia="zh-CN"/>
              </w:rPr>
              <w:t>经预处理后，各污染物浓度执行《医疗机构水污染物排放标准》（GB18466-2005）表2中预处理标准限值要求，其中NH</w:t>
            </w:r>
            <w:r>
              <w:rPr>
                <w:rFonts w:hint="eastAsia" w:eastAsia="仿宋" w:cs="Times New Roman"/>
                <w:color w:val="auto"/>
                <w:kern w:val="0"/>
                <w:sz w:val="24"/>
                <w:szCs w:val="24"/>
                <w:highlight w:val="none"/>
                <w:vertAlign w:val="subscript"/>
                <w:lang w:val="en-US" w:eastAsia="zh-CN"/>
              </w:rPr>
              <w:t>3</w:t>
            </w:r>
            <w:r>
              <w:rPr>
                <w:rFonts w:hint="eastAsia" w:eastAsia="仿宋" w:cs="Times New Roman"/>
                <w:color w:val="auto"/>
                <w:kern w:val="0"/>
                <w:sz w:val="24"/>
                <w:szCs w:val="24"/>
                <w:highlight w:val="none"/>
                <w:lang w:val="en-US" w:eastAsia="zh-CN"/>
              </w:rPr>
              <w:t>-N、TP、TN浓度执行《污水排入城镇下水道水质标准》（GB/T31962-2015）中相关标准。污水厂</w:t>
            </w:r>
            <w:r>
              <w:rPr>
                <w:rFonts w:hint="default" w:ascii="Times New Roman" w:hAnsi="Times New Roman" w:eastAsia="仿宋" w:cs="Times New Roman"/>
                <w:color w:val="auto"/>
                <w:kern w:val="0"/>
                <w:sz w:val="24"/>
                <w:szCs w:val="24"/>
                <w:highlight w:val="none"/>
              </w:rPr>
              <w:t>尾水排放执行《太湖地区城镇污水处理厂及重点工业行业主要水污染物排放限值》（DB32/1072-2018）和《城镇污水处理厂污染物排放标准》（DB4440-2022）表1一级A标准。具体见下表。</w:t>
            </w:r>
          </w:p>
          <w:p w14:paraId="01FE7A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w:t>
            </w:r>
            <w:r>
              <w:rPr>
                <w:rFonts w:hint="eastAsia" w:ascii="Times New Roman" w:hAnsi="Times New Roman" w:eastAsia="仿宋" w:cs="Times New Roman"/>
                <w:b/>
                <w:bCs/>
                <w:color w:val="auto"/>
                <w:kern w:val="0"/>
                <w:sz w:val="22"/>
                <w:szCs w:val="22"/>
                <w:highlight w:val="none"/>
                <w:lang w:val="en-US" w:eastAsia="zh-CN" w:bidi="ar-SA"/>
              </w:rPr>
              <w:t xml:space="preserve">10 </w:t>
            </w:r>
            <w:r>
              <w:rPr>
                <w:rFonts w:hint="default" w:ascii="Times New Roman" w:hAnsi="Times New Roman" w:eastAsia="仿宋" w:cs="Times New Roman"/>
                <w:b/>
                <w:bCs/>
                <w:color w:val="auto"/>
                <w:kern w:val="0"/>
                <w:sz w:val="22"/>
                <w:szCs w:val="22"/>
                <w:highlight w:val="none"/>
                <w:lang w:val="en-US" w:eastAsia="zh-CN" w:bidi="ar-SA"/>
              </w:rPr>
              <w:t>水污染物排放标准单位：mg/L</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1164"/>
              <w:gridCol w:w="1176"/>
              <w:gridCol w:w="1694"/>
              <w:gridCol w:w="3044"/>
            </w:tblGrid>
            <w:tr w14:paraId="5A14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Align w:val="center"/>
                </w:tcPr>
                <w:p w14:paraId="3651991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项目</w:t>
                  </w:r>
                </w:p>
              </w:tc>
              <w:tc>
                <w:tcPr>
                  <w:tcW w:w="703" w:type="pct"/>
                  <w:vAlign w:val="center"/>
                </w:tcPr>
                <w:p w14:paraId="64A0D5D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取值表号/级别</w:t>
                  </w:r>
                </w:p>
              </w:tc>
              <w:tc>
                <w:tcPr>
                  <w:tcW w:w="710" w:type="pct"/>
                  <w:vAlign w:val="center"/>
                </w:tcPr>
                <w:p w14:paraId="2144D0C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污染物名称</w:t>
                  </w:r>
                </w:p>
              </w:tc>
              <w:tc>
                <w:tcPr>
                  <w:tcW w:w="1023" w:type="pct"/>
                  <w:vAlign w:val="center"/>
                </w:tcPr>
                <w:p w14:paraId="2393E9F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浓度限值</w:t>
                  </w:r>
                </w:p>
              </w:tc>
              <w:tc>
                <w:tcPr>
                  <w:tcW w:w="1837" w:type="pct"/>
                  <w:vAlign w:val="center"/>
                </w:tcPr>
                <w:p w14:paraId="582471A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标准来源</w:t>
                  </w:r>
                </w:p>
              </w:tc>
            </w:tr>
            <w:tr w14:paraId="2CBF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restart"/>
                  <w:vAlign w:val="center"/>
                </w:tcPr>
                <w:p w14:paraId="26167B8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接管口</w:t>
                  </w:r>
                </w:p>
              </w:tc>
              <w:tc>
                <w:tcPr>
                  <w:tcW w:w="703" w:type="pct"/>
                  <w:vMerge w:val="restart"/>
                  <w:vAlign w:val="center"/>
                </w:tcPr>
                <w:p w14:paraId="7BD13862">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表</w:t>
                  </w:r>
                  <w:r>
                    <w:rPr>
                      <w:rFonts w:hint="eastAsia" w:eastAsia="仿宋" w:cs="Times New Roman"/>
                      <w:color w:val="auto"/>
                      <w:kern w:val="0"/>
                      <w:sz w:val="21"/>
                      <w:szCs w:val="21"/>
                      <w:highlight w:val="none"/>
                      <w:lang w:val="en-US" w:eastAsia="zh-CN"/>
                    </w:rPr>
                    <w:t>2</w:t>
                  </w:r>
                </w:p>
                <w:p w14:paraId="172E3E33">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综合性医疗机构预处理标准</w:t>
                  </w:r>
                </w:p>
              </w:tc>
              <w:tc>
                <w:tcPr>
                  <w:tcW w:w="710" w:type="pct"/>
                  <w:vAlign w:val="center"/>
                </w:tcPr>
                <w:p w14:paraId="31ACA8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pH</w:t>
                  </w:r>
                </w:p>
              </w:tc>
              <w:tc>
                <w:tcPr>
                  <w:tcW w:w="1023" w:type="pct"/>
                  <w:vAlign w:val="center"/>
                </w:tcPr>
                <w:p w14:paraId="7ECA12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6-9</w:t>
                  </w:r>
                  <w:r>
                    <w:rPr>
                      <w:rFonts w:hint="default" w:ascii="Times New Roman" w:hAnsi="Times New Roman" w:eastAsia="仿宋" w:cs="Times New Roman"/>
                      <w:color w:val="auto"/>
                      <w:kern w:val="0"/>
                      <w:sz w:val="21"/>
                      <w:szCs w:val="21"/>
                      <w:highlight w:val="none"/>
                    </w:rPr>
                    <w:t>（无量纲）</w:t>
                  </w:r>
                </w:p>
              </w:tc>
              <w:tc>
                <w:tcPr>
                  <w:tcW w:w="1837" w:type="pct"/>
                  <w:vMerge w:val="restart"/>
                  <w:vAlign w:val="center"/>
                </w:tcPr>
                <w:p w14:paraId="186F757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《医疗机构水污染物排放标准》（GB18466-2005）</w:t>
                  </w:r>
                </w:p>
              </w:tc>
            </w:tr>
            <w:tr w14:paraId="067A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7F68E4F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continue"/>
                  <w:vAlign w:val="center"/>
                </w:tcPr>
                <w:p w14:paraId="75648CB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0" w:type="pct"/>
                  <w:vAlign w:val="center"/>
                </w:tcPr>
                <w:p w14:paraId="307554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COD</w:t>
                  </w:r>
                </w:p>
              </w:tc>
              <w:tc>
                <w:tcPr>
                  <w:tcW w:w="1023" w:type="pct"/>
                  <w:vAlign w:val="center"/>
                </w:tcPr>
                <w:p w14:paraId="792DE2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250</w:t>
                  </w:r>
                </w:p>
              </w:tc>
              <w:tc>
                <w:tcPr>
                  <w:tcW w:w="1837" w:type="pct"/>
                  <w:vMerge w:val="continue"/>
                  <w:vAlign w:val="center"/>
                </w:tcPr>
                <w:p w14:paraId="6A50928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4C6E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23F087E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continue"/>
                  <w:vAlign w:val="center"/>
                </w:tcPr>
                <w:p w14:paraId="23D6B5B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0" w:type="pct"/>
                  <w:vAlign w:val="center"/>
                </w:tcPr>
                <w:p w14:paraId="17A91F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SS</w:t>
                  </w:r>
                </w:p>
              </w:tc>
              <w:tc>
                <w:tcPr>
                  <w:tcW w:w="1023" w:type="pct"/>
                  <w:vAlign w:val="center"/>
                </w:tcPr>
                <w:p w14:paraId="277365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60</w:t>
                  </w:r>
                </w:p>
              </w:tc>
              <w:tc>
                <w:tcPr>
                  <w:tcW w:w="1837" w:type="pct"/>
                  <w:vMerge w:val="continue"/>
                  <w:vAlign w:val="center"/>
                </w:tcPr>
                <w:p w14:paraId="78F87B5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10AC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1BB38E9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continue"/>
                  <w:vAlign w:val="center"/>
                </w:tcPr>
                <w:p w14:paraId="43E30D7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0" w:type="pct"/>
                  <w:vAlign w:val="center"/>
                </w:tcPr>
                <w:p w14:paraId="47D13E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动植物油</w:t>
                  </w:r>
                </w:p>
              </w:tc>
              <w:tc>
                <w:tcPr>
                  <w:tcW w:w="1023" w:type="pct"/>
                  <w:vAlign w:val="center"/>
                </w:tcPr>
                <w:p w14:paraId="1DA05C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w:t>
                  </w:r>
                </w:p>
              </w:tc>
              <w:tc>
                <w:tcPr>
                  <w:tcW w:w="1837" w:type="pct"/>
                  <w:vMerge w:val="continue"/>
                  <w:vAlign w:val="center"/>
                </w:tcPr>
                <w:p w14:paraId="25D3C22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7FA6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7D2FA88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continue"/>
                  <w:vAlign w:val="center"/>
                </w:tcPr>
                <w:p w14:paraId="0166F7E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0" w:type="pct"/>
                  <w:vAlign w:val="center"/>
                </w:tcPr>
                <w:p w14:paraId="7887D6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粪大肠菌群数</w:t>
                  </w:r>
                </w:p>
              </w:tc>
              <w:tc>
                <w:tcPr>
                  <w:tcW w:w="1023" w:type="pct"/>
                  <w:vAlign w:val="center"/>
                </w:tcPr>
                <w:p w14:paraId="7F4B3F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5000（个/L）</w:t>
                  </w:r>
                </w:p>
              </w:tc>
              <w:tc>
                <w:tcPr>
                  <w:tcW w:w="1837" w:type="pct"/>
                  <w:vMerge w:val="continue"/>
                  <w:vAlign w:val="center"/>
                </w:tcPr>
                <w:p w14:paraId="073A6B7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573E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6D59513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continue"/>
                  <w:vAlign w:val="center"/>
                </w:tcPr>
                <w:p w14:paraId="74C93B7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0" w:type="pct"/>
                  <w:vAlign w:val="center"/>
                </w:tcPr>
                <w:p w14:paraId="35A3EB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总余氯</w:t>
                  </w:r>
                </w:p>
              </w:tc>
              <w:tc>
                <w:tcPr>
                  <w:tcW w:w="1023" w:type="pct"/>
                  <w:vAlign w:val="center"/>
                </w:tcPr>
                <w:p w14:paraId="63E51E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2-8</w:t>
                  </w:r>
                </w:p>
              </w:tc>
              <w:tc>
                <w:tcPr>
                  <w:tcW w:w="1837" w:type="pct"/>
                  <w:vMerge w:val="continue"/>
                  <w:vAlign w:val="center"/>
                </w:tcPr>
                <w:p w14:paraId="7D0C494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4BA2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72D9A5B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restart"/>
                  <w:vAlign w:val="center"/>
                </w:tcPr>
                <w:p w14:paraId="13EB7FB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表1B等级</w:t>
                  </w:r>
                </w:p>
              </w:tc>
              <w:tc>
                <w:tcPr>
                  <w:tcW w:w="710" w:type="pct"/>
                  <w:vAlign w:val="center"/>
                </w:tcPr>
                <w:p w14:paraId="3116EF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NH</w:t>
                  </w:r>
                  <w:r>
                    <w:rPr>
                      <w:rFonts w:hint="default" w:ascii="Times New Roman" w:hAnsi="Times New Roman" w:eastAsia="仿宋" w:cs="Times New Roman"/>
                      <w:color w:val="auto"/>
                      <w:kern w:val="0"/>
                      <w:sz w:val="21"/>
                      <w:szCs w:val="21"/>
                      <w:highlight w:val="none"/>
                      <w:vertAlign w:val="subscript"/>
                    </w:rPr>
                    <w:t>3</w:t>
                  </w:r>
                  <w:r>
                    <w:rPr>
                      <w:rFonts w:hint="default" w:ascii="Times New Roman" w:hAnsi="Times New Roman" w:eastAsia="仿宋" w:cs="Times New Roman"/>
                      <w:color w:val="auto"/>
                      <w:kern w:val="0"/>
                      <w:sz w:val="21"/>
                      <w:szCs w:val="21"/>
                      <w:highlight w:val="none"/>
                    </w:rPr>
                    <w:t>-N</w:t>
                  </w:r>
                </w:p>
              </w:tc>
              <w:tc>
                <w:tcPr>
                  <w:tcW w:w="1023" w:type="pct"/>
                  <w:vAlign w:val="center"/>
                </w:tcPr>
                <w:p w14:paraId="52FF7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45</w:t>
                  </w:r>
                </w:p>
              </w:tc>
              <w:tc>
                <w:tcPr>
                  <w:tcW w:w="1837" w:type="pct"/>
                  <w:vMerge w:val="restart"/>
                  <w:vAlign w:val="center"/>
                </w:tcPr>
                <w:p w14:paraId="2E81668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《污水排入城镇下水道水质标准》（GB/T31962-2015）</w:t>
                  </w:r>
                </w:p>
              </w:tc>
            </w:tr>
            <w:tr w14:paraId="09C3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6896226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continue"/>
                  <w:vAlign w:val="center"/>
                </w:tcPr>
                <w:p w14:paraId="65987ED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0" w:type="pct"/>
                  <w:vAlign w:val="center"/>
                </w:tcPr>
                <w:p w14:paraId="186769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TN</w:t>
                  </w:r>
                </w:p>
              </w:tc>
              <w:tc>
                <w:tcPr>
                  <w:tcW w:w="1023" w:type="pct"/>
                  <w:vAlign w:val="center"/>
                </w:tcPr>
                <w:p w14:paraId="7FE60C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70</w:t>
                  </w:r>
                </w:p>
              </w:tc>
              <w:tc>
                <w:tcPr>
                  <w:tcW w:w="1837" w:type="pct"/>
                  <w:vMerge w:val="continue"/>
                  <w:vAlign w:val="center"/>
                </w:tcPr>
                <w:p w14:paraId="5072ADC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68D2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06003AC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continue"/>
                  <w:vAlign w:val="center"/>
                </w:tcPr>
                <w:p w14:paraId="215FDCF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0" w:type="pct"/>
                  <w:vAlign w:val="center"/>
                </w:tcPr>
                <w:p w14:paraId="1A1424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TP</w:t>
                  </w:r>
                </w:p>
              </w:tc>
              <w:tc>
                <w:tcPr>
                  <w:tcW w:w="1023" w:type="pct"/>
                  <w:vAlign w:val="center"/>
                </w:tcPr>
                <w:p w14:paraId="62ACB2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w:t>
                  </w:r>
                </w:p>
              </w:tc>
              <w:tc>
                <w:tcPr>
                  <w:tcW w:w="1837" w:type="pct"/>
                  <w:vMerge w:val="continue"/>
                  <w:vAlign w:val="center"/>
                </w:tcPr>
                <w:p w14:paraId="722293F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1D0E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restart"/>
                  <w:vAlign w:val="center"/>
                </w:tcPr>
                <w:p w14:paraId="65F7E13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eastAsia="zh-CN"/>
                    </w:rPr>
                    <w:t>常州金坛区第</w:t>
                  </w:r>
                  <w:r>
                    <w:rPr>
                      <w:rFonts w:hint="eastAsia" w:eastAsia="仿宋" w:cs="Times New Roman"/>
                      <w:color w:val="auto"/>
                      <w:kern w:val="0"/>
                      <w:sz w:val="21"/>
                      <w:szCs w:val="21"/>
                      <w:highlight w:val="none"/>
                      <w:lang w:val="en-US" w:eastAsia="zh-CN"/>
                    </w:rPr>
                    <w:t>一</w:t>
                  </w:r>
                  <w:r>
                    <w:rPr>
                      <w:rFonts w:hint="eastAsia" w:eastAsia="仿宋" w:cs="Times New Roman"/>
                      <w:color w:val="auto"/>
                      <w:kern w:val="0"/>
                      <w:sz w:val="21"/>
                      <w:szCs w:val="21"/>
                      <w:highlight w:val="none"/>
                      <w:lang w:eastAsia="zh-CN"/>
                    </w:rPr>
                    <w:t>污水处理有限公司</w:t>
                  </w:r>
                  <w:r>
                    <w:rPr>
                      <w:rFonts w:hint="default" w:ascii="Times New Roman" w:hAnsi="Times New Roman" w:eastAsia="仿宋" w:cs="Times New Roman"/>
                      <w:color w:val="auto"/>
                      <w:kern w:val="0"/>
                      <w:sz w:val="21"/>
                      <w:szCs w:val="21"/>
                      <w:highlight w:val="none"/>
                    </w:rPr>
                    <w:t>排口</w:t>
                  </w:r>
                </w:p>
              </w:tc>
              <w:tc>
                <w:tcPr>
                  <w:tcW w:w="703" w:type="pct"/>
                  <w:vMerge w:val="restart"/>
                  <w:vAlign w:val="center"/>
                </w:tcPr>
                <w:p w14:paraId="59E01632">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表1一级A标准</w:t>
                  </w:r>
                </w:p>
              </w:tc>
              <w:tc>
                <w:tcPr>
                  <w:tcW w:w="710" w:type="pct"/>
                  <w:vAlign w:val="center"/>
                </w:tcPr>
                <w:p w14:paraId="2AC2C4AE">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pH</w:t>
                  </w:r>
                </w:p>
              </w:tc>
              <w:tc>
                <w:tcPr>
                  <w:tcW w:w="1023" w:type="pct"/>
                  <w:vAlign w:val="center"/>
                </w:tcPr>
                <w:p w14:paraId="085B2EE0">
                  <w:pPr>
                    <w:pStyle w:val="10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sz w:val="21"/>
                      <w:szCs w:val="21"/>
                      <w:highlight w:val="none"/>
                      <w:lang w:val="en-US" w:eastAsia="zh-CN"/>
                    </w:rPr>
                    <w:t>6~9</w:t>
                  </w:r>
                </w:p>
              </w:tc>
              <w:tc>
                <w:tcPr>
                  <w:tcW w:w="1837" w:type="pct"/>
                  <w:vMerge w:val="restart"/>
                  <w:vAlign w:val="center"/>
                </w:tcPr>
                <w:p w14:paraId="399289AA">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sz w:val="21"/>
                      <w:szCs w:val="21"/>
                      <w:highlight w:val="none"/>
                      <w:lang w:val="en-US" w:eastAsia="zh-CN"/>
                    </w:rPr>
                    <w:t>《城镇污水处理厂污染物排放标准》（DB4440-2022）</w:t>
                  </w:r>
                </w:p>
              </w:tc>
            </w:tr>
            <w:tr w14:paraId="0548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7143A64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continue"/>
                  <w:vAlign w:val="center"/>
                </w:tcPr>
                <w:p w14:paraId="189129F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0" w:type="pct"/>
                  <w:vAlign w:val="center"/>
                </w:tcPr>
                <w:p w14:paraId="1CA5F13B">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SS</w:t>
                  </w:r>
                </w:p>
              </w:tc>
              <w:tc>
                <w:tcPr>
                  <w:tcW w:w="1023" w:type="pct"/>
                  <w:vAlign w:val="center"/>
                </w:tcPr>
                <w:p w14:paraId="458B29E8">
                  <w:pPr>
                    <w:pStyle w:val="109"/>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sz w:val="21"/>
                      <w:szCs w:val="21"/>
                      <w:highlight w:val="none"/>
                    </w:rPr>
                    <w:t>1</w:t>
                  </w:r>
                  <w:r>
                    <w:rPr>
                      <w:rFonts w:hint="eastAsia" w:eastAsia="仿宋" w:cs="Times New Roman"/>
                      <w:color w:val="auto"/>
                      <w:sz w:val="21"/>
                      <w:szCs w:val="21"/>
                      <w:highlight w:val="none"/>
                      <w:lang w:val="en-US" w:eastAsia="zh-CN"/>
                    </w:rPr>
                    <w:t>0</w:t>
                  </w:r>
                </w:p>
              </w:tc>
              <w:tc>
                <w:tcPr>
                  <w:tcW w:w="1837" w:type="pct"/>
                  <w:vMerge w:val="continue"/>
                  <w:vAlign w:val="center"/>
                </w:tcPr>
                <w:p w14:paraId="664F9A1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7969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2ABE229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continue"/>
                  <w:vAlign w:val="center"/>
                </w:tcPr>
                <w:p w14:paraId="1E2766C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0" w:type="pct"/>
                  <w:vAlign w:val="center"/>
                </w:tcPr>
                <w:p w14:paraId="3B3C525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动植物油</w:t>
                  </w:r>
                </w:p>
              </w:tc>
              <w:tc>
                <w:tcPr>
                  <w:tcW w:w="1023" w:type="pct"/>
                  <w:vAlign w:val="center"/>
                </w:tcPr>
                <w:p w14:paraId="7630A1E9">
                  <w:pPr>
                    <w:pStyle w:val="109"/>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c>
                <w:tcPr>
                  <w:tcW w:w="1837" w:type="pct"/>
                  <w:vMerge w:val="continue"/>
                  <w:vAlign w:val="center"/>
                </w:tcPr>
                <w:p w14:paraId="3FAB363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0B58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22FC544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continue"/>
                  <w:vAlign w:val="center"/>
                </w:tcPr>
                <w:p w14:paraId="02D0799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0" w:type="pct"/>
                  <w:vAlign w:val="center"/>
                </w:tcPr>
                <w:p w14:paraId="530706C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粪大肠菌群数</w:t>
                  </w:r>
                </w:p>
              </w:tc>
              <w:tc>
                <w:tcPr>
                  <w:tcW w:w="1023" w:type="pct"/>
                  <w:vAlign w:val="center"/>
                </w:tcPr>
                <w:p w14:paraId="6DA79124">
                  <w:pPr>
                    <w:pStyle w:val="10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1000</w:t>
                  </w:r>
                  <w:r>
                    <w:rPr>
                      <w:rFonts w:hint="eastAsia" w:eastAsia="仿宋" w:cs="Times New Roman"/>
                      <w:color w:val="auto"/>
                      <w:kern w:val="0"/>
                      <w:sz w:val="21"/>
                      <w:szCs w:val="21"/>
                      <w:highlight w:val="none"/>
                      <w:lang w:val="en-US" w:eastAsia="zh-CN"/>
                    </w:rPr>
                    <w:t>（个/L）</w:t>
                  </w:r>
                </w:p>
              </w:tc>
              <w:tc>
                <w:tcPr>
                  <w:tcW w:w="1837" w:type="pct"/>
                  <w:vMerge w:val="continue"/>
                  <w:vAlign w:val="center"/>
                </w:tcPr>
                <w:p w14:paraId="23B23DD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604F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480C585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restart"/>
                  <w:vAlign w:val="center"/>
                </w:tcPr>
                <w:p w14:paraId="5C95A40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表2城镇污水处理厂</w:t>
                  </w:r>
                </w:p>
              </w:tc>
              <w:tc>
                <w:tcPr>
                  <w:tcW w:w="710" w:type="pct"/>
                  <w:vAlign w:val="center"/>
                </w:tcPr>
                <w:p w14:paraId="26CD1D91">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COD</w:t>
                  </w:r>
                </w:p>
              </w:tc>
              <w:tc>
                <w:tcPr>
                  <w:tcW w:w="1023" w:type="pct"/>
                  <w:vAlign w:val="center"/>
                </w:tcPr>
                <w:p w14:paraId="6BA0D08D">
                  <w:pPr>
                    <w:pStyle w:val="10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50</w:t>
                  </w:r>
                </w:p>
              </w:tc>
              <w:tc>
                <w:tcPr>
                  <w:tcW w:w="1837" w:type="pct"/>
                  <w:vMerge w:val="restart"/>
                  <w:vAlign w:val="center"/>
                </w:tcPr>
                <w:p w14:paraId="3640FF0F">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《太湖地区城镇污水处理厂及重点工业行业主要水污染物排放限值》（DB32/1072-2018）</w:t>
                  </w:r>
                </w:p>
              </w:tc>
            </w:tr>
            <w:tr w14:paraId="2F11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058AF83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continue"/>
                  <w:vAlign w:val="center"/>
                </w:tcPr>
                <w:p w14:paraId="2D64B56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0" w:type="pct"/>
                  <w:vAlign w:val="center"/>
                </w:tcPr>
                <w:p w14:paraId="7583DBB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NH</w:t>
                  </w:r>
                  <w:r>
                    <w:rPr>
                      <w:rFonts w:hint="default" w:ascii="Times New Roman" w:hAnsi="Times New Roman" w:eastAsia="仿宋" w:cs="Times New Roman"/>
                      <w:color w:val="auto"/>
                      <w:kern w:val="0"/>
                      <w:sz w:val="21"/>
                      <w:szCs w:val="21"/>
                      <w:highlight w:val="none"/>
                      <w:vertAlign w:val="subscript"/>
                    </w:rPr>
                    <w:t>3</w:t>
                  </w:r>
                  <w:r>
                    <w:rPr>
                      <w:rFonts w:hint="default" w:ascii="Times New Roman" w:hAnsi="Times New Roman" w:eastAsia="仿宋" w:cs="Times New Roman"/>
                      <w:color w:val="auto"/>
                      <w:kern w:val="0"/>
                      <w:sz w:val="21"/>
                      <w:szCs w:val="21"/>
                      <w:highlight w:val="none"/>
                    </w:rPr>
                    <w:t>-N</w:t>
                  </w:r>
                </w:p>
              </w:tc>
              <w:tc>
                <w:tcPr>
                  <w:tcW w:w="1023" w:type="pct"/>
                  <w:vAlign w:val="center"/>
                </w:tcPr>
                <w:p w14:paraId="248F75AF">
                  <w:pPr>
                    <w:pStyle w:val="10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4（6）*</w:t>
                  </w:r>
                </w:p>
              </w:tc>
              <w:tc>
                <w:tcPr>
                  <w:tcW w:w="1837" w:type="pct"/>
                  <w:vMerge w:val="continue"/>
                  <w:vAlign w:val="center"/>
                </w:tcPr>
                <w:p w14:paraId="3283AE4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18F9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4" w:type="pct"/>
                  <w:vMerge w:val="continue"/>
                  <w:vAlign w:val="center"/>
                </w:tcPr>
                <w:p w14:paraId="62FBB13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continue"/>
                  <w:vAlign w:val="center"/>
                </w:tcPr>
                <w:p w14:paraId="6781CBE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0" w:type="pct"/>
                  <w:vAlign w:val="center"/>
                </w:tcPr>
                <w:p w14:paraId="5D4A9E3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TP</w:t>
                  </w:r>
                </w:p>
              </w:tc>
              <w:tc>
                <w:tcPr>
                  <w:tcW w:w="1023" w:type="pct"/>
                  <w:vAlign w:val="center"/>
                </w:tcPr>
                <w:p w14:paraId="23B27FA7">
                  <w:pPr>
                    <w:pStyle w:val="10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0.5</w:t>
                  </w:r>
                </w:p>
              </w:tc>
              <w:tc>
                <w:tcPr>
                  <w:tcW w:w="1837" w:type="pct"/>
                  <w:vMerge w:val="continue"/>
                  <w:vAlign w:val="center"/>
                </w:tcPr>
                <w:p w14:paraId="09BAD5A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3638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59FE206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Merge w:val="continue"/>
                  <w:vAlign w:val="center"/>
                </w:tcPr>
                <w:p w14:paraId="0FE9567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0" w:type="pct"/>
                  <w:vAlign w:val="center"/>
                </w:tcPr>
                <w:p w14:paraId="5325ECF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TN</w:t>
                  </w:r>
                </w:p>
              </w:tc>
              <w:tc>
                <w:tcPr>
                  <w:tcW w:w="1023" w:type="pct"/>
                  <w:vAlign w:val="center"/>
                </w:tcPr>
                <w:p w14:paraId="6330D558">
                  <w:pPr>
                    <w:pStyle w:val="10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 xml:space="preserve">12 (15) </w:t>
                  </w:r>
                  <w:r>
                    <w:rPr>
                      <w:rFonts w:hint="default" w:ascii="Times New Roman" w:hAnsi="Times New Roman" w:eastAsia="仿宋" w:cs="Times New Roman"/>
                      <w:color w:val="auto"/>
                      <w:sz w:val="21"/>
                      <w:szCs w:val="21"/>
                      <w:highlight w:val="none"/>
                    </w:rPr>
                    <w:t>*</w:t>
                  </w:r>
                </w:p>
              </w:tc>
              <w:tc>
                <w:tcPr>
                  <w:tcW w:w="1837" w:type="pct"/>
                  <w:vMerge w:val="continue"/>
                  <w:vAlign w:val="center"/>
                </w:tcPr>
                <w:p w14:paraId="2633D39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4AA9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vAlign w:val="center"/>
                </w:tcPr>
                <w:p w14:paraId="522D3A2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03" w:type="pct"/>
                  <w:vAlign w:val="center"/>
                </w:tcPr>
                <w:p w14:paraId="3753BDC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表2一级标准</w:t>
                  </w:r>
                </w:p>
              </w:tc>
              <w:tc>
                <w:tcPr>
                  <w:tcW w:w="710" w:type="pct"/>
                  <w:vAlign w:val="center"/>
                </w:tcPr>
                <w:p w14:paraId="2AA7A311">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总余氯</w:t>
                  </w:r>
                </w:p>
              </w:tc>
              <w:tc>
                <w:tcPr>
                  <w:tcW w:w="1023" w:type="pct"/>
                  <w:vAlign w:val="center"/>
                </w:tcPr>
                <w:p w14:paraId="10A97440">
                  <w:pPr>
                    <w:pStyle w:val="10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0.5</w:t>
                  </w:r>
                </w:p>
              </w:tc>
              <w:tc>
                <w:tcPr>
                  <w:tcW w:w="1837" w:type="pct"/>
                  <w:vAlign w:val="center"/>
                </w:tcPr>
                <w:p w14:paraId="3070808B">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仿宋" w:cs="Times New Roman"/>
                      <w:color w:val="auto"/>
                      <w:kern w:val="0"/>
                      <w:sz w:val="21"/>
                      <w:szCs w:val="21"/>
                      <w:highlight w:val="none"/>
                      <w:lang w:eastAsia="zh-CN"/>
                    </w:rPr>
                  </w:pPr>
                  <w:r>
                    <w:rPr>
                      <w:rFonts w:hint="eastAsia" w:eastAsia="仿宋" w:cs="Times New Roman"/>
                      <w:color w:val="auto"/>
                      <w:kern w:val="0"/>
                      <w:sz w:val="21"/>
                      <w:szCs w:val="21"/>
                      <w:highlight w:val="none"/>
                      <w:lang w:eastAsia="zh-CN"/>
                    </w:rPr>
                    <w:t>《</w:t>
                  </w:r>
                  <w:r>
                    <w:rPr>
                      <w:rFonts w:hint="eastAsia" w:eastAsia="仿宋" w:cs="Times New Roman"/>
                      <w:color w:val="auto"/>
                      <w:kern w:val="0"/>
                      <w:sz w:val="21"/>
                      <w:szCs w:val="21"/>
                      <w:highlight w:val="none"/>
                      <w:lang w:val="en-US" w:eastAsia="zh-CN"/>
                    </w:rPr>
                    <w:t>污水综合排放标准</w:t>
                  </w:r>
                  <w:r>
                    <w:rPr>
                      <w:rFonts w:hint="eastAsia" w:eastAsia="仿宋" w:cs="Times New Roman"/>
                      <w:color w:val="auto"/>
                      <w:kern w:val="0"/>
                      <w:sz w:val="21"/>
                      <w:szCs w:val="21"/>
                      <w:highlight w:val="none"/>
                      <w:lang w:eastAsia="zh-CN"/>
                    </w:rPr>
                    <w:t>》（</w:t>
                  </w:r>
                  <w:r>
                    <w:rPr>
                      <w:rFonts w:hint="eastAsia" w:eastAsia="仿宋" w:cs="Times New Roman"/>
                      <w:color w:val="auto"/>
                      <w:kern w:val="0"/>
                      <w:sz w:val="21"/>
                      <w:szCs w:val="21"/>
                      <w:highlight w:val="none"/>
                      <w:lang w:val="en-US" w:eastAsia="zh-CN"/>
                    </w:rPr>
                    <w:t>GB8978-1996</w:t>
                  </w:r>
                  <w:r>
                    <w:rPr>
                      <w:rFonts w:hint="eastAsia" w:eastAsia="仿宋" w:cs="Times New Roman"/>
                      <w:color w:val="auto"/>
                      <w:kern w:val="0"/>
                      <w:sz w:val="21"/>
                      <w:szCs w:val="21"/>
                      <w:highlight w:val="none"/>
                      <w:lang w:eastAsia="zh-CN"/>
                    </w:rPr>
                    <w:t>）</w:t>
                  </w:r>
                </w:p>
              </w:tc>
            </w:tr>
          </w:tbl>
          <w:p w14:paraId="631F6E65">
            <w:pPr>
              <w:pStyle w:val="38"/>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注：①括号外数值为水温＞12℃时的控制指标，括号内数值为水温≤12℃时的控制指标。</w:t>
            </w:r>
          </w:p>
          <w:p w14:paraId="31366953">
            <w:pPr>
              <w:numPr>
                <w:ilvl w:val="0"/>
                <w:numId w:val="4"/>
              </w:numPr>
              <w:autoSpaceDE w:val="0"/>
              <w:autoSpaceDN w:val="0"/>
              <w:spacing w:line="440" w:lineRule="exact"/>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废气</w:t>
            </w:r>
          </w:p>
          <w:p w14:paraId="3600BCAB">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施工期</w:t>
            </w:r>
          </w:p>
          <w:p w14:paraId="0A240BD2">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本项目施工期</w:t>
            </w:r>
            <w:r>
              <w:rPr>
                <w:rFonts w:hint="eastAsia" w:ascii="Times New Roman" w:hAnsi="Times New Roman" w:eastAsia="仿宋" w:cs="Times New Roman"/>
                <w:color w:val="auto"/>
                <w:kern w:val="2"/>
                <w:sz w:val="24"/>
                <w:szCs w:val="24"/>
                <w:highlight w:val="none"/>
                <w:lang w:val="en-US" w:eastAsia="zh-CN" w:bidi="ar-SA"/>
              </w:rPr>
              <w:t>废气执行江苏省《施工场地扬尘排放标准》(DB32/4437-2022)</w:t>
            </w:r>
            <w:r>
              <w:rPr>
                <w:rFonts w:hint="eastAsia" w:ascii="Times New Roman" w:eastAsia="仿宋" w:cs="Times New Roman"/>
                <w:color w:val="auto"/>
                <w:kern w:val="2"/>
                <w:sz w:val="24"/>
                <w:szCs w:val="24"/>
                <w:highlight w:val="none"/>
                <w:lang w:val="en-US" w:eastAsia="zh-CN" w:bidi="ar-SA"/>
              </w:rPr>
              <w:t>表1</w:t>
            </w:r>
            <w:r>
              <w:rPr>
                <w:rFonts w:hint="eastAsia" w:ascii="Times New Roman" w:hAnsi="Times New Roman" w:eastAsia="仿宋" w:cs="Times New Roman"/>
                <w:color w:val="auto"/>
                <w:kern w:val="2"/>
                <w:sz w:val="24"/>
                <w:szCs w:val="24"/>
                <w:highlight w:val="none"/>
                <w:lang w:val="en-US" w:eastAsia="zh-CN" w:bidi="ar-SA"/>
              </w:rPr>
              <w:t>中排放限值，详情见下表</w:t>
            </w:r>
            <w:r>
              <w:rPr>
                <w:rFonts w:hint="eastAsia" w:ascii="仿宋" w:hAnsi="仿宋" w:eastAsia="仿宋" w:cs="仿宋"/>
                <w:color w:val="auto"/>
                <w:sz w:val="24"/>
                <w:szCs w:val="24"/>
                <w:highlight w:val="none"/>
                <w:lang w:val="en-US" w:eastAsia="zh-CN"/>
              </w:rPr>
              <w:t>。</w:t>
            </w:r>
          </w:p>
          <w:p w14:paraId="2B3955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bCs/>
                <w:color w:val="auto"/>
                <w:kern w:val="0"/>
                <w:sz w:val="22"/>
                <w:szCs w:val="22"/>
                <w:highlight w:val="none"/>
                <w:lang w:val="en-US" w:eastAsia="zh-CN" w:bidi="ar-SA"/>
              </w:rPr>
            </w:pPr>
            <w:r>
              <w:rPr>
                <w:rFonts w:hint="eastAsia" w:ascii="Times New Roman" w:hAnsi="Times New Roman" w:eastAsia="仿宋" w:cs="Times New Roman"/>
                <w:b/>
                <w:bCs/>
                <w:color w:val="auto"/>
                <w:kern w:val="0"/>
                <w:sz w:val="22"/>
                <w:szCs w:val="22"/>
                <w:highlight w:val="none"/>
                <w:lang w:val="en-US" w:eastAsia="zh-CN" w:bidi="ar-SA"/>
              </w:rPr>
              <w:t>表3-11 施工期大气污染物排放一览表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7"/>
              <w:gridCol w:w="5430"/>
            </w:tblGrid>
            <w:tr w14:paraId="04A2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vAlign w:val="center"/>
                </w:tcPr>
                <w:p w14:paraId="0D129BA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监测项目</w:t>
                  </w:r>
                </w:p>
              </w:tc>
              <w:tc>
                <w:tcPr>
                  <w:tcW w:w="3279" w:type="pct"/>
                  <w:vAlign w:val="center"/>
                </w:tcPr>
                <w:p w14:paraId="010C4BA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eastAsia="仿宋" w:cs="Times New Roman"/>
                      <w:b/>
                      <w:bCs/>
                      <w:color w:val="auto"/>
                      <w:kern w:val="0"/>
                      <w:sz w:val="21"/>
                      <w:szCs w:val="21"/>
                      <w:highlight w:val="none"/>
                      <w:lang w:val="en-US" w:eastAsia="zh-CN"/>
                    </w:rPr>
                    <w:t>浓度限值/（μg/m</w:t>
                  </w:r>
                  <w:r>
                    <w:rPr>
                      <w:rFonts w:hint="eastAsia" w:eastAsia="仿宋" w:cs="Times New Roman"/>
                      <w:b/>
                      <w:bCs/>
                      <w:color w:val="auto"/>
                      <w:kern w:val="0"/>
                      <w:sz w:val="21"/>
                      <w:szCs w:val="21"/>
                      <w:highlight w:val="none"/>
                      <w:vertAlign w:val="superscript"/>
                      <w:lang w:val="en-US" w:eastAsia="zh-CN"/>
                    </w:rPr>
                    <w:t>3</w:t>
                  </w:r>
                  <w:r>
                    <w:rPr>
                      <w:rFonts w:hint="eastAsia" w:eastAsia="仿宋" w:cs="Times New Roman"/>
                      <w:b/>
                      <w:bCs/>
                      <w:color w:val="auto"/>
                      <w:kern w:val="0"/>
                      <w:sz w:val="21"/>
                      <w:szCs w:val="21"/>
                      <w:highlight w:val="none"/>
                      <w:lang w:val="en-US" w:eastAsia="zh-CN"/>
                    </w:rPr>
                    <w:t>）</w:t>
                  </w:r>
                </w:p>
              </w:tc>
            </w:tr>
            <w:tr w14:paraId="01F5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vAlign w:val="center"/>
                </w:tcPr>
                <w:p w14:paraId="09B8DA7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TSP</w:t>
                  </w:r>
                  <w:r>
                    <w:rPr>
                      <w:rFonts w:hint="eastAsia" w:eastAsia="仿宋" w:cs="Times New Roman"/>
                      <w:color w:val="auto"/>
                      <w:kern w:val="0"/>
                      <w:sz w:val="21"/>
                      <w:szCs w:val="21"/>
                      <w:highlight w:val="none"/>
                      <w:vertAlign w:val="superscript"/>
                      <w:lang w:val="en-US" w:eastAsia="zh-CN"/>
                    </w:rPr>
                    <w:t>a</w:t>
                  </w:r>
                </w:p>
              </w:tc>
              <w:tc>
                <w:tcPr>
                  <w:tcW w:w="3279" w:type="pct"/>
                  <w:vAlign w:val="center"/>
                </w:tcPr>
                <w:p w14:paraId="493F19B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500</w:t>
                  </w:r>
                </w:p>
              </w:tc>
            </w:tr>
            <w:tr w14:paraId="68CC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pct"/>
                  <w:vAlign w:val="center"/>
                </w:tcPr>
                <w:p w14:paraId="7689777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PM</w:t>
                  </w:r>
                  <w:r>
                    <w:rPr>
                      <w:rFonts w:hint="eastAsia" w:eastAsia="仿宋" w:cs="Times New Roman"/>
                      <w:color w:val="auto"/>
                      <w:kern w:val="0"/>
                      <w:sz w:val="21"/>
                      <w:szCs w:val="21"/>
                      <w:highlight w:val="none"/>
                      <w:vertAlign w:val="subscript"/>
                      <w:lang w:val="en-US" w:eastAsia="zh-CN"/>
                    </w:rPr>
                    <w:t>10</w:t>
                  </w:r>
                  <w:r>
                    <w:rPr>
                      <w:rFonts w:hint="eastAsia" w:eastAsia="仿宋" w:cs="Times New Roman"/>
                      <w:color w:val="auto"/>
                      <w:kern w:val="0"/>
                      <w:sz w:val="21"/>
                      <w:szCs w:val="21"/>
                      <w:highlight w:val="none"/>
                      <w:vertAlign w:val="superscript"/>
                      <w:lang w:val="en-US" w:eastAsia="zh-CN"/>
                    </w:rPr>
                    <w:t>b</w:t>
                  </w:r>
                </w:p>
              </w:tc>
              <w:tc>
                <w:tcPr>
                  <w:tcW w:w="3279" w:type="pct"/>
                  <w:vAlign w:val="center"/>
                </w:tcPr>
                <w:p w14:paraId="446F92D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80</w:t>
                  </w:r>
                </w:p>
              </w:tc>
            </w:tr>
            <w:tr w14:paraId="1114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1C290B67">
                  <w:pPr>
                    <w:keepNext w:val="0"/>
                    <w:keepLines w:val="0"/>
                    <w:pageBreakBefore w:val="0"/>
                    <w:widowControl w:val="0"/>
                    <w:kinsoku/>
                    <w:wordWrap/>
                    <w:overflowPunct/>
                    <w:topLinePunct w:val="0"/>
                    <w:autoSpaceDE/>
                    <w:autoSpaceDN/>
                    <w:bidi w:val="0"/>
                    <w:spacing w:line="240" w:lineRule="auto"/>
                    <w:jc w:val="left"/>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a任一监控点（TSP自动监测）自整时起依次顺延15min的总悬浮颗粒物浓度平均值不应超过的限值。根据HJ 633判定设区市AQI在200~300之间且首要污染物为PM</w:t>
                  </w:r>
                  <w:r>
                    <w:rPr>
                      <w:rFonts w:hint="eastAsia" w:eastAsia="仿宋" w:cs="Times New Roman"/>
                      <w:color w:val="auto"/>
                      <w:kern w:val="0"/>
                      <w:sz w:val="21"/>
                      <w:szCs w:val="21"/>
                      <w:highlight w:val="none"/>
                      <w:vertAlign w:val="subscript"/>
                      <w:lang w:val="en-US" w:eastAsia="zh-CN"/>
                    </w:rPr>
                    <w:t>10</w:t>
                  </w:r>
                  <w:r>
                    <w:rPr>
                      <w:rFonts w:hint="eastAsia" w:eastAsia="仿宋" w:cs="Times New Roman"/>
                      <w:color w:val="auto"/>
                      <w:kern w:val="0"/>
                      <w:sz w:val="21"/>
                      <w:szCs w:val="21"/>
                      <w:highlight w:val="none"/>
                      <w:lang w:val="en-US" w:eastAsia="zh-CN"/>
                    </w:rPr>
                    <w:t>或PM</w:t>
                  </w:r>
                  <w:r>
                    <w:rPr>
                      <w:rFonts w:hint="eastAsia" w:eastAsia="仿宋" w:cs="Times New Roman"/>
                      <w:color w:val="auto"/>
                      <w:kern w:val="0"/>
                      <w:sz w:val="21"/>
                      <w:szCs w:val="21"/>
                      <w:highlight w:val="none"/>
                      <w:vertAlign w:val="subscript"/>
                      <w:lang w:val="en-US" w:eastAsia="zh-CN"/>
                    </w:rPr>
                    <w:t>2.5</w:t>
                  </w:r>
                  <w:r>
                    <w:rPr>
                      <w:rFonts w:hint="eastAsia" w:eastAsia="仿宋" w:cs="Times New Roman"/>
                      <w:color w:val="auto"/>
                      <w:kern w:val="0"/>
                      <w:sz w:val="21"/>
                      <w:szCs w:val="21"/>
                      <w:highlight w:val="none"/>
                      <w:lang w:val="en-US" w:eastAsia="zh-CN"/>
                    </w:rPr>
                    <w:t>时，TSP实测值扣除200μg/m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后再进行评价。</w:t>
                  </w:r>
                </w:p>
                <w:p w14:paraId="6A21C96B">
                  <w:pPr>
                    <w:pStyle w:val="2"/>
                    <w:rPr>
                      <w:rFonts w:hint="default"/>
                      <w:color w:val="auto"/>
                      <w:lang w:val="en-US" w:eastAsia="zh-CN"/>
                    </w:rPr>
                  </w:pPr>
                  <w:r>
                    <w:rPr>
                      <w:rFonts w:hint="eastAsia" w:eastAsia="仿宋" w:cs="Times New Roman"/>
                      <w:color w:val="auto"/>
                      <w:kern w:val="0"/>
                      <w:sz w:val="21"/>
                      <w:szCs w:val="21"/>
                      <w:highlight w:val="none"/>
                      <w:lang w:val="en-US" w:eastAsia="zh-CN"/>
                    </w:rPr>
                    <w:t>b任一监控点（PM</w:t>
                  </w:r>
                  <w:r>
                    <w:rPr>
                      <w:rFonts w:hint="eastAsia" w:eastAsia="仿宋" w:cs="Times New Roman"/>
                      <w:color w:val="auto"/>
                      <w:kern w:val="0"/>
                      <w:sz w:val="21"/>
                      <w:szCs w:val="21"/>
                      <w:highlight w:val="none"/>
                      <w:vertAlign w:val="subscript"/>
                      <w:lang w:val="en-US" w:eastAsia="zh-CN"/>
                    </w:rPr>
                    <w:t>10</w:t>
                  </w:r>
                  <w:r>
                    <w:rPr>
                      <w:rFonts w:hint="eastAsia" w:eastAsia="仿宋" w:cs="Times New Roman"/>
                      <w:color w:val="auto"/>
                      <w:kern w:val="0"/>
                      <w:sz w:val="21"/>
                      <w:szCs w:val="21"/>
                      <w:highlight w:val="none"/>
                      <w:lang w:val="en-US" w:eastAsia="zh-CN"/>
                    </w:rPr>
                    <w:t>自动监测）自整时起依次顺延1h的PM</w:t>
                  </w:r>
                  <w:r>
                    <w:rPr>
                      <w:rFonts w:hint="eastAsia" w:eastAsia="仿宋" w:cs="Times New Roman"/>
                      <w:color w:val="auto"/>
                      <w:kern w:val="0"/>
                      <w:sz w:val="21"/>
                      <w:szCs w:val="21"/>
                      <w:highlight w:val="none"/>
                      <w:vertAlign w:val="subscript"/>
                      <w:lang w:val="en-US" w:eastAsia="zh-CN"/>
                    </w:rPr>
                    <w:t>10</w:t>
                  </w:r>
                  <w:r>
                    <w:rPr>
                      <w:rFonts w:hint="eastAsia" w:eastAsia="仿宋" w:cs="Times New Roman"/>
                      <w:color w:val="auto"/>
                      <w:kern w:val="0"/>
                      <w:sz w:val="21"/>
                      <w:szCs w:val="21"/>
                      <w:highlight w:val="none"/>
                      <w:lang w:val="en-US" w:eastAsia="zh-CN"/>
                    </w:rPr>
                    <w:t>浓度平均值与同时段所属设区市PM</w:t>
                  </w:r>
                  <w:r>
                    <w:rPr>
                      <w:rFonts w:hint="eastAsia" w:eastAsia="仿宋" w:cs="Times New Roman"/>
                      <w:color w:val="auto"/>
                      <w:kern w:val="0"/>
                      <w:sz w:val="21"/>
                      <w:szCs w:val="21"/>
                      <w:highlight w:val="none"/>
                      <w:vertAlign w:val="subscript"/>
                      <w:lang w:val="en-US" w:eastAsia="zh-CN"/>
                    </w:rPr>
                    <w:t>10</w:t>
                  </w:r>
                  <w:r>
                    <w:rPr>
                      <w:rFonts w:hint="eastAsia" w:eastAsia="仿宋" w:cs="Times New Roman"/>
                      <w:color w:val="auto"/>
                      <w:kern w:val="0"/>
                      <w:sz w:val="21"/>
                      <w:szCs w:val="21"/>
                      <w:highlight w:val="none"/>
                      <w:lang w:val="en-US" w:eastAsia="zh-CN"/>
                    </w:rPr>
                    <w:t>小时平均浓度的差值不应超过的限值。</w:t>
                  </w:r>
                </w:p>
              </w:tc>
            </w:tr>
          </w:tbl>
          <w:p w14:paraId="64BEFF9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 w:cs="Times New Roman"/>
                <w:b/>
                <w:bCs/>
                <w:color w:val="auto"/>
                <w:sz w:val="24"/>
                <w:szCs w:val="24"/>
                <w:highlight w:val="none"/>
                <w:lang w:val="en-US" w:eastAsia="zh-CN"/>
              </w:rPr>
            </w:pPr>
            <w:r>
              <w:rPr>
                <w:rFonts w:hint="eastAsia" w:eastAsia="仿宋" w:cs="Times New Roman"/>
                <w:b/>
                <w:bCs/>
                <w:color w:val="auto"/>
                <w:sz w:val="24"/>
                <w:szCs w:val="24"/>
                <w:highlight w:val="none"/>
                <w:lang w:val="en-US" w:eastAsia="zh-CN"/>
              </w:rPr>
              <w:t>营运期</w:t>
            </w:r>
          </w:p>
          <w:p w14:paraId="704BEB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①污水处理站恶臭气体</w:t>
            </w:r>
          </w:p>
          <w:p w14:paraId="2104A2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本项目污水依托原有污水处理站处理废水。本项目废水预处理主要使用化粪池、隔油池处理生活污水、医疗废水，并在医院污水处理站进行生物接触氧化并加单过硫酸氢钾进行消毒处理。污水处理站产生的氨、硫化氢、臭气浓度经水喷淋+活性炭吸附装置处理后由一根15m高排气筒排放。氨、硫化氢、臭气浓度有组织排放标准执行《恶臭污染物排放标准》（GB14554-93）表2标准，污水处理站周边大气污染物最高允许浓度执行《医疗机构水污染物排放标准》（GB18466-2005）表3中标准，具体见表3-12、表3-13。</w:t>
            </w:r>
          </w:p>
          <w:p w14:paraId="0606F1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eastAsia" w:ascii="Times New Roman" w:hAnsi="Times New Roman" w:eastAsia="仿宋" w:cs="Times New Roman"/>
                <w:b/>
                <w:bCs/>
                <w:color w:val="auto"/>
                <w:kern w:val="0"/>
                <w:sz w:val="22"/>
                <w:szCs w:val="22"/>
                <w:highlight w:val="none"/>
                <w:lang w:val="en-US" w:eastAsia="zh-CN" w:bidi="ar-SA"/>
              </w:rPr>
              <w:t>表3-12 项目有组织废气排放标准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650"/>
              <w:gridCol w:w="1716"/>
              <w:gridCol w:w="1769"/>
              <w:gridCol w:w="1783"/>
            </w:tblGrid>
            <w:tr w14:paraId="6294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2" w:type="dxa"/>
                  <w:vAlign w:val="center"/>
                </w:tcPr>
                <w:p w14:paraId="48BD157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污染物名称</w:t>
                  </w:r>
                </w:p>
              </w:tc>
              <w:tc>
                <w:tcPr>
                  <w:tcW w:w="1650" w:type="dxa"/>
                  <w:vAlign w:val="center"/>
                </w:tcPr>
                <w:p w14:paraId="2D78C31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排放浓度限值（mg/m</w:t>
                  </w:r>
                  <w:r>
                    <w:rPr>
                      <w:rFonts w:hint="eastAsia" w:ascii="Times New Roman" w:hAnsi="Times New Roman" w:eastAsia="仿宋" w:cs="Times New Roman"/>
                      <w:b/>
                      <w:bCs/>
                      <w:color w:val="auto"/>
                      <w:kern w:val="0"/>
                      <w:sz w:val="21"/>
                      <w:szCs w:val="21"/>
                      <w:highlight w:val="none"/>
                      <w:vertAlign w:val="superscript"/>
                      <w:lang w:val="en-US" w:eastAsia="zh-CN"/>
                    </w:rPr>
                    <w:t>3</w:t>
                  </w:r>
                  <w:r>
                    <w:rPr>
                      <w:rFonts w:hint="eastAsia" w:ascii="Times New Roman" w:hAnsi="Times New Roman" w:eastAsia="仿宋" w:cs="Times New Roman"/>
                      <w:b/>
                      <w:bCs/>
                      <w:color w:val="auto"/>
                      <w:kern w:val="0"/>
                      <w:sz w:val="21"/>
                      <w:szCs w:val="21"/>
                      <w:highlight w:val="none"/>
                      <w:lang w:val="en-US" w:eastAsia="zh-CN"/>
                    </w:rPr>
                    <w:t>）</w:t>
                  </w:r>
                </w:p>
              </w:tc>
              <w:tc>
                <w:tcPr>
                  <w:tcW w:w="1716" w:type="dxa"/>
                  <w:vAlign w:val="center"/>
                </w:tcPr>
                <w:p w14:paraId="7F27A79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排气筒高度（m）</w:t>
                  </w:r>
                </w:p>
              </w:tc>
              <w:tc>
                <w:tcPr>
                  <w:tcW w:w="1769" w:type="dxa"/>
                  <w:vAlign w:val="center"/>
                </w:tcPr>
                <w:p w14:paraId="74C66A9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排放速率（kg/h）</w:t>
                  </w:r>
                </w:p>
              </w:tc>
              <w:tc>
                <w:tcPr>
                  <w:tcW w:w="1783" w:type="dxa"/>
                  <w:vAlign w:val="center"/>
                </w:tcPr>
                <w:p w14:paraId="602036B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执行标准</w:t>
                  </w:r>
                </w:p>
              </w:tc>
            </w:tr>
            <w:tr w14:paraId="0EFC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2" w:type="dxa"/>
                  <w:vAlign w:val="center"/>
                </w:tcPr>
                <w:p w14:paraId="527E7F0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氨</w:t>
                  </w:r>
                </w:p>
              </w:tc>
              <w:tc>
                <w:tcPr>
                  <w:tcW w:w="1650" w:type="dxa"/>
                  <w:vAlign w:val="center"/>
                </w:tcPr>
                <w:p w14:paraId="3312E28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716" w:type="dxa"/>
                  <w:vAlign w:val="center"/>
                </w:tcPr>
                <w:p w14:paraId="695A3AE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15</w:t>
                  </w:r>
                </w:p>
              </w:tc>
              <w:tc>
                <w:tcPr>
                  <w:tcW w:w="1769" w:type="dxa"/>
                  <w:vAlign w:val="center"/>
                </w:tcPr>
                <w:p w14:paraId="708F725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4.9</w:t>
                  </w:r>
                </w:p>
              </w:tc>
              <w:tc>
                <w:tcPr>
                  <w:tcW w:w="1783" w:type="dxa"/>
                  <w:vMerge w:val="restart"/>
                  <w:vAlign w:val="center"/>
                </w:tcPr>
                <w:p w14:paraId="5393EC1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《恶臭污染物排放标准》（GB14554-93）表2中标准</w:t>
                  </w:r>
                </w:p>
              </w:tc>
            </w:tr>
            <w:tr w14:paraId="1F48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2" w:type="dxa"/>
                  <w:vAlign w:val="center"/>
                </w:tcPr>
                <w:p w14:paraId="1BB51A2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硫化氢</w:t>
                  </w:r>
                </w:p>
              </w:tc>
              <w:tc>
                <w:tcPr>
                  <w:tcW w:w="1650" w:type="dxa"/>
                  <w:vAlign w:val="center"/>
                </w:tcPr>
                <w:p w14:paraId="272E42A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716" w:type="dxa"/>
                  <w:vAlign w:val="center"/>
                </w:tcPr>
                <w:p w14:paraId="2946675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15</w:t>
                  </w:r>
                </w:p>
              </w:tc>
              <w:tc>
                <w:tcPr>
                  <w:tcW w:w="1769" w:type="dxa"/>
                  <w:vAlign w:val="center"/>
                </w:tcPr>
                <w:p w14:paraId="29C5CFB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0.33</w:t>
                  </w:r>
                </w:p>
              </w:tc>
              <w:tc>
                <w:tcPr>
                  <w:tcW w:w="1783" w:type="dxa"/>
                  <w:vMerge w:val="continue"/>
                </w:tcPr>
                <w:p w14:paraId="7500658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p>
              </w:tc>
            </w:tr>
            <w:tr w14:paraId="3E98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2" w:type="dxa"/>
                  <w:vAlign w:val="center"/>
                </w:tcPr>
                <w:p w14:paraId="0DA7403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臭气浓度（无量纲）</w:t>
                  </w:r>
                </w:p>
              </w:tc>
              <w:tc>
                <w:tcPr>
                  <w:tcW w:w="1650" w:type="dxa"/>
                  <w:vAlign w:val="center"/>
                </w:tcPr>
                <w:p w14:paraId="6B42C2D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2000</w:t>
                  </w:r>
                </w:p>
              </w:tc>
              <w:tc>
                <w:tcPr>
                  <w:tcW w:w="1716" w:type="dxa"/>
                  <w:vAlign w:val="center"/>
                </w:tcPr>
                <w:p w14:paraId="2DE7746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15</w:t>
                  </w:r>
                </w:p>
              </w:tc>
              <w:tc>
                <w:tcPr>
                  <w:tcW w:w="1769" w:type="dxa"/>
                  <w:vAlign w:val="center"/>
                </w:tcPr>
                <w:p w14:paraId="5D654B3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1783" w:type="dxa"/>
                  <w:vMerge w:val="continue"/>
                </w:tcPr>
                <w:p w14:paraId="6E5F065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p>
              </w:tc>
            </w:tr>
          </w:tbl>
          <w:p w14:paraId="154A04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eastAsia" w:ascii="Times New Roman" w:hAnsi="Times New Roman" w:eastAsia="仿宋" w:cs="Times New Roman"/>
                <w:b/>
                <w:bCs/>
                <w:color w:val="auto"/>
                <w:kern w:val="0"/>
                <w:sz w:val="22"/>
                <w:szCs w:val="22"/>
                <w:highlight w:val="none"/>
                <w:lang w:val="en-US" w:eastAsia="zh-CN" w:bidi="ar-SA"/>
              </w:rPr>
              <w:t>表3-13 污水处理站周边大气污染物最高允许浓度</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0"/>
              <w:gridCol w:w="2387"/>
              <w:gridCol w:w="3133"/>
            </w:tblGrid>
            <w:tr w14:paraId="6F8C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0" w:type="dxa"/>
                </w:tcPr>
                <w:p w14:paraId="7DD104E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控制项目</w:t>
                  </w:r>
                </w:p>
              </w:tc>
              <w:tc>
                <w:tcPr>
                  <w:tcW w:w="2387" w:type="dxa"/>
                </w:tcPr>
                <w:p w14:paraId="56E6B804">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标准值（mg/m</w:t>
                  </w:r>
                  <w:r>
                    <w:rPr>
                      <w:rFonts w:hint="eastAsia" w:ascii="Times New Roman" w:hAnsi="Times New Roman" w:eastAsia="仿宋" w:cs="Times New Roman"/>
                      <w:b/>
                      <w:bCs/>
                      <w:color w:val="auto"/>
                      <w:kern w:val="0"/>
                      <w:sz w:val="21"/>
                      <w:szCs w:val="21"/>
                      <w:highlight w:val="none"/>
                      <w:vertAlign w:val="superscript"/>
                      <w:lang w:val="en-US" w:eastAsia="zh-CN"/>
                    </w:rPr>
                    <w:t>3</w:t>
                  </w:r>
                  <w:r>
                    <w:rPr>
                      <w:rFonts w:hint="eastAsia" w:ascii="Times New Roman" w:hAnsi="Times New Roman" w:eastAsia="仿宋" w:cs="Times New Roman"/>
                      <w:b/>
                      <w:bCs/>
                      <w:color w:val="auto"/>
                      <w:kern w:val="0"/>
                      <w:sz w:val="21"/>
                      <w:szCs w:val="21"/>
                      <w:highlight w:val="none"/>
                      <w:lang w:val="en-US" w:eastAsia="zh-CN"/>
                    </w:rPr>
                    <w:t>）</w:t>
                  </w:r>
                </w:p>
              </w:tc>
              <w:tc>
                <w:tcPr>
                  <w:tcW w:w="3133" w:type="dxa"/>
                </w:tcPr>
                <w:p w14:paraId="6F35F5E7">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执行标准</w:t>
                  </w:r>
                </w:p>
              </w:tc>
            </w:tr>
            <w:tr w14:paraId="64AE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0" w:type="dxa"/>
                  <w:vAlign w:val="center"/>
                </w:tcPr>
                <w:p w14:paraId="13EE500C">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氨</w:t>
                  </w:r>
                </w:p>
              </w:tc>
              <w:tc>
                <w:tcPr>
                  <w:tcW w:w="2387" w:type="dxa"/>
                  <w:vAlign w:val="center"/>
                </w:tcPr>
                <w:p w14:paraId="12EBCB57">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3133" w:type="dxa"/>
                  <w:vMerge w:val="restart"/>
                  <w:vAlign w:val="center"/>
                </w:tcPr>
                <w:p w14:paraId="60174716">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仿宋" w:cs="Times New Roman"/>
                      <w:color w:val="auto"/>
                      <w:kern w:val="0"/>
                      <w:sz w:val="21"/>
                      <w:szCs w:val="21"/>
                      <w:highlight w:val="none"/>
                      <w:lang w:val="en-US" w:eastAsia="zh-CN"/>
                    </w:rPr>
                  </w:pPr>
                  <w:r>
                    <w:rPr>
                      <w:rFonts w:hint="default" w:eastAsia="仿宋" w:cs="Times New Roman"/>
                      <w:color w:val="auto"/>
                      <w:kern w:val="0"/>
                      <w:sz w:val="21"/>
                      <w:szCs w:val="21"/>
                      <w:highlight w:val="none"/>
                      <w:lang w:val="en-US" w:eastAsia="zh-CN"/>
                    </w:rPr>
                    <w:t>《医疗机构水污染物排放标准》（GB18466-2005）表3中标准</w:t>
                  </w:r>
                </w:p>
              </w:tc>
            </w:tr>
            <w:tr w14:paraId="242D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0" w:type="dxa"/>
                  <w:vAlign w:val="center"/>
                </w:tcPr>
                <w:p w14:paraId="55C16D96">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硫化氢</w:t>
                  </w:r>
                </w:p>
              </w:tc>
              <w:tc>
                <w:tcPr>
                  <w:tcW w:w="2387" w:type="dxa"/>
                  <w:vAlign w:val="center"/>
                </w:tcPr>
                <w:p w14:paraId="0B7E6FE2">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0.03</w:t>
                  </w:r>
                </w:p>
              </w:tc>
              <w:tc>
                <w:tcPr>
                  <w:tcW w:w="3133" w:type="dxa"/>
                  <w:vMerge w:val="continue"/>
                  <w:vAlign w:val="center"/>
                </w:tcPr>
                <w:p w14:paraId="6CCAE3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color w:val="auto"/>
                      <w:sz w:val="24"/>
                      <w:szCs w:val="24"/>
                      <w:highlight w:val="none"/>
                      <w:vertAlign w:val="baseline"/>
                    </w:rPr>
                  </w:pPr>
                </w:p>
              </w:tc>
            </w:tr>
            <w:tr w14:paraId="060B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0" w:type="dxa"/>
                  <w:vAlign w:val="center"/>
                </w:tcPr>
                <w:p w14:paraId="45C23651">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臭气浓度（无量纲）</w:t>
                  </w:r>
                </w:p>
              </w:tc>
              <w:tc>
                <w:tcPr>
                  <w:tcW w:w="2387" w:type="dxa"/>
                  <w:vAlign w:val="center"/>
                </w:tcPr>
                <w:p w14:paraId="1B959A2A">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3133" w:type="dxa"/>
                  <w:vMerge w:val="continue"/>
                  <w:vAlign w:val="center"/>
                </w:tcPr>
                <w:p w14:paraId="1930C2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color w:val="auto"/>
                      <w:sz w:val="24"/>
                      <w:szCs w:val="24"/>
                      <w:highlight w:val="none"/>
                      <w:vertAlign w:val="baseline"/>
                    </w:rPr>
                  </w:pPr>
                </w:p>
              </w:tc>
            </w:tr>
          </w:tbl>
          <w:p w14:paraId="3D8D22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②食堂油烟</w:t>
            </w:r>
          </w:p>
          <w:p w14:paraId="7403BA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color w:val="auto"/>
                <w:sz w:val="24"/>
                <w:szCs w:val="24"/>
                <w:highlight w:val="none"/>
              </w:rPr>
              <w:t>食堂油烟废气参考执行国家《饮食业油烟排放标准》（GB18483-2001）表2标准，其规定见下表。</w:t>
            </w:r>
          </w:p>
          <w:p w14:paraId="287356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表3-1</w:t>
            </w:r>
            <w:r>
              <w:rPr>
                <w:rFonts w:hint="eastAsia" w:ascii="Times New Roman" w:hAnsi="Times New Roman" w:eastAsia="仿宋" w:cs="Times New Roman"/>
                <w:b/>
                <w:bCs/>
                <w:color w:val="auto"/>
                <w:kern w:val="0"/>
                <w:sz w:val="22"/>
                <w:szCs w:val="22"/>
                <w:highlight w:val="none"/>
                <w:lang w:val="en-US" w:eastAsia="zh-CN" w:bidi="ar-SA"/>
              </w:rPr>
              <w:t>4</w:t>
            </w:r>
            <w:r>
              <w:rPr>
                <w:rFonts w:hint="default" w:ascii="Times New Roman" w:hAnsi="Times New Roman" w:eastAsia="仿宋" w:cs="Times New Roman"/>
                <w:b/>
                <w:bCs/>
                <w:color w:val="auto"/>
                <w:kern w:val="0"/>
                <w:sz w:val="22"/>
                <w:szCs w:val="22"/>
                <w:highlight w:val="none"/>
                <w:lang w:val="en-US" w:eastAsia="zh-CN" w:bidi="ar-SA"/>
              </w:rPr>
              <w:t xml:space="preserve"> 饮食业单位的规模划分</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885"/>
              <w:gridCol w:w="2068"/>
              <w:gridCol w:w="2070"/>
            </w:tblGrid>
            <w:tr w14:paraId="6B50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1" w:type="pct"/>
                  <w:vAlign w:val="center"/>
                </w:tcPr>
                <w:p w14:paraId="50BEE18E">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规模</w:t>
                  </w:r>
                </w:p>
              </w:tc>
              <w:tc>
                <w:tcPr>
                  <w:tcW w:w="1138" w:type="pct"/>
                  <w:vAlign w:val="center"/>
                </w:tcPr>
                <w:p w14:paraId="13B411DA">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小型</w:t>
                  </w:r>
                </w:p>
              </w:tc>
              <w:tc>
                <w:tcPr>
                  <w:tcW w:w="1249" w:type="pct"/>
                  <w:vAlign w:val="center"/>
                </w:tcPr>
                <w:p w14:paraId="59C9BB41">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中型</w:t>
                  </w:r>
                </w:p>
              </w:tc>
              <w:tc>
                <w:tcPr>
                  <w:tcW w:w="1250" w:type="pct"/>
                  <w:vAlign w:val="center"/>
                </w:tcPr>
                <w:p w14:paraId="68ABE2CE">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大型</w:t>
                  </w:r>
                </w:p>
              </w:tc>
            </w:tr>
            <w:tr w14:paraId="3773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1" w:type="pct"/>
                  <w:vAlign w:val="center"/>
                </w:tcPr>
                <w:p w14:paraId="272EBAE9">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基准灶头数</w:t>
                  </w:r>
                </w:p>
              </w:tc>
              <w:tc>
                <w:tcPr>
                  <w:tcW w:w="1138" w:type="pct"/>
                  <w:vAlign w:val="center"/>
                </w:tcPr>
                <w:p w14:paraId="1783DD9C">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≥1，&lt;3</w:t>
                  </w:r>
                </w:p>
              </w:tc>
              <w:tc>
                <w:tcPr>
                  <w:tcW w:w="1249" w:type="pct"/>
                  <w:vAlign w:val="center"/>
                </w:tcPr>
                <w:p w14:paraId="7CB2491C">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w:t>
                  </w: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&lt;6</w:t>
                  </w:r>
                </w:p>
              </w:tc>
              <w:tc>
                <w:tcPr>
                  <w:tcW w:w="1250" w:type="pct"/>
                  <w:vAlign w:val="center"/>
                </w:tcPr>
                <w:p w14:paraId="72B9740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w:t>
                  </w:r>
                </w:p>
              </w:tc>
            </w:tr>
            <w:tr w14:paraId="6120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1" w:type="pct"/>
                  <w:vAlign w:val="center"/>
                </w:tcPr>
                <w:p w14:paraId="18C3DCE1">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对应灶头总功率（10</w:t>
                  </w:r>
                  <w:r>
                    <w:rPr>
                      <w:rFonts w:hint="default" w:ascii="Times New Roman" w:hAnsi="Times New Roman" w:eastAsia="仿宋" w:cs="Times New Roman"/>
                      <w:color w:val="auto"/>
                      <w:sz w:val="21"/>
                      <w:szCs w:val="21"/>
                      <w:highlight w:val="none"/>
                      <w:vertAlign w:val="superscript"/>
                    </w:rPr>
                    <w:t>8</w:t>
                  </w:r>
                  <w:r>
                    <w:rPr>
                      <w:rFonts w:hint="default" w:ascii="Times New Roman" w:hAnsi="Times New Roman" w:eastAsia="仿宋" w:cs="Times New Roman"/>
                      <w:color w:val="auto"/>
                      <w:sz w:val="21"/>
                      <w:szCs w:val="21"/>
                      <w:highlight w:val="none"/>
                    </w:rPr>
                    <w:t>J/h）</w:t>
                  </w:r>
                </w:p>
              </w:tc>
              <w:tc>
                <w:tcPr>
                  <w:tcW w:w="1138" w:type="pct"/>
                  <w:vAlign w:val="center"/>
                </w:tcPr>
                <w:p w14:paraId="2EA9177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1.67</w:t>
                  </w: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&lt;5.00</w:t>
                  </w:r>
                </w:p>
              </w:tc>
              <w:tc>
                <w:tcPr>
                  <w:tcW w:w="1249" w:type="pct"/>
                  <w:vAlign w:val="center"/>
                </w:tcPr>
                <w:p w14:paraId="27F16815">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≥5.00</w:t>
                  </w: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&lt;10</w:t>
                  </w:r>
                </w:p>
              </w:tc>
              <w:tc>
                <w:tcPr>
                  <w:tcW w:w="1250" w:type="pct"/>
                  <w:vAlign w:val="center"/>
                </w:tcPr>
                <w:p w14:paraId="569F73AC">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≥10</w:t>
                  </w:r>
                </w:p>
              </w:tc>
            </w:tr>
            <w:tr w14:paraId="1F76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1" w:type="pct"/>
                  <w:vAlign w:val="center"/>
                </w:tcPr>
                <w:p w14:paraId="678C386E">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对应排气罩灶面总投影面积（m</w:t>
                  </w:r>
                  <w:r>
                    <w:rPr>
                      <w:rFonts w:hint="default" w:ascii="Times New Roman" w:hAnsi="Times New Roman" w:eastAsia="仿宋" w:cs="Times New Roman"/>
                      <w:color w:val="auto"/>
                      <w:sz w:val="21"/>
                      <w:szCs w:val="21"/>
                      <w:highlight w:val="none"/>
                      <w:vertAlign w:val="superscript"/>
                    </w:rPr>
                    <w:t>2</w:t>
                  </w:r>
                  <w:r>
                    <w:rPr>
                      <w:rFonts w:hint="default" w:ascii="Times New Roman" w:hAnsi="Times New Roman" w:eastAsia="仿宋" w:cs="Times New Roman"/>
                      <w:color w:val="auto"/>
                      <w:sz w:val="21"/>
                      <w:szCs w:val="21"/>
                      <w:highlight w:val="none"/>
                    </w:rPr>
                    <w:t>）</w:t>
                  </w:r>
                </w:p>
              </w:tc>
              <w:tc>
                <w:tcPr>
                  <w:tcW w:w="1138" w:type="pct"/>
                  <w:vAlign w:val="center"/>
                </w:tcPr>
                <w:p w14:paraId="1CB91B13">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≥1.1</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rPr>
                    <w:t>&lt;3.3</w:t>
                  </w:r>
                </w:p>
              </w:tc>
              <w:tc>
                <w:tcPr>
                  <w:tcW w:w="1249" w:type="pct"/>
                  <w:vAlign w:val="center"/>
                </w:tcPr>
                <w:p w14:paraId="111BE249">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≥3.3</w:t>
                  </w: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&lt;6.6</w:t>
                  </w:r>
                </w:p>
              </w:tc>
              <w:tc>
                <w:tcPr>
                  <w:tcW w:w="1250" w:type="pct"/>
                  <w:vAlign w:val="center"/>
                </w:tcPr>
                <w:p w14:paraId="2D534755">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≥6.6</w:t>
                  </w:r>
                </w:p>
              </w:tc>
            </w:tr>
          </w:tbl>
          <w:p w14:paraId="119AE8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表3-1</w:t>
            </w:r>
            <w:r>
              <w:rPr>
                <w:rFonts w:hint="eastAsia" w:ascii="Times New Roman" w:hAnsi="Times New Roman" w:eastAsia="仿宋" w:cs="Times New Roman"/>
                <w:b/>
                <w:bCs/>
                <w:color w:val="auto"/>
                <w:kern w:val="0"/>
                <w:sz w:val="22"/>
                <w:szCs w:val="22"/>
                <w:highlight w:val="none"/>
                <w:lang w:val="en-US" w:eastAsia="zh-CN" w:bidi="ar-SA"/>
              </w:rPr>
              <w:t>5</w:t>
            </w:r>
            <w:r>
              <w:rPr>
                <w:rFonts w:hint="default" w:ascii="Times New Roman" w:hAnsi="Times New Roman" w:eastAsia="仿宋" w:cs="Times New Roman"/>
                <w:b/>
                <w:bCs/>
                <w:color w:val="auto"/>
                <w:kern w:val="0"/>
                <w:sz w:val="22"/>
                <w:szCs w:val="22"/>
                <w:highlight w:val="none"/>
                <w:lang w:val="en-US" w:eastAsia="zh-CN" w:bidi="ar-SA"/>
              </w:rPr>
              <w:t xml:space="preserve"> 饮食业油烟排放标准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9"/>
              <w:gridCol w:w="1408"/>
              <w:gridCol w:w="1511"/>
              <w:gridCol w:w="1512"/>
            </w:tblGrid>
            <w:tr w14:paraId="0A9C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739" w:type="dxa"/>
                  <w:vAlign w:val="center"/>
                </w:tcPr>
                <w:p w14:paraId="2C54A5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rPr>
                    <w:t>规模</w:t>
                  </w:r>
                </w:p>
              </w:tc>
              <w:tc>
                <w:tcPr>
                  <w:tcW w:w="1408" w:type="dxa"/>
                  <w:vAlign w:val="center"/>
                </w:tcPr>
                <w:p w14:paraId="26E600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rPr>
                    <w:t>小型</w:t>
                  </w:r>
                </w:p>
              </w:tc>
              <w:tc>
                <w:tcPr>
                  <w:tcW w:w="1511" w:type="dxa"/>
                  <w:vAlign w:val="center"/>
                </w:tcPr>
                <w:p w14:paraId="1C84A8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rPr>
                    <w:t>中型</w:t>
                  </w:r>
                </w:p>
              </w:tc>
              <w:tc>
                <w:tcPr>
                  <w:tcW w:w="1512" w:type="dxa"/>
                  <w:vAlign w:val="center"/>
                </w:tcPr>
                <w:p w14:paraId="72BC57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rPr>
                    <w:t>大型</w:t>
                  </w:r>
                </w:p>
              </w:tc>
            </w:tr>
            <w:tr w14:paraId="1D42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9" w:type="dxa"/>
                  <w:vAlign w:val="center"/>
                </w:tcPr>
                <w:p w14:paraId="0A1E3E73">
                  <w:pPr>
                    <w:pStyle w:val="38"/>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auto"/>
                      <w:sz w:val="21"/>
                      <w:szCs w:val="21"/>
                      <w:highlight w:val="none"/>
                      <w:vertAlign w:val="baseline"/>
                      <w:lang w:eastAsia="zh-CN"/>
                    </w:rPr>
                  </w:pPr>
                  <w:r>
                    <w:rPr>
                      <w:rFonts w:hint="default" w:ascii="Times New Roman" w:hAnsi="Times New Roman" w:eastAsia="仿宋" w:cs="Times New Roman"/>
                      <w:color w:val="auto"/>
                      <w:sz w:val="21"/>
                      <w:szCs w:val="21"/>
                      <w:highlight w:val="none"/>
                    </w:rPr>
                    <w:t>最高允许排放浓度（mg/m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eastAsia="仿宋" w:cs="Times New Roman"/>
                      <w:color w:val="auto"/>
                      <w:sz w:val="21"/>
                      <w:szCs w:val="21"/>
                      <w:highlight w:val="none"/>
                    </w:rPr>
                    <w:t>）</w:t>
                  </w:r>
                </w:p>
              </w:tc>
              <w:tc>
                <w:tcPr>
                  <w:tcW w:w="4431" w:type="dxa"/>
                  <w:gridSpan w:val="3"/>
                  <w:vAlign w:val="center"/>
                </w:tcPr>
                <w:p w14:paraId="75D51411">
                  <w:pPr>
                    <w:pStyle w:val="38"/>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auto"/>
                      <w:sz w:val="21"/>
                      <w:szCs w:val="21"/>
                      <w:highlight w:val="none"/>
                      <w:vertAlign w:val="baseline"/>
                      <w:lang w:eastAsia="zh-CN"/>
                    </w:rPr>
                  </w:pPr>
                  <w:r>
                    <w:rPr>
                      <w:rFonts w:hint="default" w:ascii="Times New Roman" w:hAnsi="Times New Roman" w:eastAsia="仿宋" w:cs="Times New Roman"/>
                      <w:bCs/>
                      <w:color w:val="auto"/>
                      <w:sz w:val="21"/>
                      <w:szCs w:val="21"/>
                      <w:highlight w:val="none"/>
                    </w:rPr>
                    <w:t>2.0</w:t>
                  </w:r>
                </w:p>
              </w:tc>
            </w:tr>
            <w:tr w14:paraId="1DC3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9" w:type="dxa"/>
                  <w:vAlign w:val="center"/>
                </w:tcPr>
                <w:p w14:paraId="0008C72C">
                  <w:pPr>
                    <w:pStyle w:val="38"/>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auto"/>
                      <w:sz w:val="21"/>
                      <w:szCs w:val="21"/>
                      <w:highlight w:val="none"/>
                      <w:vertAlign w:val="baseline"/>
                      <w:lang w:eastAsia="zh-CN"/>
                    </w:rPr>
                  </w:pPr>
                  <w:r>
                    <w:rPr>
                      <w:rFonts w:hint="default" w:ascii="Times New Roman" w:hAnsi="Times New Roman" w:eastAsia="仿宋" w:cs="Times New Roman"/>
                      <w:color w:val="auto"/>
                      <w:sz w:val="21"/>
                      <w:szCs w:val="21"/>
                      <w:highlight w:val="none"/>
                    </w:rPr>
                    <w:t>净化设施最低去除效率（%）</w:t>
                  </w:r>
                </w:p>
              </w:tc>
              <w:tc>
                <w:tcPr>
                  <w:tcW w:w="1408" w:type="dxa"/>
                  <w:vAlign w:val="center"/>
                </w:tcPr>
                <w:p w14:paraId="2C12FC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rPr>
                    <w:t>60</w:t>
                  </w:r>
                </w:p>
              </w:tc>
              <w:tc>
                <w:tcPr>
                  <w:tcW w:w="1511" w:type="dxa"/>
                  <w:vAlign w:val="center"/>
                </w:tcPr>
                <w:p w14:paraId="3A6CCE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rPr>
                    <w:t>75</w:t>
                  </w:r>
                </w:p>
              </w:tc>
              <w:tc>
                <w:tcPr>
                  <w:tcW w:w="1512" w:type="dxa"/>
                  <w:vAlign w:val="center"/>
                </w:tcPr>
                <w:p w14:paraId="3A464B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rPr>
                    <w:t>85</w:t>
                  </w:r>
                </w:p>
              </w:tc>
            </w:tr>
          </w:tbl>
          <w:p w14:paraId="25F76BE5">
            <w:pPr>
              <w:pStyle w:val="2"/>
              <w:keepNext w:val="0"/>
              <w:keepLines w:val="0"/>
              <w:pageBreakBefore w:val="0"/>
              <w:widowControl w:val="0"/>
              <w:kinsoku/>
              <w:wordWrap/>
              <w:overflowPunct/>
              <w:topLinePunct w:val="0"/>
              <w:bidi w:val="0"/>
              <w:snapToGrid/>
              <w:spacing w:after="0" w:line="360" w:lineRule="auto"/>
              <w:ind w:firstLine="480" w:firstLineChars="200"/>
              <w:textAlignment w:val="auto"/>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bCs/>
                <w:color w:val="auto"/>
                <w:sz w:val="24"/>
                <w:szCs w:val="24"/>
                <w:highlight w:val="none"/>
              </w:rPr>
              <w:t>本项目</w:t>
            </w:r>
            <w:r>
              <w:rPr>
                <w:rFonts w:hint="eastAsia" w:eastAsia="仿宋" w:cs="Times New Roman"/>
                <w:bCs/>
                <w:color w:val="auto"/>
                <w:sz w:val="24"/>
                <w:szCs w:val="24"/>
                <w:highlight w:val="none"/>
                <w:lang w:val="en-US" w:eastAsia="zh-CN"/>
              </w:rPr>
              <w:t>依托原有</w:t>
            </w:r>
            <w:r>
              <w:rPr>
                <w:rFonts w:hint="default" w:ascii="Times New Roman" w:hAnsi="Times New Roman" w:eastAsia="仿宋" w:cs="Times New Roman"/>
                <w:bCs/>
                <w:color w:val="auto"/>
                <w:sz w:val="24"/>
                <w:szCs w:val="24"/>
                <w:highlight w:val="none"/>
              </w:rPr>
              <w:t>基准灶头数</w:t>
            </w:r>
            <w:r>
              <w:rPr>
                <w:rFonts w:hint="eastAsia" w:eastAsia="仿宋" w:cs="Times New Roman"/>
                <w:bCs/>
                <w:color w:val="auto"/>
                <w:sz w:val="24"/>
                <w:szCs w:val="24"/>
                <w:highlight w:val="none"/>
                <w:lang w:val="en-US" w:eastAsia="zh-CN"/>
              </w:rPr>
              <w:t>为10</w:t>
            </w:r>
            <w:r>
              <w:rPr>
                <w:rFonts w:hint="default" w:ascii="Times New Roman" w:hAnsi="Times New Roman" w:eastAsia="仿宋" w:cs="Times New Roman"/>
                <w:bCs/>
                <w:color w:val="auto"/>
                <w:sz w:val="24"/>
                <w:szCs w:val="24"/>
                <w:highlight w:val="none"/>
              </w:rPr>
              <w:t>个</w:t>
            </w:r>
            <w:r>
              <w:rPr>
                <w:rFonts w:hint="eastAsia" w:eastAsia="仿宋" w:cs="Times New Roman"/>
                <w:bCs/>
                <w:color w:val="auto"/>
                <w:sz w:val="24"/>
                <w:szCs w:val="24"/>
                <w:highlight w:val="none"/>
                <w:lang w:eastAsia="zh-CN"/>
              </w:rPr>
              <w:t>，</w:t>
            </w:r>
            <w:r>
              <w:rPr>
                <w:rFonts w:hint="eastAsia" w:eastAsia="仿宋" w:cs="Times New Roman"/>
                <w:bCs/>
                <w:color w:val="auto"/>
                <w:sz w:val="24"/>
                <w:szCs w:val="24"/>
                <w:highlight w:val="none"/>
                <w:lang w:val="en-US" w:eastAsia="zh-CN"/>
              </w:rPr>
              <w:t>大于等于6个</w:t>
            </w:r>
            <w:r>
              <w:rPr>
                <w:rFonts w:hint="default" w:ascii="Times New Roman" w:hAnsi="Times New Roman" w:eastAsia="仿宋" w:cs="Times New Roman"/>
                <w:bCs/>
                <w:color w:val="auto"/>
                <w:sz w:val="24"/>
                <w:szCs w:val="24"/>
                <w:highlight w:val="none"/>
              </w:rPr>
              <w:t>，属于</w:t>
            </w:r>
            <w:r>
              <w:rPr>
                <w:rFonts w:hint="eastAsia" w:eastAsia="仿宋" w:cs="Times New Roman"/>
                <w:bCs/>
                <w:color w:val="auto"/>
                <w:sz w:val="24"/>
                <w:szCs w:val="24"/>
                <w:highlight w:val="none"/>
                <w:lang w:val="en-US" w:eastAsia="zh-CN"/>
              </w:rPr>
              <w:t>大</w:t>
            </w:r>
            <w:r>
              <w:rPr>
                <w:rFonts w:hint="default" w:ascii="Times New Roman" w:hAnsi="Times New Roman" w:eastAsia="仿宋" w:cs="Times New Roman"/>
                <w:bCs/>
                <w:color w:val="auto"/>
                <w:sz w:val="24"/>
                <w:szCs w:val="24"/>
                <w:highlight w:val="none"/>
              </w:rPr>
              <w:t>型</w:t>
            </w:r>
            <w:r>
              <w:rPr>
                <w:rFonts w:hint="eastAsia" w:eastAsia="仿宋" w:cs="Times New Roman"/>
                <w:bCs/>
                <w:color w:val="auto"/>
                <w:sz w:val="24"/>
                <w:szCs w:val="24"/>
                <w:highlight w:val="none"/>
                <w:lang w:eastAsia="zh-CN"/>
              </w:rPr>
              <w:t>，</w:t>
            </w:r>
            <w:r>
              <w:rPr>
                <w:rFonts w:hint="eastAsia" w:eastAsia="仿宋" w:cs="Times New Roman"/>
                <w:bCs/>
                <w:color w:val="auto"/>
                <w:sz w:val="24"/>
                <w:szCs w:val="24"/>
                <w:highlight w:val="none"/>
                <w:lang w:val="en-US" w:eastAsia="zh-CN"/>
              </w:rPr>
              <w:t>本项目食堂油烟排放浓度为2.0mg/m</w:t>
            </w:r>
            <w:r>
              <w:rPr>
                <w:rFonts w:hint="eastAsia" w:eastAsia="仿宋" w:cs="Times New Roman"/>
                <w:bCs/>
                <w:color w:val="auto"/>
                <w:sz w:val="24"/>
                <w:szCs w:val="24"/>
                <w:highlight w:val="none"/>
                <w:vertAlign w:val="superscript"/>
                <w:lang w:val="en-US" w:eastAsia="zh-CN"/>
              </w:rPr>
              <w:t>3</w:t>
            </w:r>
            <w:r>
              <w:rPr>
                <w:rFonts w:hint="eastAsia" w:eastAsia="仿宋" w:cs="Times New Roman"/>
                <w:bCs/>
                <w:color w:val="auto"/>
                <w:sz w:val="24"/>
                <w:szCs w:val="24"/>
                <w:highlight w:val="none"/>
                <w:vertAlign w:val="baseline"/>
                <w:lang w:val="en-US" w:eastAsia="zh-CN"/>
              </w:rPr>
              <w:t>，净化设施最低去除效率为85%</w:t>
            </w:r>
            <w:r>
              <w:rPr>
                <w:rFonts w:hint="default" w:ascii="Times New Roman" w:hAnsi="Times New Roman" w:eastAsia="仿宋" w:cs="Times New Roman"/>
                <w:bCs/>
                <w:color w:val="auto"/>
                <w:sz w:val="24"/>
                <w:szCs w:val="24"/>
                <w:highlight w:val="none"/>
              </w:rPr>
              <w:t>。</w:t>
            </w:r>
          </w:p>
          <w:p w14:paraId="27F7893E">
            <w:pPr>
              <w:pStyle w:val="2"/>
              <w:keepNext w:val="0"/>
              <w:keepLines w:val="0"/>
              <w:pageBreakBefore w:val="0"/>
              <w:widowControl w:val="0"/>
              <w:kinsoku/>
              <w:wordWrap/>
              <w:overflowPunct/>
              <w:topLinePunct w:val="0"/>
              <w:bidi w:val="0"/>
              <w:snapToGrid/>
              <w:spacing w:after="0" w:line="360" w:lineRule="auto"/>
              <w:ind w:firstLine="480" w:firstLineChars="200"/>
              <w:textAlignment w:val="auto"/>
              <w:rPr>
                <w:rFonts w:hint="eastAsia" w:eastAsia="仿宋" w:cs="Times New Roman"/>
                <w:bCs/>
                <w:color w:val="auto"/>
                <w:sz w:val="24"/>
                <w:szCs w:val="24"/>
                <w:highlight w:val="none"/>
                <w:lang w:val="en-US" w:eastAsia="zh-CN"/>
              </w:rPr>
            </w:pPr>
            <w:r>
              <w:rPr>
                <w:rFonts w:hint="eastAsia" w:eastAsia="仿宋" w:cs="Times New Roman"/>
                <w:bCs/>
                <w:color w:val="auto"/>
                <w:sz w:val="24"/>
                <w:szCs w:val="24"/>
                <w:highlight w:val="none"/>
                <w:lang w:val="en-US" w:eastAsia="zh-CN"/>
              </w:rPr>
              <w:t>③食堂天然气燃烧废气</w:t>
            </w:r>
          </w:p>
          <w:p w14:paraId="17ABAC78">
            <w:pPr>
              <w:pStyle w:val="2"/>
              <w:keepNext w:val="0"/>
              <w:keepLines w:val="0"/>
              <w:pageBreakBefore w:val="0"/>
              <w:widowControl w:val="0"/>
              <w:kinsoku/>
              <w:wordWrap/>
              <w:overflowPunct/>
              <w:topLinePunct w:val="0"/>
              <w:bidi w:val="0"/>
              <w:snapToGrid/>
              <w:spacing w:after="0" w:line="360" w:lineRule="auto"/>
              <w:ind w:firstLine="480" w:firstLineChars="200"/>
              <w:textAlignment w:val="auto"/>
              <w:rPr>
                <w:rFonts w:hint="eastAsia" w:eastAsia="仿宋" w:cs="Times New Roman"/>
                <w:bCs/>
                <w:color w:val="auto"/>
                <w:sz w:val="24"/>
                <w:szCs w:val="24"/>
                <w:highlight w:val="none"/>
                <w:lang w:val="en-US" w:eastAsia="zh-CN"/>
              </w:rPr>
            </w:pPr>
            <w:r>
              <w:rPr>
                <w:rFonts w:hint="eastAsia" w:eastAsia="仿宋" w:cs="Times New Roman"/>
                <w:bCs/>
                <w:color w:val="auto"/>
                <w:sz w:val="24"/>
                <w:szCs w:val="24"/>
                <w:highlight w:val="none"/>
                <w:lang w:val="en-US" w:eastAsia="zh-CN"/>
              </w:rPr>
              <w:t>本项目食堂天然气燃烧废气无组织排放，排放标准执行《大气污染物综合排放标准》（DB32/4041-2021），其规定见下表。</w:t>
            </w:r>
          </w:p>
          <w:p w14:paraId="425FBC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表3-1</w:t>
            </w:r>
            <w:r>
              <w:rPr>
                <w:rFonts w:hint="eastAsia" w:ascii="Times New Roman" w:hAnsi="Times New Roman" w:eastAsia="仿宋" w:cs="Times New Roman"/>
                <w:b/>
                <w:bCs/>
                <w:color w:val="auto"/>
                <w:kern w:val="0"/>
                <w:sz w:val="22"/>
                <w:szCs w:val="22"/>
                <w:highlight w:val="none"/>
                <w:lang w:val="en-US" w:eastAsia="zh-CN" w:bidi="ar-SA"/>
              </w:rPr>
              <w:t>6</w:t>
            </w:r>
            <w:r>
              <w:rPr>
                <w:rFonts w:hint="default" w:ascii="Times New Roman" w:hAnsi="Times New Roman" w:eastAsia="仿宋" w:cs="Times New Roman"/>
                <w:b/>
                <w:bCs/>
                <w:color w:val="auto"/>
                <w:kern w:val="0"/>
                <w:sz w:val="22"/>
                <w:szCs w:val="22"/>
                <w:highlight w:val="none"/>
                <w:lang w:val="en-US" w:eastAsia="zh-CN" w:bidi="ar-SA"/>
              </w:rPr>
              <w:t xml:space="preserve"> </w:t>
            </w:r>
            <w:r>
              <w:rPr>
                <w:rFonts w:hint="eastAsia" w:ascii="Times New Roman" w:hAnsi="Times New Roman" w:eastAsia="仿宋" w:cs="Times New Roman"/>
                <w:b/>
                <w:bCs/>
                <w:color w:val="auto"/>
                <w:kern w:val="0"/>
                <w:sz w:val="22"/>
                <w:szCs w:val="22"/>
                <w:highlight w:val="none"/>
                <w:lang w:val="en-US" w:eastAsia="zh-CN" w:bidi="ar-SA"/>
              </w:rPr>
              <w:t>天然气燃烧废气无组织</w:t>
            </w:r>
            <w:r>
              <w:rPr>
                <w:rFonts w:hint="default" w:ascii="Times New Roman" w:hAnsi="Times New Roman" w:eastAsia="仿宋" w:cs="Times New Roman"/>
                <w:b/>
                <w:bCs/>
                <w:color w:val="auto"/>
                <w:kern w:val="0"/>
                <w:sz w:val="22"/>
                <w:szCs w:val="22"/>
                <w:highlight w:val="none"/>
                <w:lang w:val="en-US" w:eastAsia="zh-CN" w:bidi="ar-SA"/>
              </w:rPr>
              <w:t>排放标准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9"/>
              <w:gridCol w:w="2069"/>
              <w:gridCol w:w="2071"/>
              <w:gridCol w:w="2071"/>
            </w:tblGrid>
            <w:tr w14:paraId="3371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9" w:type="dxa"/>
                  <w:vAlign w:val="center"/>
                </w:tcPr>
                <w:p w14:paraId="2AFCC08C">
                  <w:pPr>
                    <w:pStyle w:val="2"/>
                    <w:widowControl w:val="0"/>
                    <w:spacing w:after="0" w:line="240" w:lineRule="auto"/>
                    <w:jc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序号</w:t>
                  </w:r>
                </w:p>
              </w:tc>
              <w:tc>
                <w:tcPr>
                  <w:tcW w:w="2069" w:type="dxa"/>
                  <w:vAlign w:val="center"/>
                </w:tcPr>
                <w:p w14:paraId="2E340E66">
                  <w:pPr>
                    <w:pStyle w:val="2"/>
                    <w:widowControl w:val="0"/>
                    <w:spacing w:after="0" w:line="240" w:lineRule="auto"/>
                    <w:jc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污染物</w:t>
                  </w:r>
                </w:p>
              </w:tc>
              <w:tc>
                <w:tcPr>
                  <w:tcW w:w="2071" w:type="dxa"/>
                  <w:vAlign w:val="center"/>
                </w:tcPr>
                <w:p w14:paraId="41056DE9">
                  <w:pPr>
                    <w:pStyle w:val="2"/>
                    <w:widowControl w:val="0"/>
                    <w:spacing w:after="0" w:line="240" w:lineRule="auto"/>
                    <w:jc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监控浓度限值mg/m</w:t>
                  </w:r>
                  <w:r>
                    <w:rPr>
                      <w:rFonts w:hint="eastAsia" w:ascii="Times New Roman" w:hAnsi="Times New Roman" w:eastAsia="仿宋" w:cs="Times New Roman"/>
                      <w:b/>
                      <w:bCs/>
                      <w:color w:val="auto"/>
                      <w:sz w:val="21"/>
                      <w:szCs w:val="21"/>
                      <w:highlight w:val="none"/>
                      <w:vertAlign w:val="superscript"/>
                      <w:lang w:val="en-US" w:eastAsia="zh-CN"/>
                    </w:rPr>
                    <w:t>3</w:t>
                  </w:r>
                </w:p>
              </w:tc>
              <w:tc>
                <w:tcPr>
                  <w:tcW w:w="2071" w:type="dxa"/>
                  <w:vAlign w:val="center"/>
                </w:tcPr>
                <w:p w14:paraId="6328F7A2">
                  <w:pPr>
                    <w:pStyle w:val="2"/>
                    <w:widowControl w:val="0"/>
                    <w:spacing w:after="0" w:line="240" w:lineRule="auto"/>
                    <w:jc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监控位置</w:t>
                  </w:r>
                </w:p>
              </w:tc>
            </w:tr>
            <w:tr w14:paraId="488A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9" w:type="dxa"/>
                  <w:vAlign w:val="center"/>
                </w:tcPr>
                <w:p w14:paraId="75F3E570">
                  <w:pPr>
                    <w:pStyle w:val="38"/>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2069" w:type="dxa"/>
                  <w:vAlign w:val="center"/>
                </w:tcPr>
                <w:p w14:paraId="23C1192D">
                  <w:pPr>
                    <w:pStyle w:val="38"/>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颗粒物</w:t>
                  </w:r>
                </w:p>
              </w:tc>
              <w:tc>
                <w:tcPr>
                  <w:tcW w:w="2071" w:type="dxa"/>
                  <w:vAlign w:val="center"/>
                </w:tcPr>
                <w:p w14:paraId="06721CE1">
                  <w:pPr>
                    <w:pStyle w:val="38"/>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0.5</w:t>
                  </w:r>
                </w:p>
              </w:tc>
              <w:tc>
                <w:tcPr>
                  <w:tcW w:w="2071" w:type="dxa"/>
                  <w:vMerge w:val="restart"/>
                  <w:vAlign w:val="center"/>
                </w:tcPr>
                <w:p w14:paraId="18036B50">
                  <w:pPr>
                    <w:pStyle w:val="38"/>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边界外浓度最高点</w:t>
                  </w:r>
                </w:p>
              </w:tc>
            </w:tr>
            <w:tr w14:paraId="7072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9" w:type="dxa"/>
                  <w:vAlign w:val="center"/>
                </w:tcPr>
                <w:p w14:paraId="4BDDEB5A">
                  <w:pPr>
                    <w:pStyle w:val="38"/>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c>
                <w:tcPr>
                  <w:tcW w:w="2069" w:type="dxa"/>
                  <w:vAlign w:val="center"/>
                </w:tcPr>
                <w:p w14:paraId="0DB4894C">
                  <w:pPr>
                    <w:pStyle w:val="38"/>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二氧化硫</w:t>
                  </w:r>
                </w:p>
              </w:tc>
              <w:tc>
                <w:tcPr>
                  <w:tcW w:w="2071" w:type="dxa"/>
                  <w:vAlign w:val="center"/>
                </w:tcPr>
                <w:p w14:paraId="2E36FC20">
                  <w:pPr>
                    <w:pStyle w:val="38"/>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0.4</w:t>
                  </w:r>
                </w:p>
              </w:tc>
              <w:tc>
                <w:tcPr>
                  <w:tcW w:w="2071" w:type="dxa"/>
                  <w:vMerge w:val="continue"/>
                  <w:vAlign w:val="center"/>
                </w:tcPr>
                <w:p w14:paraId="3FA1B1F2">
                  <w:pPr>
                    <w:pStyle w:val="2"/>
                    <w:keepNext w:val="0"/>
                    <w:keepLines w:val="0"/>
                    <w:pageBreakBefore w:val="0"/>
                    <w:widowControl w:val="0"/>
                    <w:kinsoku/>
                    <w:wordWrap/>
                    <w:overflowPunct/>
                    <w:topLinePunct w:val="0"/>
                    <w:bidi w:val="0"/>
                    <w:snapToGrid/>
                    <w:spacing w:after="0" w:line="360" w:lineRule="auto"/>
                    <w:jc w:val="center"/>
                    <w:textAlignment w:val="auto"/>
                    <w:rPr>
                      <w:rFonts w:hint="eastAsia" w:eastAsia="仿宋" w:cs="Times New Roman"/>
                      <w:bCs/>
                      <w:color w:val="auto"/>
                      <w:sz w:val="24"/>
                      <w:szCs w:val="24"/>
                      <w:highlight w:val="none"/>
                      <w:vertAlign w:val="baseline"/>
                      <w:lang w:val="en-US" w:eastAsia="zh-CN"/>
                    </w:rPr>
                  </w:pPr>
                </w:p>
              </w:tc>
            </w:tr>
            <w:tr w14:paraId="4D94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9" w:type="dxa"/>
                  <w:vAlign w:val="center"/>
                </w:tcPr>
                <w:p w14:paraId="074CC1F5">
                  <w:pPr>
                    <w:pStyle w:val="38"/>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c>
                <w:tcPr>
                  <w:tcW w:w="2069" w:type="dxa"/>
                  <w:vAlign w:val="center"/>
                </w:tcPr>
                <w:p w14:paraId="542A4C0C">
                  <w:pPr>
                    <w:pStyle w:val="38"/>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氮氧化物</w:t>
                  </w:r>
                </w:p>
              </w:tc>
              <w:tc>
                <w:tcPr>
                  <w:tcW w:w="2071" w:type="dxa"/>
                  <w:vAlign w:val="center"/>
                </w:tcPr>
                <w:p w14:paraId="21525362">
                  <w:pPr>
                    <w:pStyle w:val="38"/>
                    <w:keepNext w:val="0"/>
                    <w:keepLines w:val="0"/>
                    <w:pageBreakBefore w:val="0"/>
                    <w:widowControl w:val="0"/>
                    <w:kinsoku/>
                    <w:wordWrap/>
                    <w:overflowPunct/>
                    <w:topLinePunct w:val="0"/>
                    <w:bidi w:val="0"/>
                    <w:adjustRightInd w:val="0"/>
                    <w:snapToGrid/>
                    <w:spacing w:line="240" w:lineRule="auto"/>
                    <w:ind w:firstLine="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0.12</w:t>
                  </w:r>
                </w:p>
              </w:tc>
              <w:tc>
                <w:tcPr>
                  <w:tcW w:w="2071" w:type="dxa"/>
                  <w:vMerge w:val="continue"/>
                  <w:vAlign w:val="center"/>
                </w:tcPr>
                <w:p w14:paraId="17EE17BF">
                  <w:pPr>
                    <w:pStyle w:val="2"/>
                    <w:keepNext w:val="0"/>
                    <w:keepLines w:val="0"/>
                    <w:pageBreakBefore w:val="0"/>
                    <w:widowControl w:val="0"/>
                    <w:kinsoku/>
                    <w:wordWrap/>
                    <w:overflowPunct/>
                    <w:topLinePunct w:val="0"/>
                    <w:bidi w:val="0"/>
                    <w:snapToGrid/>
                    <w:spacing w:after="0" w:line="360" w:lineRule="auto"/>
                    <w:jc w:val="center"/>
                    <w:textAlignment w:val="auto"/>
                    <w:rPr>
                      <w:rFonts w:hint="eastAsia" w:eastAsia="仿宋" w:cs="Times New Roman"/>
                      <w:bCs/>
                      <w:color w:val="auto"/>
                      <w:sz w:val="24"/>
                      <w:szCs w:val="24"/>
                      <w:highlight w:val="none"/>
                      <w:vertAlign w:val="baseline"/>
                      <w:lang w:val="en-US" w:eastAsia="zh-CN"/>
                    </w:rPr>
                  </w:pPr>
                </w:p>
              </w:tc>
            </w:tr>
          </w:tbl>
          <w:p w14:paraId="49111A67">
            <w:pPr>
              <w:autoSpaceDE w:val="0"/>
              <w:autoSpaceDN w:val="0"/>
              <w:spacing w:line="360" w:lineRule="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3.噪声</w:t>
            </w:r>
          </w:p>
          <w:p w14:paraId="3E975C92">
            <w:pPr>
              <w:pStyle w:val="2"/>
              <w:widowControl w:val="0"/>
              <w:snapToGrid/>
              <w:spacing w:after="0" w:line="360" w:lineRule="auto"/>
              <w:ind w:firstLine="480"/>
              <w:rPr>
                <w:rFonts w:hint="eastAsia" w:ascii="Times New Roman" w:hAnsi="Times New Roman" w:eastAsia="仿宋" w:cs="Times New Roman"/>
                <w:b/>
                <w:bCs/>
                <w:color w:val="auto"/>
                <w:sz w:val="24"/>
                <w:szCs w:val="24"/>
                <w:highlight w:val="none"/>
                <w:lang w:val="en-US" w:eastAsia="zh-CN"/>
              </w:rPr>
            </w:pPr>
            <w:r>
              <w:rPr>
                <w:rFonts w:hint="eastAsia" w:eastAsia="仿宋" w:cs="Times New Roman"/>
                <w:b/>
                <w:bCs/>
                <w:color w:val="auto"/>
                <w:sz w:val="24"/>
                <w:szCs w:val="24"/>
                <w:highlight w:val="none"/>
                <w:lang w:val="en-US" w:eastAsia="zh-CN"/>
              </w:rPr>
              <w:t>施工期</w:t>
            </w:r>
          </w:p>
          <w:p w14:paraId="38D18D15">
            <w:pPr>
              <w:pStyle w:val="2"/>
              <w:widowControl w:val="0"/>
              <w:snapToGrid/>
              <w:spacing w:after="0" w:line="360" w:lineRule="auto"/>
              <w:ind w:firstLine="48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项目施工期噪声执行《建筑施工场界环境噪声排放标准》（GB12523-2011），具体标准值见下表。</w:t>
            </w:r>
          </w:p>
          <w:p w14:paraId="22438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表3-1</w:t>
            </w:r>
            <w:r>
              <w:rPr>
                <w:rFonts w:hint="eastAsia" w:ascii="Times New Roman" w:hAnsi="Times New Roman" w:eastAsia="仿宋" w:cs="Times New Roman"/>
                <w:b/>
                <w:bCs/>
                <w:color w:val="auto"/>
                <w:kern w:val="0"/>
                <w:sz w:val="22"/>
                <w:szCs w:val="22"/>
                <w:highlight w:val="none"/>
                <w:lang w:val="en-US" w:eastAsia="zh-CN" w:bidi="ar-SA"/>
              </w:rPr>
              <w:t>7</w:t>
            </w:r>
            <w:r>
              <w:rPr>
                <w:rFonts w:hint="default" w:ascii="Times New Roman" w:hAnsi="Times New Roman" w:eastAsia="仿宋" w:cs="Times New Roman"/>
                <w:b/>
                <w:bCs/>
                <w:color w:val="auto"/>
                <w:kern w:val="0"/>
                <w:sz w:val="22"/>
                <w:szCs w:val="22"/>
                <w:highlight w:val="none"/>
                <w:lang w:val="en-US" w:eastAsia="zh-CN" w:bidi="ar-SA"/>
              </w:rPr>
              <w:t>建筑施工场界环境噪声排放限值单位：dB（A）</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0"/>
              <w:gridCol w:w="4140"/>
            </w:tblGrid>
            <w:tr w14:paraId="7292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500" w:type="pct"/>
                  <w:vAlign w:val="center"/>
                </w:tcPr>
                <w:p w14:paraId="45117C28">
                  <w:pPr>
                    <w:pStyle w:val="2"/>
                    <w:widowControl w:val="0"/>
                    <w:spacing w:after="0"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昼间</w:t>
                  </w:r>
                </w:p>
              </w:tc>
              <w:tc>
                <w:tcPr>
                  <w:tcW w:w="2500" w:type="pct"/>
                  <w:vAlign w:val="center"/>
                </w:tcPr>
                <w:p w14:paraId="426C8A1B">
                  <w:pPr>
                    <w:pStyle w:val="2"/>
                    <w:widowControl w:val="0"/>
                    <w:spacing w:after="0"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夜间</w:t>
                  </w:r>
                </w:p>
              </w:tc>
            </w:tr>
            <w:tr w14:paraId="379B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6198F045">
                  <w:pPr>
                    <w:pStyle w:val="2"/>
                    <w:widowControl w:val="0"/>
                    <w:spacing w:after="0"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70</w:t>
                  </w:r>
                </w:p>
              </w:tc>
              <w:tc>
                <w:tcPr>
                  <w:tcW w:w="2500" w:type="pct"/>
                  <w:vAlign w:val="center"/>
                </w:tcPr>
                <w:p w14:paraId="431563DC">
                  <w:pPr>
                    <w:pStyle w:val="2"/>
                    <w:widowControl w:val="0"/>
                    <w:spacing w:after="0"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55</w:t>
                  </w:r>
                </w:p>
              </w:tc>
            </w:tr>
          </w:tbl>
          <w:p w14:paraId="436BFCA1">
            <w:pPr>
              <w:pStyle w:val="2"/>
              <w:widowControl w:val="0"/>
              <w:snapToGrid/>
              <w:spacing w:after="0" w:line="360" w:lineRule="auto"/>
              <w:ind w:firstLine="480"/>
              <w:rPr>
                <w:rFonts w:hint="eastAsia" w:ascii="Times New Roman" w:hAnsi="Times New Roman" w:eastAsia="仿宋" w:cs="Times New Roman"/>
                <w:b/>
                <w:bCs/>
                <w:color w:val="auto"/>
                <w:sz w:val="24"/>
                <w:szCs w:val="24"/>
                <w:highlight w:val="none"/>
                <w:lang w:val="en-US" w:eastAsia="zh-CN"/>
              </w:rPr>
            </w:pPr>
            <w:r>
              <w:rPr>
                <w:rFonts w:hint="eastAsia" w:eastAsia="仿宋" w:cs="Times New Roman"/>
                <w:b/>
                <w:bCs/>
                <w:color w:val="auto"/>
                <w:sz w:val="24"/>
                <w:szCs w:val="24"/>
                <w:highlight w:val="none"/>
                <w:lang w:val="en-US" w:eastAsia="zh-CN"/>
              </w:rPr>
              <w:t>营运期</w:t>
            </w:r>
          </w:p>
          <w:p w14:paraId="1FD655C9">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en-US" w:eastAsia="zh-CN" w:bidi="ar-SA"/>
              </w:rPr>
              <w:t>本项目营运期</w:t>
            </w:r>
            <w:r>
              <w:rPr>
                <w:rFonts w:hint="eastAsia" w:eastAsia="仿宋" w:cs="Times New Roman"/>
                <w:color w:val="auto"/>
                <w:kern w:val="0"/>
                <w:sz w:val="24"/>
                <w:szCs w:val="24"/>
                <w:highlight w:val="none"/>
                <w:lang w:val="en-US" w:eastAsia="zh-CN" w:bidi="ar-SA"/>
              </w:rPr>
              <w:t>北侧边界临金桂路、南侧边界临金坛大道、西侧临钱家路、东侧临聚贤路，</w:t>
            </w:r>
            <w:r>
              <w:rPr>
                <w:rFonts w:hint="default" w:ascii="Times New Roman" w:hAnsi="Times New Roman" w:eastAsia="仿宋" w:cs="Times New Roman"/>
                <w:color w:val="auto"/>
                <w:kern w:val="0"/>
                <w:sz w:val="24"/>
                <w:szCs w:val="24"/>
                <w:highlight w:val="none"/>
                <w:lang w:val="en-US" w:eastAsia="zh-CN" w:bidi="ar-SA"/>
              </w:rPr>
              <w:t>声环境执行《工业企业厂界环境噪声排放标准》（GB 12348-2008）中</w:t>
            </w:r>
            <w:r>
              <w:rPr>
                <w:rFonts w:hint="eastAsia" w:eastAsia="仿宋" w:cs="Times New Roman"/>
                <w:color w:val="auto"/>
                <w:kern w:val="0"/>
                <w:sz w:val="24"/>
                <w:szCs w:val="24"/>
                <w:highlight w:val="none"/>
                <w:lang w:val="en-US" w:eastAsia="zh-CN" w:bidi="ar-SA"/>
              </w:rPr>
              <w:t>4a</w:t>
            </w:r>
            <w:r>
              <w:rPr>
                <w:rFonts w:hint="default" w:ascii="Times New Roman" w:hAnsi="Times New Roman" w:eastAsia="仿宋" w:cs="Times New Roman"/>
                <w:color w:val="auto"/>
                <w:kern w:val="0"/>
                <w:sz w:val="24"/>
                <w:szCs w:val="24"/>
                <w:highlight w:val="none"/>
                <w:lang w:val="en-US" w:eastAsia="zh-CN" w:bidi="ar-SA"/>
              </w:rPr>
              <w:t>类标准。</w:t>
            </w:r>
            <w:r>
              <w:rPr>
                <w:rFonts w:hint="eastAsia" w:ascii="Times New Roman" w:hAnsi="Times New Roman" w:eastAsia="仿宋" w:cs="Times New Roman"/>
                <w:color w:val="auto"/>
                <w:kern w:val="0"/>
                <w:sz w:val="24"/>
                <w:szCs w:val="24"/>
                <w:highlight w:val="none"/>
                <w:lang w:val="en-US" w:eastAsia="zh-CN" w:bidi="ar-SA"/>
              </w:rPr>
              <w:t>具体</w:t>
            </w:r>
            <w:r>
              <w:rPr>
                <w:rFonts w:hint="default" w:ascii="Times New Roman" w:hAnsi="Times New Roman" w:eastAsia="仿宋" w:cs="Times New Roman"/>
                <w:color w:val="auto"/>
                <w:kern w:val="0"/>
                <w:sz w:val="24"/>
                <w:szCs w:val="24"/>
                <w:highlight w:val="none"/>
                <w:lang w:val="en-US" w:eastAsia="zh-CN" w:bidi="ar-SA"/>
              </w:rPr>
              <w:t>标准值见下表。</w:t>
            </w:r>
          </w:p>
          <w:p w14:paraId="4A7FA4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sz w:val="24"/>
                <w:szCs w:val="24"/>
                <w:highlight w:val="none"/>
              </w:rPr>
            </w:pPr>
            <w:r>
              <w:rPr>
                <w:rFonts w:hint="default" w:ascii="Times New Roman" w:hAnsi="Times New Roman" w:eastAsia="仿宋" w:cs="Times New Roman"/>
                <w:b/>
                <w:bCs/>
                <w:color w:val="auto"/>
                <w:kern w:val="0"/>
                <w:sz w:val="22"/>
                <w:szCs w:val="22"/>
                <w:highlight w:val="none"/>
                <w:lang w:val="en-US" w:eastAsia="zh-CN" w:bidi="ar-SA"/>
              </w:rPr>
              <w:t>表3-1</w:t>
            </w:r>
            <w:r>
              <w:rPr>
                <w:rFonts w:hint="eastAsia" w:ascii="Times New Roman" w:hAnsi="Times New Roman" w:eastAsia="仿宋" w:cs="Times New Roman"/>
                <w:b/>
                <w:bCs/>
                <w:color w:val="auto"/>
                <w:kern w:val="0"/>
                <w:sz w:val="22"/>
                <w:szCs w:val="22"/>
                <w:highlight w:val="none"/>
                <w:lang w:val="en-US" w:eastAsia="zh-CN" w:bidi="ar-SA"/>
              </w:rPr>
              <w:t>8</w:t>
            </w:r>
            <w:r>
              <w:rPr>
                <w:rFonts w:hint="default" w:ascii="Times New Roman" w:hAnsi="Times New Roman" w:eastAsia="仿宋" w:cs="Times New Roman"/>
                <w:b/>
                <w:bCs/>
                <w:color w:val="auto"/>
                <w:kern w:val="0"/>
                <w:sz w:val="22"/>
                <w:szCs w:val="22"/>
                <w:highlight w:val="none"/>
                <w:lang w:val="en-US" w:eastAsia="zh-CN" w:bidi="ar-SA"/>
              </w:rPr>
              <w:t>工业企业厂界环境噪声排放限值单位：dB（A）</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2"/>
              <w:gridCol w:w="1370"/>
              <w:gridCol w:w="1464"/>
              <w:gridCol w:w="2921"/>
            </w:tblGrid>
            <w:tr w14:paraId="63BA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3" w:type="pct"/>
                  <w:shd w:val="clear" w:color="auto" w:fill="auto"/>
                  <w:vAlign w:val="center"/>
                </w:tcPr>
                <w:p w14:paraId="2248A8E0">
                  <w:pPr>
                    <w:pStyle w:val="2"/>
                    <w:widowControl w:val="0"/>
                    <w:spacing w:after="0"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声环境功能区划类别</w:t>
                  </w:r>
                </w:p>
              </w:tc>
              <w:tc>
                <w:tcPr>
                  <w:tcW w:w="827" w:type="pct"/>
                  <w:shd w:val="clear" w:color="auto" w:fill="auto"/>
                  <w:vAlign w:val="center"/>
                </w:tcPr>
                <w:p w14:paraId="2F161565">
                  <w:pPr>
                    <w:pStyle w:val="2"/>
                    <w:widowControl w:val="0"/>
                    <w:spacing w:after="0"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昼间</w:t>
                  </w:r>
                </w:p>
              </w:tc>
              <w:tc>
                <w:tcPr>
                  <w:tcW w:w="884" w:type="pct"/>
                  <w:vAlign w:val="center"/>
                </w:tcPr>
                <w:p w14:paraId="7D19B6BB">
                  <w:pPr>
                    <w:pStyle w:val="2"/>
                    <w:widowControl w:val="0"/>
                    <w:spacing w:after="0"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夜间</w:t>
                  </w:r>
                </w:p>
              </w:tc>
              <w:tc>
                <w:tcPr>
                  <w:tcW w:w="1764" w:type="pct"/>
                  <w:shd w:val="clear" w:color="auto" w:fill="auto"/>
                  <w:vAlign w:val="center"/>
                </w:tcPr>
                <w:p w14:paraId="4081F603">
                  <w:pPr>
                    <w:pStyle w:val="2"/>
                    <w:widowControl w:val="0"/>
                    <w:spacing w:after="0"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执行区域</w:t>
                  </w:r>
                </w:p>
              </w:tc>
            </w:tr>
            <w:tr w14:paraId="1507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3" w:type="pct"/>
                  <w:shd w:val="clear" w:color="auto" w:fill="auto"/>
                  <w:vAlign w:val="center"/>
                </w:tcPr>
                <w:p w14:paraId="4CF6E117">
                  <w:pPr>
                    <w:pStyle w:val="2"/>
                    <w:widowControl w:val="0"/>
                    <w:spacing w:after="0"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4a类</w:t>
                  </w:r>
                </w:p>
              </w:tc>
              <w:tc>
                <w:tcPr>
                  <w:tcW w:w="827" w:type="pct"/>
                  <w:shd w:val="clear" w:color="auto" w:fill="auto"/>
                  <w:vAlign w:val="center"/>
                </w:tcPr>
                <w:p w14:paraId="0B5CDA4D">
                  <w:pPr>
                    <w:pStyle w:val="2"/>
                    <w:widowControl w:val="0"/>
                    <w:spacing w:after="0"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70</w:t>
                  </w:r>
                </w:p>
              </w:tc>
              <w:tc>
                <w:tcPr>
                  <w:tcW w:w="884" w:type="pct"/>
                  <w:vAlign w:val="center"/>
                </w:tcPr>
                <w:p w14:paraId="69D3E941">
                  <w:pPr>
                    <w:pStyle w:val="2"/>
                    <w:widowControl w:val="0"/>
                    <w:spacing w:after="0"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55</w:t>
                  </w:r>
                </w:p>
              </w:tc>
              <w:tc>
                <w:tcPr>
                  <w:tcW w:w="1764" w:type="pct"/>
                  <w:shd w:val="clear" w:color="auto" w:fill="auto"/>
                  <w:vAlign w:val="center"/>
                </w:tcPr>
                <w:p w14:paraId="7D8F9DFC">
                  <w:pPr>
                    <w:pStyle w:val="2"/>
                    <w:widowControl w:val="0"/>
                    <w:spacing w:after="0" w:line="240" w:lineRule="auto"/>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东、南、西、北</w:t>
                  </w:r>
                  <w:r>
                    <w:rPr>
                      <w:rFonts w:hint="default" w:ascii="Times New Roman" w:hAnsi="Times New Roman" w:eastAsia="仿宋" w:cs="Times New Roman"/>
                      <w:color w:val="auto"/>
                      <w:sz w:val="21"/>
                      <w:szCs w:val="21"/>
                      <w:highlight w:val="none"/>
                      <w:lang w:val="en-US" w:eastAsia="zh-CN"/>
                    </w:rPr>
                    <w:t>侧边界</w:t>
                  </w:r>
                </w:p>
              </w:tc>
            </w:tr>
          </w:tbl>
          <w:p w14:paraId="51C070E3">
            <w:pPr>
              <w:autoSpaceDE w:val="0"/>
              <w:autoSpaceDN w:val="0"/>
              <w:spacing w:line="440" w:lineRule="exact"/>
              <w:rPr>
                <w:rFonts w:hint="default" w:ascii="Times New Roman" w:hAnsi="Times New Roman" w:eastAsia="仿宋" w:cs="Times New Roman"/>
                <w:b/>
                <w:bCs/>
                <w:color w:val="auto"/>
                <w:kern w:val="0"/>
                <w:sz w:val="24"/>
                <w:szCs w:val="24"/>
                <w:highlight w:val="none"/>
              </w:rPr>
            </w:pPr>
            <w:r>
              <w:rPr>
                <w:rFonts w:hint="eastAsia" w:ascii="Times New Roman" w:hAnsi="Times New Roman" w:eastAsia="仿宋" w:cs="Times New Roman"/>
                <w:b/>
                <w:bCs/>
                <w:color w:val="auto"/>
                <w:kern w:val="0"/>
                <w:sz w:val="24"/>
                <w:szCs w:val="24"/>
                <w:highlight w:val="none"/>
                <w:lang w:val="en-US" w:eastAsia="zh-CN"/>
              </w:rPr>
              <w:t>4、</w:t>
            </w:r>
            <w:r>
              <w:rPr>
                <w:rFonts w:hint="default" w:ascii="Times New Roman" w:hAnsi="Times New Roman" w:eastAsia="仿宋" w:cs="Times New Roman"/>
                <w:b/>
                <w:bCs/>
                <w:color w:val="auto"/>
                <w:kern w:val="0"/>
                <w:sz w:val="24"/>
                <w:szCs w:val="24"/>
                <w:highlight w:val="none"/>
              </w:rPr>
              <w:t>固体废物</w:t>
            </w:r>
          </w:p>
          <w:p w14:paraId="271AA996">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eastAsia="仿宋" w:cs="Times New Roman"/>
                <w:color w:val="auto"/>
                <w:kern w:val="0"/>
                <w:sz w:val="24"/>
                <w:szCs w:val="24"/>
                <w:highlight w:val="none"/>
                <w:lang w:val="en-US" w:eastAsia="zh-CN" w:bidi="ar-SA"/>
              </w:rPr>
            </w:pPr>
            <w:r>
              <w:rPr>
                <w:rFonts w:hint="eastAsia" w:eastAsia="仿宋" w:cs="Times New Roman"/>
                <w:color w:val="auto"/>
                <w:kern w:val="0"/>
                <w:sz w:val="24"/>
                <w:szCs w:val="24"/>
                <w:highlight w:val="none"/>
                <w:lang w:val="en-US" w:eastAsia="zh-CN" w:bidi="ar-SA"/>
              </w:rPr>
              <w:t>（1）本项目医疗废物的收集、运送、暂时贮存等应执行《医疗卫生机构医疗废物管理办法》（卫生部令第36号）及《危险废物贮存污染控制标准》（GB18597—2023）及其修改单的相关要求；生活垃圾的贮存与处置执行《城市生活垃圾管理办法》（建设部令第157号）的相关要求。</w:t>
            </w:r>
          </w:p>
          <w:p w14:paraId="12843119">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color w:val="auto"/>
                <w:sz w:val="24"/>
              </w:rPr>
            </w:pPr>
            <w:r>
              <w:rPr>
                <w:rFonts w:hint="eastAsia" w:eastAsia="仿宋" w:cs="Times New Roman"/>
                <w:color w:val="auto"/>
                <w:kern w:val="0"/>
                <w:sz w:val="24"/>
                <w:szCs w:val="24"/>
                <w:highlight w:val="none"/>
                <w:lang w:val="en-US" w:eastAsia="zh-CN" w:bidi="ar-SA"/>
              </w:rPr>
              <w:t>（2）本项目污水处理站污泥执行《医疗机构水污染物排放标准》（GB18466-2005）表4中控制要求，具体见表3-18。</w:t>
            </w:r>
          </w:p>
          <w:p w14:paraId="3BE8A9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表3-1</w:t>
            </w:r>
            <w:r>
              <w:rPr>
                <w:rFonts w:hint="eastAsia" w:ascii="Times New Roman" w:hAnsi="Times New Roman" w:eastAsia="仿宋" w:cs="Times New Roman"/>
                <w:b/>
                <w:bCs/>
                <w:color w:val="auto"/>
                <w:kern w:val="0"/>
                <w:sz w:val="22"/>
                <w:szCs w:val="22"/>
                <w:highlight w:val="none"/>
                <w:lang w:val="en-US" w:eastAsia="zh-CN" w:bidi="ar-SA"/>
              </w:rPr>
              <w:t xml:space="preserve">9  </w:t>
            </w:r>
            <w:r>
              <w:rPr>
                <w:rFonts w:hint="default" w:ascii="Times New Roman" w:hAnsi="Times New Roman" w:eastAsia="仿宋" w:cs="Times New Roman"/>
                <w:b/>
                <w:bCs/>
                <w:color w:val="auto"/>
                <w:kern w:val="0"/>
                <w:sz w:val="22"/>
                <w:szCs w:val="22"/>
                <w:highlight w:val="none"/>
                <w:lang w:val="en-US" w:eastAsia="zh-CN" w:bidi="ar-SA"/>
              </w:rPr>
              <w:t>医疗机构污泥控制标准</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31"/>
              <w:gridCol w:w="2503"/>
              <w:gridCol w:w="2253"/>
            </w:tblGrid>
            <w:tr w14:paraId="5332A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0" w:type="pct"/>
                  <w:noWrap w:val="0"/>
                  <w:vAlign w:val="center"/>
                </w:tcPr>
                <w:p w14:paraId="79FFCEB2">
                  <w:pPr>
                    <w:pStyle w:val="2"/>
                    <w:widowControl w:val="0"/>
                    <w:spacing w:after="0" w:line="240" w:lineRule="auto"/>
                    <w:jc w:val="center"/>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医疗机构类别</w:t>
                  </w:r>
                </w:p>
              </w:tc>
              <w:tc>
                <w:tcPr>
                  <w:tcW w:w="2869" w:type="pct"/>
                  <w:gridSpan w:val="2"/>
                  <w:noWrap w:val="0"/>
                  <w:vAlign w:val="center"/>
                </w:tcPr>
                <w:p w14:paraId="49D75618">
                  <w:pPr>
                    <w:pStyle w:val="2"/>
                    <w:widowControl w:val="0"/>
                    <w:spacing w:after="0" w:line="240" w:lineRule="auto"/>
                    <w:jc w:val="center"/>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控制标准</w:t>
                  </w:r>
                </w:p>
              </w:tc>
            </w:tr>
            <w:tr w14:paraId="74B7A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1" w:hRule="atLeast"/>
                <w:jc w:val="center"/>
              </w:trPr>
              <w:tc>
                <w:tcPr>
                  <w:tcW w:w="2130" w:type="pct"/>
                  <w:vMerge w:val="restart"/>
                  <w:noWrap w:val="0"/>
                  <w:vAlign w:val="center"/>
                </w:tcPr>
                <w:p w14:paraId="6CB4148F">
                  <w:pPr>
                    <w:pStyle w:val="2"/>
                    <w:widowControl w:val="0"/>
                    <w:spacing w:after="0"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综合医疗机构和</w:t>
                  </w:r>
                  <w:r>
                    <w:rPr>
                      <w:rFonts w:hint="eastAsia" w:ascii="Times New Roman" w:hAnsi="Times New Roman" w:eastAsia="仿宋" w:cs="Times New Roman"/>
                      <w:color w:val="auto"/>
                      <w:sz w:val="21"/>
                      <w:szCs w:val="21"/>
                      <w:highlight w:val="none"/>
                      <w:lang w:val="en-US" w:eastAsia="zh-CN"/>
                    </w:rPr>
                    <w:t>其它</w:t>
                  </w:r>
                  <w:r>
                    <w:rPr>
                      <w:rFonts w:hint="default" w:ascii="Times New Roman" w:hAnsi="Times New Roman" w:eastAsia="仿宋" w:cs="Times New Roman"/>
                      <w:color w:val="auto"/>
                      <w:sz w:val="21"/>
                      <w:szCs w:val="21"/>
                      <w:highlight w:val="none"/>
                      <w:lang w:val="en-US" w:eastAsia="zh-CN"/>
                    </w:rPr>
                    <w:t>医疗机构</w:t>
                  </w:r>
                </w:p>
              </w:tc>
              <w:tc>
                <w:tcPr>
                  <w:tcW w:w="1510" w:type="pct"/>
                  <w:noWrap w:val="0"/>
                  <w:vAlign w:val="center"/>
                </w:tcPr>
                <w:p w14:paraId="044271BF">
                  <w:pPr>
                    <w:pStyle w:val="2"/>
                    <w:widowControl w:val="0"/>
                    <w:spacing w:after="0"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粪大肠杆菌群（MPN/g）</w:t>
                  </w:r>
                </w:p>
              </w:tc>
              <w:tc>
                <w:tcPr>
                  <w:tcW w:w="1359" w:type="pct"/>
                  <w:noWrap w:val="0"/>
                  <w:vAlign w:val="center"/>
                </w:tcPr>
                <w:p w14:paraId="219E64BA">
                  <w:pPr>
                    <w:pStyle w:val="2"/>
                    <w:widowControl w:val="0"/>
                    <w:spacing w:after="0"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蛔虫卵死亡率（%）</w:t>
                  </w:r>
                </w:p>
              </w:tc>
            </w:tr>
            <w:tr w14:paraId="672AB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0" w:type="pct"/>
                  <w:vMerge w:val="continue"/>
                  <w:noWrap w:val="0"/>
                  <w:vAlign w:val="center"/>
                </w:tcPr>
                <w:p w14:paraId="5F199A0E">
                  <w:pPr>
                    <w:pStyle w:val="2"/>
                    <w:widowControl w:val="0"/>
                    <w:spacing w:after="0" w:line="240" w:lineRule="auto"/>
                    <w:jc w:val="center"/>
                    <w:rPr>
                      <w:rFonts w:hint="default" w:ascii="Times New Roman" w:hAnsi="Times New Roman" w:eastAsia="仿宋" w:cs="Times New Roman"/>
                      <w:color w:val="auto"/>
                      <w:sz w:val="21"/>
                      <w:szCs w:val="21"/>
                      <w:highlight w:val="none"/>
                      <w:lang w:val="en-US" w:eastAsia="zh-CN"/>
                    </w:rPr>
                  </w:pPr>
                </w:p>
              </w:tc>
              <w:tc>
                <w:tcPr>
                  <w:tcW w:w="1510" w:type="pct"/>
                  <w:noWrap w:val="0"/>
                  <w:vAlign w:val="center"/>
                </w:tcPr>
                <w:p w14:paraId="3AF81182">
                  <w:pPr>
                    <w:pStyle w:val="2"/>
                    <w:widowControl w:val="0"/>
                    <w:spacing w:after="0"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≤100</w:t>
                  </w:r>
                </w:p>
              </w:tc>
              <w:tc>
                <w:tcPr>
                  <w:tcW w:w="1359" w:type="pct"/>
                  <w:noWrap w:val="0"/>
                  <w:vAlign w:val="center"/>
                </w:tcPr>
                <w:p w14:paraId="30F6C5C3">
                  <w:pPr>
                    <w:pStyle w:val="2"/>
                    <w:widowControl w:val="0"/>
                    <w:spacing w:after="0" w:line="240" w:lineRule="auto"/>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95</w:t>
                  </w:r>
                </w:p>
              </w:tc>
            </w:tr>
          </w:tbl>
          <w:p w14:paraId="450D31C0">
            <w:pPr>
              <w:autoSpaceDE w:val="0"/>
              <w:autoSpaceDN w:val="0"/>
              <w:spacing w:line="440" w:lineRule="exact"/>
              <w:rPr>
                <w:rFonts w:hint="eastAsia" w:ascii="Times New Roman" w:hAnsi="Times New Roman" w:eastAsia="仿宋" w:cs="Times New Roman"/>
                <w:b/>
                <w:bCs/>
                <w:color w:val="auto"/>
                <w:kern w:val="0"/>
                <w:sz w:val="24"/>
                <w:szCs w:val="24"/>
                <w:highlight w:val="none"/>
                <w:lang w:val="en-US" w:eastAsia="zh-CN"/>
              </w:rPr>
            </w:pPr>
            <w:r>
              <w:rPr>
                <w:rFonts w:hint="eastAsia" w:ascii="Times New Roman" w:hAnsi="Times New Roman" w:eastAsia="仿宋" w:cs="Times New Roman"/>
                <w:b/>
                <w:bCs/>
                <w:color w:val="auto"/>
                <w:kern w:val="0"/>
                <w:sz w:val="24"/>
                <w:szCs w:val="24"/>
                <w:highlight w:val="none"/>
                <w:lang w:val="en-US" w:eastAsia="zh-CN"/>
              </w:rPr>
              <w:t>5、放射防护评价标准</w:t>
            </w:r>
          </w:p>
          <w:p w14:paraId="49507D70">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cs="Times New Roman"/>
                <w:b/>
                <w:bCs/>
                <w:color w:val="auto"/>
                <w:kern w:val="0"/>
                <w:sz w:val="24"/>
              </w:rPr>
            </w:pPr>
            <w:r>
              <w:rPr>
                <w:rFonts w:hint="default" w:eastAsia="仿宋" w:cs="Times New Roman"/>
                <w:color w:val="auto"/>
                <w:kern w:val="0"/>
                <w:sz w:val="24"/>
                <w:szCs w:val="24"/>
                <w:highlight w:val="none"/>
                <w:lang w:val="en-US" w:eastAsia="zh-CN" w:bidi="ar-SA"/>
              </w:rPr>
              <w:t>有关辐射环评需委托有资质单位编制专项辐射环评另行报批</w:t>
            </w:r>
            <w:r>
              <w:rPr>
                <w:rFonts w:hint="eastAsia" w:eastAsia="仿宋" w:cs="Times New Roman"/>
                <w:color w:val="auto"/>
                <w:kern w:val="0"/>
                <w:sz w:val="24"/>
                <w:szCs w:val="24"/>
                <w:highlight w:val="none"/>
                <w:lang w:val="en-US" w:eastAsia="zh-CN" w:bidi="ar-SA"/>
              </w:rPr>
              <w:t>。</w:t>
            </w:r>
          </w:p>
        </w:tc>
      </w:tr>
      <w:tr w14:paraId="70D50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551" w:type="dxa"/>
            <w:vAlign w:val="center"/>
          </w:tcPr>
          <w:p w14:paraId="5DCD7213">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eastAsia="仿宋" w:cs="Times New Roman"/>
                <w:color w:val="auto"/>
                <w:kern w:val="0"/>
                <w:sz w:val="24"/>
                <w:szCs w:val="24"/>
                <w:highlight w:val="none"/>
              </w:rPr>
              <w:t>总量控制指标</w:t>
            </w:r>
          </w:p>
        </w:tc>
        <w:tc>
          <w:tcPr>
            <w:tcW w:w="8506" w:type="dxa"/>
          </w:tcPr>
          <w:p w14:paraId="4CC322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表3-</w:t>
            </w:r>
            <w:r>
              <w:rPr>
                <w:rFonts w:hint="eastAsia" w:ascii="Times New Roman" w:hAnsi="Times New Roman" w:eastAsia="仿宋" w:cs="Times New Roman"/>
                <w:b/>
                <w:bCs/>
                <w:color w:val="auto"/>
                <w:kern w:val="0"/>
                <w:sz w:val="22"/>
                <w:szCs w:val="22"/>
                <w:highlight w:val="none"/>
                <w:lang w:val="en-US" w:eastAsia="zh-CN" w:bidi="ar-SA"/>
              </w:rPr>
              <w:t>20</w:t>
            </w:r>
            <w:r>
              <w:rPr>
                <w:rFonts w:hint="default" w:ascii="Times New Roman" w:hAnsi="Times New Roman" w:eastAsia="仿宋" w:cs="Times New Roman"/>
                <w:b/>
                <w:bCs/>
                <w:color w:val="auto"/>
                <w:kern w:val="0"/>
                <w:sz w:val="22"/>
                <w:szCs w:val="22"/>
                <w:highlight w:val="none"/>
                <w:lang w:val="en-US" w:eastAsia="zh-CN" w:bidi="ar-SA"/>
              </w:rPr>
              <w:t xml:space="preserve">  污染物排放总量控制指标 单位：t/a</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455"/>
              <w:gridCol w:w="1353"/>
              <w:gridCol w:w="1333"/>
              <w:gridCol w:w="1543"/>
              <w:gridCol w:w="1217"/>
            </w:tblGrid>
            <w:tr w14:paraId="6C61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10" w:type="pct"/>
                  <w:gridSpan w:val="2"/>
                  <w:vMerge w:val="restart"/>
                  <w:vAlign w:val="center"/>
                </w:tcPr>
                <w:p w14:paraId="33B564B4">
                  <w:pPr>
                    <w:pStyle w:val="109"/>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污染物名称</w:t>
                  </w:r>
                </w:p>
              </w:tc>
              <w:tc>
                <w:tcPr>
                  <w:tcW w:w="2554" w:type="pct"/>
                  <w:gridSpan w:val="3"/>
                  <w:vAlign w:val="center"/>
                </w:tcPr>
                <w:p w14:paraId="1109BBDA">
                  <w:pPr>
                    <w:pStyle w:val="109"/>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本项目</w:t>
                  </w:r>
                </w:p>
              </w:tc>
              <w:tc>
                <w:tcPr>
                  <w:tcW w:w="735" w:type="pct"/>
                  <w:vMerge w:val="restart"/>
                  <w:vAlign w:val="center"/>
                </w:tcPr>
                <w:p w14:paraId="52815A8B">
                  <w:pPr>
                    <w:pStyle w:val="109"/>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排入外环境的量t/a</w:t>
                  </w:r>
                </w:p>
              </w:tc>
            </w:tr>
            <w:tr w14:paraId="7CF6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10" w:type="pct"/>
                  <w:gridSpan w:val="2"/>
                  <w:vMerge w:val="continue"/>
                  <w:vAlign w:val="center"/>
                </w:tcPr>
                <w:p w14:paraId="66860C37">
                  <w:pPr>
                    <w:pStyle w:val="109"/>
                    <w:rPr>
                      <w:rFonts w:hint="default" w:ascii="Times New Roman" w:hAnsi="Times New Roman" w:eastAsia="仿宋" w:cs="Times New Roman"/>
                      <w:b/>
                      <w:bCs/>
                      <w:color w:val="auto"/>
                      <w:sz w:val="21"/>
                      <w:szCs w:val="21"/>
                      <w:highlight w:val="none"/>
                    </w:rPr>
                  </w:pPr>
                </w:p>
              </w:tc>
              <w:tc>
                <w:tcPr>
                  <w:tcW w:w="817" w:type="pct"/>
                  <w:vAlign w:val="center"/>
                </w:tcPr>
                <w:p w14:paraId="7070636F">
                  <w:pPr>
                    <w:pStyle w:val="109"/>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产生量t/a</w:t>
                  </w:r>
                </w:p>
              </w:tc>
              <w:tc>
                <w:tcPr>
                  <w:tcW w:w="805" w:type="pct"/>
                  <w:vAlign w:val="center"/>
                </w:tcPr>
                <w:p w14:paraId="3D66FFB2">
                  <w:pPr>
                    <w:pStyle w:val="109"/>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削减量t/a</w:t>
                  </w:r>
                </w:p>
              </w:tc>
              <w:tc>
                <w:tcPr>
                  <w:tcW w:w="932" w:type="pct"/>
                  <w:vAlign w:val="center"/>
                </w:tcPr>
                <w:p w14:paraId="599621EC">
                  <w:pPr>
                    <w:pStyle w:val="109"/>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排放量*t/a</w:t>
                  </w:r>
                </w:p>
              </w:tc>
              <w:tc>
                <w:tcPr>
                  <w:tcW w:w="735" w:type="pct"/>
                  <w:vMerge w:val="continue"/>
                  <w:vAlign w:val="center"/>
                </w:tcPr>
                <w:p w14:paraId="765A0D03">
                  <w:pPr>
                    <w:pStyle w:val="109"/>
                    <w:rPr>
                      <w:rFonts w:hint="default" w:ascii="Times New Roman" w:hAnsi="Times New Roman" w:eastAsia="仿宋" w:cs="Times New Roman"/>
                      <w:b/>
                      <w:bCs/>
                      <w:color w:val="auto"/>
                      <w:sz w:val="21"/>
                      <w:szCs w:val="21"/>
                      <w:highlight w:val="none"/>
                    </w:rPr>
                  </w:pPr>
                </w:p>
              </w:tc>
            </w:tr>
            <w:tr w14:paraId="6873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restart"/>
                  <w:vAlign w:val="center"/>
                </w:tcPr>
                <w:p w14:paraId="21DF5D6F">
                  <w:pPr>
                    <w:pStyle w:val="10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废水</w:t>
                  </w:r>
                </w:p>
              </w:tc>
              <w:tc>
                <w:tcPr>
                  <w:tcW w:w="878" w:type="pct"/>
                  <w:vAlign w:val="center"/>
                </w:tcPr>
                <w:p w14:paraId="67B284E9">
                  <w:pPr>
                    <w:pStyle w:val="10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水量</w:t>
                  </w:r>
                </w:p>
              </w:tc>
              <w:tc>
                <w:tcPr>
                  <w:tcW w:w="817" w:type="pct"/>
                  <w:vAlign w:val="center"/>
                </w:tcPr>
                <w:p w14:paraId="443F5F3C">
                  <w:pPr>
                    <w:pStyle w:val="109"/>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73687</w:t>
                  </w:r>
                </w:p>
              </w:tc>
              <w:tc>
                <w:tcPr>
                  <w:tcW w:w="805" w:type="pct"/>
                  <w:vAlign w:val="center"/>
                </w:tcPr>
                <w:p w14:paraId="5F1B904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0</w:t>
                  </w:r>
                </w:p>
              </w:tc>
              <w:tc>
                <w:tcPr>
                  <w:tcW w:w="932" w:type="pct"/>
                  <w:vAlign w:val="center"/>
                </w:tcPr>
                <w:p w14:paraId="66A9181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73687</w:t>
                  </w:r>
                </w:p>
              </w:tc>
              <w:tc>
                <w:tcPr>
                  <w:tcW w:w="735" w:type="pct"/>
                  <w:vAlign w:val="center"/>
                </w:tcPr>
                <w:p w14:paraId="0C2112D8">
                  <w:pPr>
                    <w:pStyle w:val="109"/>
                    <w:rPr>
                      <w:rFonts w:hint="default" w:ascii="Times New Roman" w:hAnsi="Times New Roman" w:eastAsia="仿宋" w:cs="Times New Roman"/>
                      <w:color w:val="auto"/>
                      <w:sz w:val="21"/>
                      <w:szCs w:val="21"/>
                      <w:highlight w:val="none"/>
                      <w:lang w:val="en-US"/>
                    </w:rPr>
                  </w:pPr>
                  <w:r>
                    <w:rPr>
                      <w:rFonts w:hint="eastAsia" w:cs="Times New Roman"/>
                      <w:i w:val="0"/>
                      <w:iCs w:val="0"/>
                      <w:color w:val="auto"/>
                      <w:kern w:val="2"/>
                      <w:sz w:val="21"/>
                      <w:szCs w:val="21"/>
                      <w:highlight w:val="none"/>
                      <w:u w:val="none"/>
                      <w:lang w:val="en-US" w:eastAsia="zh-CN" w:bidi="ar-SA"/>
                    </w:rPr>
                    <w:t>73687</w:t>
                  </w:r>
                </w:p>
              </w:tc>
            </w:tr>
            <w:tr w14:paraId="221F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continue"/>
                  <w:vAlign w:val="center"/>
                </w:tcPr>
                <w:p w14:paraId="48604BD1">
                  <w:pPr>
                    <w:pStyle w:val="109"/>
                    <w:rPr>
                      <w:rFonts w:hint="default" w:ascii="Times New Roman" w:hAnsi="Times New Roman" w:eastAsia="仿宋" w:cs="Times New Roman"/>
                      <w:color w:val="auto"/>
                      <w:sz w:val="21"/>
                      <w:szCs w:val="21"/>
                      <w:highlight w:val="none"/>
                    </w:rPr>
                  </w:pPr>
                </w:p>
              </w:tc>
              <w:tc>
                <w:tcPr>
                  <w:tcW w:w="878" w:type="pct"/>
                  <w:vAlign w:val="center"/>
                </w:tcPr>
                <w:p w14:paraId="32B2CDF7">
                  <w:pPr>
                    <w:pStyle w:val="109"/>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pH</w:t>
                  </w:r>
                </w:p>
              </w:tc>
              <w:tc>
                <w:tcPr>
                  <w:tcW w:w="817" w:type="pct"/>
                  <w:vAlign w:val="center"/>
                </w:tcPr>
                <w:p w14:paraId="7C535FB8">
                  <w:pPr>
                    <w:pStyle w:val="109"/>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805" w:type="pct"/>
                  <w:vAlign w:val="center"/>
                </w:tcPr>
                <w:p w14:paraId="20EDB3D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w:t>
                  </w:r>
                </w:p>
              </w:tc>
              <w:tc>
                <w:tcPr>
                  <w:tcW w:w="932" w:type="pct"/>
                  <w:vAlign w:val="center"/>
                </w:tcPr>
                <w:p w14:paraId="6278DF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735" w:type="pct"/>
                  <w:vAlign w:val="center"/>
                </w:tcPr>
                <w:p w14:paraId="26DFDD22">
                  <w:pPr>
                    <w:pStyle w:val="109"/>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r w14:paraId="7471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1" w:type="pct"/>
                  <w:vMerge w:val="continue"/>
                  <w:vAlign w:val="center"/>
                </w:tcPr>
                <w:p w14:paraId="184717AD">
                  <w:pPr>
                    <w:pStyle w:val="109"/>
                    <w:rPr>
                      <w:rFonts w:hint="default" w:ascii="Times New Roman" w:hAnsi="Times New Roman" w:eastAsia="仿宋" w:cs="Times New Roman"/>
                      <w:color w:val="auto"/>
                      <w:sz w:val="21"/>
                      <w:szCs w:val="21"/>
                      <w:highlight w:val="none"/>
                    </w:rPr>
                  </w:pPr>
                </w:p>
              </w:tc>
              <w:tc>
                <w:tcPr>
                  <w:tcW w:w="878" w:type="pct"/>
                  <w:vAlign w:val="center"/>
                </w:tcPr>
                <w:p w14:paraId="747013D6">
                  <w:pPr>
                    <w:widowControl/>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817" w:type="pct"/>
                  <w:vAlign w:val="center"/>
                </w:tcPr>
                <w:p w14:paraId="1461231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u w:val="none"/>
                      <w:lang w:val="en-US" w:eastAsia="zh-CN" w:bidi="ar"/>
                    </w:rPr>
                    <w:t>25.79</w:t>
                  </w:r>
                </w:p>
              </w:tc>
              <w:tc>
                <w:tcPr>
                  <w:tcW w:w="805" w:type="pct"/>
                  <w:vAlign w:val="center"/>
                </w:tcPr>
                <w:p w14:paraId="7129DF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11.05</w:t>
                  </w:r>
                </w:p>
              </w:tc>
              <w:tc>
                <w:tcPr>
                  <w:tcW w:w="932" w:type="pct"/>
                  <w:vAlign w:val="center"/>
                </w:tcPr>
                <w:p w14:paraId="27716D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14.74</w:t>
                  </w:r>
                </w:p>
              </w:tc>
              <w:tc>
                <w:tcPr>
                  <w:tcW w:w="735" w:type="pct"/>
                  <w:vAlign w:val="center"/>
                </w:tcPr>
                <w:p w14:paraId="413B07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3.68</w:t>
                  </w:r>
                </w:p>
              </w:tc>
            </w:tr>
            <w:tr w14:paraId="7E1C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continue"/>
                  <w:vAlign w:val="center"/>
                </w:tcPr>
                <w:p w14:paraId="78BCDBE1">
                  <w:pPr>
                    <w:pStyle w:val="109"/>
                    <w:rPr>
                      <w:rFonts w:hint="default" w:ascii="Times New Roman" w:hAnsi="Times New Roman" w:eastAsia="仿宋" w:cs="Times New Roman"/>
                      <w:color w:val="auto"/>
                      <w:sz w:val="21"/>
                      <w:szCs w:val="21"/>
                      <w:highlight w:val="none"/>
                    </w:rPr>
                  </w:pPr>
                </w:p>
              </w:tc>
              <w:tc>
                <w:tcPr>
                  <w:tcW w:w="878" w:type="pct"/>
                  <w:vAlign w:val="center"/>
                </w:tcPr>
                <w:p w14:paraId="19BF67F4">
                  <w:pPr>
                    <w:widowControl/>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817" w:type="pct"/>
                  <w:vAlign w:val="center"/>
                </w:tcPr>
                <w:p w14:paraId="5C2064E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14.74</w:t>
                  </w:r>
                </w:p>
              </w:tc>
              <w:tc>
                <w:tcPr>
                  <w:tcW w:w="805" w:type="pct"/>
                  <w:vAlign w:val="center"/>
                </w:tcPr>
                <w:p w14:paraId="29C76E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10.32</w:t>
                  </w:r>
                </w:p>
              </w:tc>
              <w:tc>
                <w:tcPr>
                  <w:tcW w:w="932" w:type="pct"/>
                  <w:vAlign w:val="center"/>
                </w:tcPr>
                <w:p w14:paraId="67CAF9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4.42</w:t>
                  </w:r>
                </w:p>
              </w:tc>
              <w:tc>
                <w:tcPr>
                  <w:tcW w:w="735" w:type="pct"/>
                  <w:vAlign w:val="center"/>
                </w:tcPr>
                <w:p w14:paraId="4D9A55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0.74</w:t>
                  </w:r>
                </w:p>
              </w:tc>
            </w:tr>
            <w:tr w14:paraId="17F9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continue"/>
                  <w:vAlign w:val="center"/>
                </w:tcPr>
                <w:p w14:paraId="74C670B8">
                  <w:pPr>
                    <w:pStyle w:val="109"/>
                    <w:rPr>
                      <w:rFonts w:hint="default" w:ascii="Times New Roman" w:hAnsi="Times New Roman" w:eastAsia="仿宋" w:cs="Times New Roman"/>
                      <w:color w:val="auto"/>
                      <w:sz w:val="21"/>
                      <w:szCs w:val="21"/>
                      <w:highlight w:val="none"/>
                    </w:rPr>
                  </w:pPr>
                </w:p>
              </w:tc>
              <w:tc>
                <w:tcPr>
                  <w:tcW w:w="878" w:type="pct"/>
                  <w:vAlign w:val="center"/>
                </w:tcPr>
                <w:p w14:paraId="04E2F4B9">
                  <w:pPr>
                    <w:widowControl/>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p>
              </w:tc>
              <w:tc>
                <w:tcPr>
                  <w:tcW w:w="817" w:type="pct"/>
                  <w:vAlign w:val="center"/>
                </w:tcPr>
                <w:p w14:paraId="2BA11BB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3.32</w:t>
                  </w:r>
                </w:p>
              </w:tc>
              <w:tc>
                <w:tcPr>
                  <w:tcW w:w="805" w:type="pct"/>
                  <w:vAlign w:val="center"/>
                </w:tcPr>
                <w:p w14:paraId="5BA298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1.11</w:t>
                  </w:r>
                </w:p>
              </w:tc>
              <w:tc>
                <w:tcPr>
                  <w:tcW w:w="932" w:type="pct"/>
                  <w:vAlign w:val="center"/>
                </w:tcPr>
                <w:p w14:paraId="73A9FF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2.21</w:t>
                  </w:r>
                </w:p>
              </w:tc>
              <w:tc>
                <w:tcPr>
                  <w:tcW w:w="735" w:type="pct"/>
                  <w:vAlign w:val="center"/>
                </w:tcPr>
                <w:p w14:paraId="29872F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0.29</w:t>
                  </w:r>
                </w:p>
              </w:tc>
            </w:tr>
            <w:tr w14:paraId="2EE1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continue"/>
                  <w:vAlign w:val="center"/>
                </w:tcPr>
                <w:p w14:paraId="2B47A152">
                  <w:pPr>
                    <w:pStyle w:val="109"/>
                    <w:rPr>
                      <w:rFonts w:hint="default" w:ascii="Times New Roman" w:hAnsi="Times New Roman" w:eastAsia="仿宋" w:cs="Times New Roman"/>
                      <w:color w:val="auto"/>
                      <w:sz w:val="21"/>
                      <w:szCs w:val="21"/>
                      <w:highlight w:val="none"/>
                    </w:rPr>
                  </w:pPr>
                </w:p>
              </w:tc>
              <w:tc>
                <w:tcPr>
                  <w:tcW w:w="878" w:type="pct"/>
                  <w:vAlign w:val="center"/>
                </w:tcPr>
                <w:p w14:paraId="5A1D5CD0">
                  <w:pPr>
                    <w:widowControl/>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TP</w:t>
                  </w:r>
                </w:p>
              </w:tc>
              <w:tc>
                <w:tcPr>
                  <w:tcW w:w="817" w:type="pct"/>
                  <w:vAlign w:val="center"/>
                </w:tcPr>
                <w:p w14:paraId="656D18E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0.59</w:t>
                  </w:r>
                </w:p>
              </w:tc>
              <w:tc>
                <w:tcPr>
                  <w:tcW w:w="805" w:type="pct"/>
                  <w:vAlign w:val="center"/>
                </w:tcPr>
                <w:p w14:paraId="13BBF9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0.22</w:t>
                  </w:r>
                </w:p>
              </w:tc>
              <w:tc>
                <w:tcPr>
                  <w:tcW w:w="932" w:type="pct"/>
                  <w:vAlign w:val="center"/>
                </w:tcPr>
                <w:p w14:paraId="2D7F21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0.37</w:t>
                  </w:r>
                </w:p>
              </w:tc>
              <w:tc>
                <w:tcPr>
                  <w:tcW w:w="735" w:type="pct"/>
                  <w:vAlign w:val="center"/>
                </w:tcPr>
                <w:p w14:paraId="5E9555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w:t>
                  </w:r>
                </w:p>
              </w:tc>
            </w:tr>
            <w:tr w14:paraId="1221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1" w:type="pct"/>
                  <w:vMerge w:val="continue"/>
                  <w:vAlign w:val="center"/>
                </w:tcPr>
                <w:p w14:paraId="4708599C">
                  <w:pPr>
                    <w:pStyle w:val="109"/>
                    <w:rPr>
                      <w:rFonts w:hint="default" w:ascii="Times New Roman" w:hAnsi="Times New Roman" w:eastAsia="仿宋" w:cs="Times New Roman"/>
                      <w:color w:val="auto"/>
                      <w:sz w:val="21"/>
                      <w:szCs w:val="21"/>
                      <w:highlight w:val="none"/>
                    </w:rPr>
                  </w:pPr>
                </w:p>
              </w:tc>
              <w:tc>
                <w:tcPr>
                  <w:tcW w:w="878" w:type="pct"/>
                  <w:vAlign w:val="center"/>
                </w:tcPr>
                <w:p w14:paraId="65049D3D">
                  <w:pPr>
                    <w:widowControl/>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TN</w:t>
                  </w:r>
                </w:p>
              </w:tc>
              <w:tc>
                <w:tcPr>
                  <w:tcW w:w="817" w:type="pct"/>
                  <w:vAlign w:val="center"/>
                </w:tcPr>
                <w:p w14:paraId="589B922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3.68</w:t>
                  </w:r>
                </w:p>
              </w:tc>
              <w:tc>
                <w:tcPr>
                  <w:tcW w:w="805" w:type="pct"/>
                  <w:vAlign w:val="center"/>
                </w:tcPr>
                <w:p w14:paraId="1AD0FA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0.74</w:t>
                  </w:r>
                </w:p>
              </w:tc>
              <w:tc>
                <w:tcPr>
                  <w:tcW w:w="932" w:type="pct"/>
                  <w:vAlign w:val="center"/>
                </w:tcPr>
                <w:p w14:paraId="4CB27A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2.95</w:t>
                  </w:r>
                </w:p>
              </w:tc>
              <w:tc>
                <w:tcPr>
                  <w:tcW w:w="735" w:type="pct"/>
                  <w:vAlign w:val="center"/>
                </w:tcPr>
                <w:p w14:paraId="446BCB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0.88</w:t>
                  </w:r>
                </w:p>
              </w:tc>
            </w:tr>
            <w:tr w14:paraId="26FE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continue"/>
                  <w:vAlign w:val="center"/>
                </w:tcPr>
                <w:p w14:paraId="07CD8A1E">
                  <w:pPr>
                    <w:pStyle w:val="109"/>
                    <w:rPr>
                      <w:rFonts w:hint="default" w:ascii="Times New Roman" w:hAnsi="Times New Roman" w:eastAsia="仿宋" w:cs="Times New Roman"/>
                      <w:color w:val="auto"/>
                      <w:sz w:val="21"/>
                      <w:szCs w:val="21"/>
                      <w:highlight w:val="none"/>
                    </w:rPr>
                  </w:pPr>
                </w:p>
              </w:tc>
              <w:tc>
                <w:tcPr>
                  <w:tcW w:w="878" w:type="pct"/>
                  <w:vAlign w:val="center"/>
                </w:tcPr>
                <w:p w14:paraId="0495A672">
                  <w:pPr>
                    <w:widowControl/>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动植物油</w:t>
                  </w:r>
                </w:p>
              </w:tc>
              <w:tc>
                <w:tcPr>
                  <w:tcW w:w="817" w:type="pct"/>
                  <w:vAlign w:val="center"/>
                </w:tcPr>
                <w:p w14:paraId="03B7662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3.68</w:t>
                  </w:r>
                </w:p>
              </w:tc>
              <w:tc>
                <w:tcPr>
                  <w:tcW w:w="805" w:type="pct"/>
                  <w:vAlign w:val="center"/>
                </w:tcPr>
                <w:p w14:paraId="36645F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2.21</w:t>
                  </w:r>
                </w:p>
              </w:tc>
              <w:tc>
                <w:tcPr>
                  <w:tcW w:w="932" w:type="pct"/>
                  <w:vAlign w:val="center"/>
                </w:tcPr>
                <w:p w14:paraId="7AB4F4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1.47</w:t>
                  </w:r>
                </w:p>
              </w:tc>
              <w:tc>
                <w:tcPr>
                  <w:tcW w:w="735" w:type="pct"/>
                  <w:vAlign w:val="center"/>
                </w:tcPr>
                <w:p w14:paraId="1D51B0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0.07</w:t>
                  </w:r>
                </w:p>
              </w:tc>
            </w:tr>
            <w:tr w14:paraId="1FDD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continue"/>
                  <w:vAlign w:val="center"/>
                </w:tcPr>
                <w:p w14:paraId="0AE774A7">
                  <w:pPr>
                    <w:pStyle w:val="109"/>
                    <w:rPr>
                      <w:rFonts w:hint="default" w:ascii="Times New Roman" w:hAnsi="Times New Roman" w:eastAsia="仿宋" w:cs="Times New Roman"/>
                      <w:color w:val="auto"/>
                      <w:sz w:val="21"/>
                      <w:szCs w:val="21"/>
                      <w:highlight w:val="none"/>
                    </w:rPr>
                  </w:pPr>
                </w:p>
              </w:tc>
              <w:tc>
                <w:tcPr>
                  <w:tcW w:w="878" w:type="pct"/>
                  <w:vAlign w:val="center"/>
                </w:tcPr>
                <w:p w14:paraId="59655FC0">
                  <w:pPr>
                    <w:widowControl/>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粪大肠菌群数</w:t>
                  </w:r>
                </w:p>
              </w:tc>
              <w:tc>
                <w:tcPr>
                  <w:tcW w:w="817" w:type="pct"/>
                  <w:vAlign w:val="center"/>
                </w:tcPr>
                <w:p w14:paraId="087033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eastAsia" w:cs="Times New Roman"/>
                      <w:i w:val="0"/>
                      <w:iCs w:val="0"/>
                      <w:color w:val="auto"/>
                      <w:kern w:val="0"/>
                      <w:sz w:val="21"/>
                      <w:szCs w:val="21"/>
                      <w:u w:val="none"/>
                      <w:lang w:val="en-US" w:eastAsia="zh-CN" w:bidi="ar"/>
                    </w:rPr>
                    <w:t>1.1×10</w:t>
                  </w:r>
                  <w:r>
                    <w:rPr>
                      <w:rFonts w:hint="eastAsia" w:cs="Times New Roman"/>
                      <w:i w:val="0"/>
                      <w:iCs w:val="0"/>
                      <w:color w:val="auto"/>
                      <w:kern w:val="0"/>
                      <w:sz w:val="21"/>
                      <w:szCs w:val="21"/>
                      <w:u w:val="none"/>
                      <w:vertAlign w:val="superscript"/>
                      <w:lang w:val="en-US" w:eastAsia="zh-CN" w:bidi="ar"/>
                    </w:rPr>
                    <w:t>7</w:t>
                  </w:r>
                  <w:r>
                    <w:rPr>
                      <w:rFonts w:hint="eastAsia" w:cs="Times New Roman"/>
                      <w:i w:val="0"/>
                      <w:iCs w:val="0"/>
                      <w:color w:val="auto"/>
                      <w:kern w:val="0"/>
                      <w:sz w:val="21"/>
                      <w:szCs w:val="21"/>
                      <w:u w:val="none"/>
                      <w:vertAlign w:val="baseline"/>
                      <w:lang w:val="en-US" w:eastAsia="zh-CN" w:bidi="ar"/>
                    </w:rPr>
                    <w:t>个</w:t>
                  </w:r>
                </w:p>
              </w:tc>
              <w:tc>
                <w:tcPr>
                  <w:tcW w:w="805" w:type="pct"/>
                  <w:vAlign w:val="center"/>
                </w:tcPr>
                <w:p w14:paraId="4338D8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1.1×10</w:t>
                  </w:r>
                  <w:r>
                    <w:rPr>
                      <w:rFonts w:hint="eastAsia" w:cs="Times New Roman"/>
                      <w:i w:val="0"/>
                      <w:iCs w:val="0"/>
                      <w:color w:val="auto"/>
                      <w:kern w:val="0"/>
                      <w:sz w:val="21"/>
                      <w:szCs w:val="21"/>
                      <w:u w:val="none"/>
                      <w:vertAlign w:val="superscript"/>
                      <w:lang w:val="en-US" w:eastAsia="zh-CN" w:bidi="ar"/>
                    </w:rPr>
                    <w:t>7</w:t>
                  </w:r>
                  <w:r>
                    <w:rPr>
                      <w:rFonts w:hint="eastAsia" w:cs="Times New Roman"/>
                      <w:i w:val="0"/>
                      <w:iCs w:val="0"/>
                      <w:color w:val="auto"/>
                      <w:kern w:val="0"/>
                      <w:sz w:val="21"/>
                      <w:szCs w:val="21"/>
                      <w:u w:val="none"/>
                      <w:vertAlign w:val="baseline"/>
                      <w:lang w:val="en-US" w:eastAsia="zh-CN" w:bidi="ar"/>
                    </w:rPr>
                    <w:t>个</w:t>
                  </w:r>
                </w:p>
              </w:tc>
              <w:tc>
                <w:tcPr>
                  <w:tcW w:w="932" w:type="pct"/>
                  <w:vAlign w:val="center"/>
                </w:tcPr>
                <w:p w14:paraId="142B2F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仿宋" w:cs="Times New Roman"/>
                      <w:color w:val="auto"/>
                      <w:sz w:val="21"/>
                      <w:szCs w:val="21"/>
                      <w:highlight w:val="none"/>
                      <w:lang w:val="en-US" w:eastAsia="zh-CN"/>
                    </w:rPr>
                    <w:t>3.68×10</w:t>
                  </w:r>
                  <w:r>
                    <w:rPr>
                      <w:rFonts w:hint="eastAsia" w:eastAsia="仿宋" w:cs="Times New Roman"/>
                      <w:color w:val="auto"/>
                      <w:sz w:val="21"/>
                      <w:szCs w:val="21"/>
                      <w:highlight w:val="none"/>
                      <w:vertAlign w:val="superscript"/>
                      <w:lang w:val="en-US" w:eastAsia="zh-CN"/>
                    </w:rPr>
                    <w:t>5</w:t>
                  </w:r>
                  <w:r>
                    <w:rPr>
                      <w:rFonts w:hint="eastAsia" w:cs="Times New Roman"/>
                      <w:i w:val="0"/>
                      <w:iCs w:val="0"/>
                      <w:color w:val="auto"/>
                      <w:kern w:val="0"/>
                      <w:sz w:val="21"/>
                      <w:szCs w:val="21"/>
                      <w:u w:val="none"/>
                      <w:vertAlign w:val="baseline"/>
                      <w:lang w:val="en-US" w:eastAsia="zh-CN" w:bidi="ar"/>
                    </w:rPr>
                    <w:t>个</w:t>
                  </w:r>
                </w:p>
              </w:tc>
              <w:tc>
                <w:tcPr>
                  <w:tcW w:w="735" w:type="pct"/>
                  <w:vAlign w:val="center"/>
                </w:tcPr>
                <w:p w14:paraId="0974D86D">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7.3</w:t>
                  </w:r>
                  <w:r>
                    <w:rPr>
                      <w:rFonts w:hint="eastAsia" w:eastAsia="仿宋" w:cs="Times New Roman"/>
                      <w:color w:val="auto"/>
                      <w:sz w:val="21"/>
                      <w:szCs w:val="21"/>
                      <w:highlight w:val="none"/>
                      <w:lang w:val="en-US" w:eastAsia="zh-CN"/>
                    </w:rPr>
                    <w:t>×10</w:t>
                  </w:r>
                  <w:r>
                    <w:rPr>
                      <w:rFonts w:hint="eastAsia" w:eastAsia="仿宋" w:cs="Times New Roman"/>
                      <w:color w:val="auto"/>
                      <w:sz w:val="21"/>
                      <w:szCs w:val="21"/>
                      <w:highlight w:val="none"/>
                      <w:vertAlign w:val="superscript"/>
                      <w:lang w:val="en-US" w:eastAsia="zh-CN"/>
                    </w:rPr>
                    <w:t>4</w:t>
                  </w:r>
                  <w:r>
                    <w:rPr>
                      <w:rFonts w:hint="eastAsia" w:cs="Times New Roman"/>
                      <w:i w:val="0"/>
                      <w:iCs w:val="0"/>
                      <w:color w:val="auto"/>
                      <w:kern w:val="0"/>
                      <w:sz w:val="21"/>
                      <w:szCs w:val="21"/>
                      <w:u w:val="none"/>
                      <w:vertAlign w:val="baseline"/>
                      <w:lang w:val="en-US" w:eastAsia="zh-CN" w:bidi="ar"/>
                    </w:rPr>
                    <w:t>个</w:t>
                  </w:r>
                </w:p>
              </w:tc>
            </w:tr>
            <w:tr w14:paraId="6DAD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continue"/>
                  <w:vAlign w:val="center"/>
                </w:tcPr>
                <w:p w14:paraId="1A519C05">
                  <w:pPr>
                    <w:pStyle w:val="109"/>
                    <w:rPr>
                      <w:rFonts w:hint="default" w:ascii="Times New Roman" w:hAnsi="Times New Roman" w:eastAsia="仿宋" w:cs="Times New Roman"/>
                      <w:color w:val="auto"/>
                      <w:sz w:val="21"/>
                      <w:szCs w:val="21"/>
                      <w:highlight w:val="none"/>
                    </w:rPr>
                  </w:pPr>
                </w:p>
              </w:tc>
              <w:tc>
                <w:tcPr>
                  <w:tcW w:w="878" w:type="pct"/>
                  <w:vAlign w:val="center"/>
                </w:tcPr>
                <w:p w14:paraId="4E4DB451">
                  <w:pPr>
                    <w:widowControl/>
                    <w:jc w:val="center"/>
                    <w:textAlignment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总余氯</w:t>
                  </w:r>
                </w:p>
              </w:tc>
              <w:tc>
                <w:tcPr>
                  <w:tcW w:w="817" w:type="pct"/>
                  <w:vAlign w:val="center"/>
                </w:tcPr>
                <w:p w14:paraId="473C9D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805" w:type="pct"/>
                  <w:vAlign w:val="center"/>
                </w:tcPr>
                <w:p w14:paraId="6415DD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932" w:type="pct"/>
                  <w:vAlign w:val="center"/>
                </w:tcPr>
                <w:p w14:paraId="503B88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0.59</w:t>
                  </w:r>
                </w:p>
              </w:tc>
              <w:tc>
                <w:tcPr>
                  <w:tcW w:w="735" w:type="pct"/>
                  <w:vAlign w:val="center"/>
                </w:tcPr>
                <w:p w14:paraId="30FDAE9E">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w:t>
                  </w:r>
                </w:p>
              </w:tc>
            </w:tr>
            <w:tr w14:paraId="239B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restart"/>
                  <w:vAlign w:val="center"/>
                </w:tcPr>
                <w:p w14:paraId="1BC7A700">
                  <w:pPr>
                    <w:pStyle w:val="10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有组织废气</w:t>
                  </w:r>
                </w:p>
              </w:tc>
              <w:tc>
                <w:tcPr>
                  <w:tcW w:w="878" w:type="pct"/>
                  <w:vAlign w:val="center"/>
                </w:tcPr>
                <w:p w14:paraId="6777D6F9">
                  <w:pPr>
                    <w:widowControl/>
                    <w:jc w:val="center"/>
                    <w:textAlignment w:val="center"/>
                    <w:rPr>
                      <w:rFonts w:hint="eastAsia" w:ascii="Times New Roman" w:hAnsi="Times New Roman" w:eastAsia="仿宋" w:cs="Times New Roman"/>
                      <w:color w:val="auto"/>
                      <w:sz w:val="21"/>
                      <w:szCs w:val="21"/>
                      <w:highlight w:val="none"/>
                      <w:lang w:eastAsia="zh-CN"/>
                    </w:rPr>
                  </w:pPr>
                  <w:r>
                    <w:rPr>
                      <w:rFonts w:hint="eastAsia" w:eastAsia="仿宋" w:cs="Times New Roman"/>
                      <w:color w:val="auto"/>
                      <w:sz w:val="21"/>
                      <w:szCs w:val="21"/>
                      <w:highlight w:val="none"/>
                      <w:lang w:val="en-US" w:eastAsia="zh-CN"/>
                    </w:rPr>
                    <w:t>油烟</w:t>
                  </w:r>
                </w:p>
              </w:tc>
              <w:tc>
                <w:tcPr>
                  <w:tcW w:w="817" w:type="pct"/>
                  <w:vAlign w:val="center"/>
                </w:tcPr>
                <w:p w14:paraId="3CFFB560">
                  <w:pPr>
                    <w:widowControl/>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0.198</w:t>
                  </w:r>
                </w:p>
              </w:tc>
              <w:tc>
                <w:tcPr>
                  <w:tcW w:w="805" w:type="pct"/>
                  <w:vAlign w:val="center"/>
                </w:tcPr>
                <w:p w14:paraId="06973D38">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0.1683</w:t>
                  </w:r>
                </w:p>
              </w:tc>
              <w:tc>
                <w:tcPr>
                  <w:tcW w:w="932" w:type="pct"/>
                  <w:vAlign w:val="center"/>
                </w:tcPr>
                <w:p w14:paraId="0F54E2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0.0297</w:t>
                  </w:r>
                </w:p>
              </w:tc>
              <w:tc>
                <w:tcPr>
                  <w:tcW w:w="735" w:type="pct"/>
                  <w:vAlign w:val="center"/>
                </w:tcPr>
                <w:p w14:paraId="2E3408C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0.0297</w:t>
                  </w:r>
                </w:p>
              </w:tc>
            </w:tr>
            <w:tr w14:paraId="1BFD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continue"/>
                  <w:vAlign w:val="center"/>
                </w:tcPr>
                <w:p w14:paraId="30D644BA">
                  <w:pPr>
                    <w:pStyle w:val="109"/>
                    <w:rPr>
                      <w:rFonts w:hint="default" w:ascii="Times New Roman" w:hAnsi="Times New Roman" w:eastAsia="仿宋" w:cs="Times New Roman"/>
                      <w:color w:val="auto"/>
                      <w:sz w:val="21"/>
                      <w:szCs w:val="21"/>
                      <w:highlight w:val="none"/>
                    </w:rPr>
                  </w:pPr>
                </w:p>
              </w:tc>
              <w:tc>
                <w:tcPr>
                  <w:tcW w:w="878" w:type="pct"/>
                  <w:vAlign w:val="center"/>
                </w:tcPr>
                <w:p w14:paraId="3B2992B1">
                  <w:pPr>
                    <w:widowControl/>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NH</w:t>
                  </w:r>
                  <w:r>
                    <w:rPr>
                      <w:rFonts w:hint="eastAsia" w:eastAsia="仿宋" w:cs="Times New Roman"/>
                      <w:color w:val="auto"/>
                      <w:sz w:val="21"/>
                      <w:szCs w:val="21"/>
                      <w:highlight w:val="none"/>
                      <w:vertAlign w:val="subscript"/>
                      <w:lang w:val="en-US" w:eastAsia="zh-CN"/>
                    </w:rPr>
                    <w:t>3</w:t>
                  </w:r>
                </w:p>
              </w:tc>
              <w:tc>
                <w:tcPr>
                  <w:tcW w:w="817" w:type="pct"/>
                  <w:vAlign w:val="center"/>
                </w:tcPr>
                <w:p w14:paraId="3FF52CDC">
                  <w:pPr>
                    <w:widowControl/>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0.0091</w:t>
                  </w:r>
                </w:p>
              </w:tc>
              <w:tc>
                <w:tcPr>
                  <w:tcW w:w="805" w:type="pct"/>
                  <w:vAlign w:val="center"/>
                </w:tcPr>
                <w:p w14:paraId="1A350FDA">
                  <w:pPr>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0.0055</w:t>
                  </w:r>
                </w:p>
              </w:tc>
              <w:tc>
                <w:tcPr>
                  <w:tcW w:w="932" w:type="pct"/>
                  <w:vAlign w:val="center"/>
                </w:tcPr>
                <w:p w14:paraId="2FE991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0.0036</w:t>
                  </w:r>
                </w:p>
              </w:tc>
              <w:tc>
                <w:tcPr>
                  <w:tcW w:w="735" w:type="pct"/>
                  <w:vAlign w:val="center"/>
                </w:tcPr>
                <w:p w14:paraId="18AF2F5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0.0036</w:t>
                  </w:r>
                </w:p>
              </w:tc>
            </w:tr>
            <w:tr w14:paraId="0479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continue"/>
                  <w:vAlign w:val="center"/>
                </w:tcPr>
                <w:p w14:paraId="6881CD5F">
                  <w:pPr>
                    <w:pStyle w:val="109"/>
                    <w:rPr>
                      <w:rFonts w:hint="default" w:ascii="Times New Roman" w:hAnsi="Times New Roman" w:eastAsia="仿宋" w:cs="Times New Roman"/>
                      <w:color w:val="auto"/>
                      <w:sz w:val="21"/>
                      <w:szCs w:val="21"/>
                      <w:highlight w:val="none"/>
                    </w:rPr>
                  </w:pPr>
                </w:p>
              </w:tc>
              <w:tc>
                <w:tcPr>
                  <w:tcW w:w="878" w:type="pct"/>
                  <w:vAlign w:val="center"/>
                </w:tcPr>
                <w:p w14:paraId="0539DA0C">
                  <w:pPr>
                    <w:widowControl/>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H</w:t>
                  </w:r>
                  <w:r>
                    <w:rPr>
                      <w:rFonts w:hint="eastAsia" w:eastAsia="仿宋" w:cs="Times New Roman"/>
                      <w:color w:val="auto"/>
                      <w:sz w:val="21"/>
                      <w:szCs w:val="21"/>
                      <w:highlight w:val="none"/>
                      <w:vertAlign w:val="subscript"/>
                      <w:lang w:val="en-US" w:eastAsia="zh-CN"/>
                    </w:rPr>
                    <w:t>2</w:t>
                  </w:r>
                  <w:r>
                    <w:rPr>
                      <w:rFonts w:hint="eastAsia" w:eastAsia="仿宋" w:cs="Times New Roman"/>
                      <w:color w:val="auto"/>
                      <w:sz w:val="21"/>
                      <w:szCs w:val="21"/>
                      <w:highlight w:val="none"/>
                      <w:lang w:val="en-US" w:eastAsia="zh-CN"/>
                    </w:rPr>
                    <w:t>S</w:t>
                  </w:r>
                </w:p>
              </w:tc>
              <w:tc>
                <w:tcPr>
                  <w:tcW w:w="817" w:type="pct"/>
                  <w:vAlign w:val="center"/>
                </w:tcPr>
                <w:p w14:paraId="4745CA5B">
                  <w:pPr>
                    <w:widowControl/>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0.00035</w:t>
                  </w:r>
                </w:p>
              </w:tc>
              <w:tc>
                <w:tcPr>
                  <w:tcW w:w="805" w:type="pct"/>
                  <w:vAlign w:val="center"/>
                </w:tcPr>
                <w:p w14:paraId="1807EBBA">
                  <w:pPr>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0.00021</w:t>
                  </w:r>
                </w:p>
              </w:tc>
              <w:tc>
                <w:tcPr>
                  <w:tcW w:w="932" w:type="pct"/>
                  <w:vAlign w:val="center"/>
                </w:tcPr>
                <w:p w14:paraId="3D7715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0.00014</w:t>
                  </w:r>
                </w:p>
              </w:tc>
              <w:tc>
                <w:tcPr>
                  <w:tcW w:w="735" w:type="pct"/>
                  <w:vAlign w:val="center"/>
                </w:tcPr>
                <w:p w14:paraId="228FEA9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0.00014</w:t>
                  </w:r>
                </w:p>
              </w:tc>
            </w:tr>
            <w:tr w14:paraId="062E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restart"/>
                  <w:vAlign w:val="center"/>
                </w:tcPr>
                <w:p w14:paraId="3735B0D0">
                  <w:pPr>
                    <w:pStyle w:val="109"/>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无组织废气</w:t>
                  </w:r>
                </w:p>
              </w:tc>
              <w:tc>
                <w:tcPr>
                  <w:tcW w:w="878" w:type="pct"/>
                  <w:vAlign w:val="center"/>
                </w:tcPr>
                <w:p w14:paraId="5ACD00AE">
                  <w:pPr>
                    <w:widowControl/>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SO</w:t>
                  </w:r>
                  <w:r>
                    <w:rPr>
                      <w:rFonts w:hint="eastAsia" w:eastAsia="仿宋" w:cs="Times New Roman"/>
                      <w:color w:val="auto"/>
                      <w:sz w:val="21"/>
                      <w:szCs w:val="21"/>
                      <w:highlight w:val="none"/>
                      <w:vertAlign w:val="subscript"/>
                      <w:lang w:val="en-US" w:eastAsia="zh-CN"/>
                    </w:rPr>
                    <w:t>2</w:t>
                  </w:r>
                </w:p>
              </w:tc>
              <w:tc>
                <w:tcPr>
                  <w:tcW w:w="817" w:type="pct"/>
                  <w:vAlign w:val="center"/>
                </w:tcPr>
                <w:p w14:paraId="7136CC23">
                  <w:pPr>
                    <w:widowControl/>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0.000625</w:t>
                  </w:r>
                </w:p>
              </w:tc>
              <w:tc>
                <w:tcPr>
                  <w:tcW w:w="805" w:type="pct"/>
                  <w:vAlign w:val="center"/>
                </w:tcPr>
                <w:p w14:paraId="6AD56A64">
                  <w:pPr>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1543" w:type="dxa"/>
                  <w:vAlign w:val="center"/>
                </w:tcPr>
                <w:p w14:paraId="6499FAEE">
                  <w:pPr>
                    <w:widowControl/>
                    <w:jc w:val="center"/>
                    <w:textAlignment w:val="center"/>
                    <w:rPr>
                      <w:rFonts w:hint="eastAsia" w:cs="Times New Roman"/>
                      <w:i w:val="0"/>
                      <w:iCs w:val="0"/>
                      <w:color w:val="auto"/>
                      <w:kern w:val="0"/>
                      <w:sz w:val="21"/>
                      <w:szCs w:val="21"/>
                      <w:highlight w:val="none"/>
                      <w:u w:val="none"/>
                      <w:lang w:val="en-US" w:eastAsia="zh-CN" w:bidi="ar"/>
                    </w:rPr>
                  </w:pPr>
                  <w:r>
                    <w:rPr>
                      <w:rFonts w:hint="eastAsia" w:eastAsia="仿宋" w:cs="Times New Roman"/>
                      <w:color w:val="auto"/>
                      <w:sz w:val="21"/>
                      <w:szCs w:val="21"/>
                      <w:highlight w:val="none"/>
                      <w:lang w:val="en-US" w:eastAsia="zh-CN"/>
                    </w:rPr>
                    <w:t>0.000625</w:t>
                  </w:r>
                </w:p>
              </w:tc>
              <w:tc>
                <w:tcPr>
                  <w:tcW w:w="1217" w:type="dxa"/>
                  <w:vAlign w:val="center"/>
                </w:tcPr>
                <w:p w14:paraId="11F7357E">
                  <w:pPr>
                    <w:widowControl/>
                    <w:jc w:val="center"/>
                    <w:textAlignment w:val="center"/>
                    <w:rPr>
                      <w:rFonts w:hint="eastAsia" w:cs="Times New Roman"/>
                      <w:i w:val="0"/>
                      <w:iCs w:val="0"/>
                      <w:color w:val="auto"/>
                      <w:kern w:val="0"/>
                      <w:sz w:val="21"/>
                      <w:szCs w:val="21"/>
                      <w:highlight w:val="none"/>
                      <w:u w:val="none"/>
                      <w:lang w:val="en-US" w:eastAsia="zh-CN" w:bidi="ar"/>
                    </w:rPr>
                  </w:pPr>
                  <w:r>
                    <w:rPr>
                      <w:rFonts w:hint="eastAsia" w:eastAsia="仿宋" w:cs="Times New Roman"/>
                      <w:color w:val="auto"/>
                      <w:sz w:val="21"/>
                      <w:szCs w:val="21"/>
                      <w:highlight w:val="none"/>
                      <w:lang w:val="en-US" w:eastAsia="zh-CN"/>
                    </w:rPr>
                    <w:t>0.000625</w:t>
                  </w:r>
                </w:p>
              </w:tc>
            </w:tr>
            <w:tr w14:paraId="57FF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continue"/>
                  <w:vAlign w:val="center"/>
                </w:tcPr>
                <w:p w14:paraId="6A35180A">
                  <w:pPr>
                    <w:pStyle w:val="109"/>
                    <w:rPr>
                      <w:rFonts w:hint="default" w:ascii="Times New Roman" w:hAnsi="Times New Roman" w:eastAsia="仿宋" w:cs="Times New Roman"/>
                      <w:color w:val="auto"/>
                      <w:sz w:val="21"/>
                      <w:szCs w:val="21"/>
                      <w:highlight w:val="none"/>
                    </w:rPr>
                  </w:pPr>
                </w:p>
              </w:tc>
              <w:tc>
                <w:tcPr>
                  <w:tcW w:w="878" w:type="pct"/>
                  <w:vAlign w:val="center"/>
                </w:tcPr>
                <w:p w14:paraId="5E905555">
                  <w:pPr>
                    <w:widowControl/>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NO</w:t>
                  </w:r>
                  <w:r>
                    <w:rPr>
                      <w:rFonts w:hint="eastAsia" w:eastAsia="仿宋" w:cs="Times New Roman"/>
                      <w:color w:val="auto"/>
                      <w:sz w:val="21"/>
                      <w:szCs w:val="21"/>
                      <w:highlight w:val="none"/>
                      <w:vertAlign w:val="subscript"/>
                      <w:lang w:val="en-US" w:eastAsia="zh-CN"/>
                    </w:rPr>
                    <w:t>x</w:t>
                  </w:r>
                </w:p>
              </w:tc>
              <w:tc>
                <w:tcPr>
                  <w:tcW w:w="817" w:type="pct"/>
                  <w:vAlign w:val="center"/>
                </w:tcPr>
                <w:p w14:paraId="672C32A5">
                  <w:pPr>
                    <w:widowControl/>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0.01169</w:t>
                  </w:r>
                </w:p>
              </w:tc>
              <w:tc>
                <w:tcPr>
                  <w:tcW w:w="805" w:type="pct"/>
                  <w:vAlign w:val="center"/>
                </w:tcPr>
                <w:p w14:paraId="386A90AD">
                  <w:pPr>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1543" w:type="dxa"/>
                  <w:vAlign w:val="center"/>
                </w:tcPr>
                <w:p w14:paraId="0ADA954C">
                  <w:pPr>
                    <w:widowControl/>
                    <w:jc w:val="center"/>
                    <w:textAlignment w:val="center"/>
                    <w:rPr>
                      <w:rFonts w:hint="eastAsia" w:cs="Times New Roman"/>
                      <w:i w:val="0"/>
                      <w:iCs w:val="0"/>
                      <w:color w:val="auto"/>
                      <w:kern w:val="0"/>
                      <w:sz w:val="21"/>
                      <w:szCs w:val="21"/>
                      <w:highlight w:val="none"/>
                      <w:u w:val="none"/>
                      <w:lang w:val="en-US" w:eastAsia="zh-CN" w:bidi="ar"/>
                    </w:rPr>
                  </w:pPr>
                  <w:r>
                    <w:rPr>
                      <w:rFonts w:hint="eastAsia" w:eastAsia="仿宋" w:cs="Times New Roman"/>
                      <w:color w:val="auto"/>
                      <w:sz w:val="21"/>
                      <w:szCs w:val="21"/>
                      <w:highlight w:val="none"/>
                      <w:lang w:val="en-US" w:eastAsia="zh-CN"/>
                    </w:rPr>
                    <w:t>0.01169</w:t>
                  </w:r>
                </w:p>
              </w:tc>
              <w:tc>
                <w:tcPr>
                  <w:tcW w:w="1217" w:type="dxa"/>
                  <w:vAlign w:val="center"/>
                </w:tcPr>
                <w:p w14:paraId="58D68E43">
                  <w:pPr>
                    <w:widowControl/>
                    <w:jc w:val="center"/>
                    <w:textAlignment w:val="center"/>
                    <w:rPr>
                      <w:rFonts w:hint="eastAsia" w:cs="Times New Roman"/>
                      <w:i w:val="0"/>
                      <w:iCs w:val="0"/>
                      <w:color w:val="auto"/>
                      <w:kern w:val="0"/>
                      <w:sz w:val="21"/>
                      <w:szCs w:val="21"/>
                      <w:highlight w:val="none"/>
                      <w:u w:val="none"/>
                      <w:lang w:val="en-US" w:eastAsia="zh-CN" w:bidi="ar"/>
                    </w:rPr>
                  </w:pPr>
                  <w:r>
                    <w:rPr>
                      <w:rFonts w:hint="eastAsia" w:eastAsia="仿宋" w:cs="Times New Roman"/>
                      <w:color w:val="auto"/>
                      <w:sz w:val="21"/>
                      <w:szCs w:val="21"/>
                      <w:highlight w:val="none"/>
                      <w:lang w:val="en-US" w:eastAsia="zh-CN"/>
                    </w:rPr>
                    <w:t>0.01169</w:t>
                  </w:r>
                </w:p>
              </w:tc>
            </w:tr>
            <w:tr w14:paraId="2CA4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continue"/>
                  <w:vAlign w:val="center"/>
                </w:tcPr>
                <w:p w14:paraId="7B6EE2D0">
                  <w:pPr>
                    <w:pStyle w:val="109"/>
                    <w:rPr>
                      <w:rFonts w:hint="default" w:ascii="Times New Roman" w:hAnsi="Times New Roman" w:eastAsia="仿宋" w:cs="Times New Roman"/>
                      <w:color w:val="auto"/>
                      <w:sz w:val="21"/>
                      <w:szCs w:val="21"/>
                      <w:highlight w:val="none"/>
                    </w:rPr>
                  </w:pPr>
                </w:p>
              </w:tc>
              <w:tc>
                <w:tcPr>
                  <w:tcW w:w="878" w:type="pct"/>
                  <w:vAlign w:val="center"/>
                </w:tcPr>
                <w:p w14:paraId="07A6ADEF">
                  <w:pPr>
                    <w:widowControl/>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烟尘</w:t>
                  </w:r>
                </w:p>
              </w:tc>
              <w:tc>
                <w:tcPr>
                  <w:tcW w:w="817" w:type="pct"/>
                  <w:vAlign w:val="center"/>
                </w:tcPr>
                <w:p w14:paraId="6C1DEE26">
                  <w:pPr>
                    <w:widowControl/>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0.0015</w:t>
                  </w:r>
                </w:p>
              </w:tc>
              <w:tc>
                <w:tcPr>
                  <w:tcW w:w="805" w:type="pct"/>
                  <w:vAlign w:val="center"/>
                </w:tcPr>
                <w:p w14:paraId="35835ACC">
                  <w:pPr>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1543" w:type="dxa"/>
                  <w:vAlign w:val="center"/>
                </w:tcPr>
                <w:p w14:paraId="5FF40FE5">
                  <w:pPr>
                    <w:widowControl/>
                    <w:jc w:val="center"/>
                    <w:textAlignment w:val="center"/>
                    <w:rPr>
                      <w:rFonts w:hint="eastAsia" w:cs="Times New Roman"/>
                      <w:i w:val="0"/>
                      <w:iCs w:val="0"/>
                      <w:color w:val="auto"/>
                      <w:kern w:val="0"/>
                      <w:sz w:val="21"/>
                      <w:szCs w:val="21"/>
                      <w:highlight w:val="none"/>
                      <w:u w:val="none"/>
                      <w:lang w:val="en-US" w:eastAsia="zh-CN" w:bidi="ar"/>
                    </w:rPr>
                  </w:pPr>
                  <w:r>
                    <w:rPr>
                      <w:rFonts w:hint="eastAsia" w:eastAsia="仿宋" w:cs="Times New Roman"/>
                      <w:color w:val="auto"/>
                      <w:sz w:val="21"/>
                      <w:szCs w:val="21"/>
                      <w:highlight w:val="none"/>
                      <w:lang w:val="en-US" w:eastAsia="zh-CN"/>
                    </w:rPr>
                    <w:t>0.0015</w:t>
                  </w:r>
                </w:p>
              </w:tc>
              <w:tc>
                <w:tcPr>
                  <w:tcW w:w="1217" w:type="dxa"/>
                  <w:vAlign w:val="center"/>
                </w:tcPr>
                <w:p w14:paraId="58DC1562">
                  <w:pPr>
                    <w:widowControl/>
                    <w:jc w:val="center"/>
                    <w:textAlignment w:val="center"/>
                    <w:rPr>
                      <w:rFonts w:hint="eastAsia" w:cs="Times New Roman"/>
                      <w:i w:val="0"/>
                      <w:iCs w:val="0"/>
                      <w:color w:val="auto"/>
                      <w:kern w:val="0"/>
                      <w:sz w:val="21"/>
                      <w:szCs w:val="21"/>
                      <w:highlight w:val="none"/>
                      <w:u w:val="none"/>
                      <w:lang w:val="en-US" w:eastAsia="zh-CN" w:bidi="ar"/>
                    </w:rPr>
                  </w:pPr>
                  <w:r>
                    <w:rPr>
                      <w:rFonts w:hint="eastAsia" w:eastAsia="仿宋" w:cs="Times New Roman"/>
                      <w:color w:val="auto"/>
                      <w:sz w:val="21"/>
                      <w:szCs w:val="21"/>
                      <w:highlight w:val="none"/>
                      <w:lang w:val="en-US" w:eastAsia="zh-CN"/>
                    </w:rPr>
                    <w:t>0.0015</w:t>
                  </w:r>
                </w:p>
              </w:tc>
            </w:tr>
            <w:tr w14:paraId="3223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restart"/>
                  <w:vAlign w:val="center"/>
                </w:tcPr>
                <w:p w14:paraId="07F62CE7">
                  <w:pPr>
                    <w:pStyle w:val="10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固废</w:t>
                  </w:r>
                </w:p>
              </w:tc>
              <w:tc>
                <w:tcPr>
                  <w:tcW w:w="878" w:type="pct"/>
                  <w:vAlign w:val="center"/>
                </w:tcPr>
                <w:p w14:paraId="36E3D50B">
                  <w:pPr>
                    <w:pStyle w:val="10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生活垃圾</w:t>
                  </w:r>
                </w:p>
              </w:tc>
              <w:tc>
                <w:tcPr>
                  <w:tcW w:w="817" w:type="pct"/>
                  <w:vAlign w:val="center"/>
                </w:tcPr>
                <w:p w14:paraId="57E5F4C8">
                  <w:pPr>
                    <w:pStyle w:val="109"/>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220.46</w:t>
                  </w:r>
                </w:p>
              </w:tc>
              <w:tc>
                <w:tcPr>
                  <w:tcW w:w="805" w:type="pct"/>
                  <w:vAlign w:val="center"/>
                </w:tcPr>
                <w:p w14:paraId="76BA5CC2">
                  <w:pPr>
                    <w:pStyle w:val="109"/>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220.46</w:t>
                  </w:r>
                </w:p>
              </w:tc>
              <w:tc>
                <w:tcPr>
                  <w:tcW w:w="932" w:type="pct"/>
                  <w:vAlign w:val="center"/>
                </w:tcPr>
                <w:p w14:paraId="65B3A147">
                  <w:pPr>
                    <w:pStyle w:val="10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w:t>
                  </w:r>
                </w:p>
              </w:tc>
              <w:tc>
                <w:tcPr>
                  <w:tcW w:w="735" w:type="pct"/>
                  <w:vAlign w:val="center"/>
                </w:tcPr>
                <w:p w14:paraId="20D983A3">
                  <w:pPr>
                    <w:pStyle w:val="10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r>
            <w:tr w14:paraId="19F1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continue"/>
                  <w:vAlign w:val="center"/>
                </w:tcPr>
                <w:p w14:paraId="58F9A1B8">
                  <w:pPr>
                    <w:pStyle w:val="109"/>
                    <w:rPr>
                      <w:rFonts w:hint="default" w:ascii="Times New Roman" w:hAnsi="Times New Roman" w:eastAsia="仿宋" w:cs="Times New Roman"/>
                      <w:color w:val="auto"/>
                      <w:sz w:val="21"/>
                      <w:szCs w:val="21"/>
                      <w:highlight w:val="none"/>
                    </w:rPr>
                  </w:pPr>
                </w:p>
              </w:tc>
              <w:tc>
                <w:tcPr>
                  <w:tcW w:w="878" w:type="pct"/>
                  <w:vAlign w:val="center"/>
                </w:tcPr>
                <w:p w14:paraId="5B9DB1BC">
                  <w:pPr>
                    <w:pStyle w:val="10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危险</w:t>
                  </w:r>
                  <w:r>
                    <w:rPr>
                      <w:rFonts w:hint="eastAsia" w:eastAsia="仿宋" w:cs="Times New Roman"/>
                      <w:color w:val="auto"/>
                      <w:sz w:val="21"/>
                      <w:szCs w:val="21"/>
                      <w:highlight w:val="none"/>
                      <w:lang w:val="en-US" w:eastAsia="zh-CN"/>
                    </w:rPr>
                    <w:t>废物</w:t>
                  </w:r>
                </w:p>
              </w:tc>
              <w:tc>
                <w:tcPr>
                  <w:tcW w:w="817" w:type="pct"/>
                  <w:vAlign w:val="center"/>
                </w:tcPr>
                <w:p w14:paraId="59EF152C">
                  <w:pPr>
                    <w:pStyle w:val="109"/>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80.5</w:t>
                  </w:r>
                </w:p>
              </w:tc>
              <w:tc>
                <w:tcPr>
                  <w:tcW w:w="805" w:type="pct"/>
                  <w:vAlign w:val="center"/>
                </w:tcPr>
                <w:p w14:paraId="3825EBFE">
                  <w:pPr>
                    <w:pStyle w:val="109"/>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80.5</w:t>
                  </w:r>
                </w:p>
              </w:tc>
              <w:tc>
                <w:tcPr>
                  <w:tcW w:w="932" w:type="pct"/>
                  <w:vAlign w:val="center"/>
                </w:tcPr>
                <w:p w14:paraId="77FF8C6F">
                  <w:pPr>
                    <w:pStyle w:val="109"/>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w:t>
                  </w:r>
                </w:p>
              </w:tc>
              <w:tc>
                <w:tcPr>
                  <w:tcW w:w="735" w:type="pct"/>
                  <w:vAlign w:val="center"/>
                </w:tcPr>
                <w:p w14:paraId="0AF88F3D">
                  <w:pPr>
                    <w:widowControl/>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r>
          </w:tbl>
          <w:p w14:paraId="3DF767CC">
            <w:pPr>
              <w:autoSpaceDE w:val="0"/>
              <w:autoSpaceDN w:val="0"/>
              <w:spacing w:line="440" w:lineRule="exact"/>
              <w:ind w:firstLine="480" w:firstLineChars="20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废水：本项目生活污水</w:t>
            </w:r>
            <w:r>
              <w:rPr>
                <w:rFonts w:hint="eastAsia" w:eastAsia="仿宋" w:cs="Times New Roman"/>
                <w:color w:val="auto"/>
                <w:kern w:val="0"/>
                <w:sz w:val="24"/>
                <w:szCs w:val="24"/>
                <w:highlight w:val="none"/>
                <w:lang w:eastAsia="zh-CN"/>
              </w:rPr>
              <w:t>、</w:t>
            </w:r>
            <w:r>
              <w:rPr>
                <w:rFonts w:hint="eastAsia" w:eastAsia="仿宋" w:cs="Times New Roman"/>
                <w:color w:val="auto"/>
                <w:kern w:val="0"/>
                <w:sz w:val="24"/>
                <w:szCs w:val="24"/>
                <w:highlight w:val="none"/>
                <w:lang w:val="en-US" w:eastAsia="zh-CN"/>
              </w:rPr>
              <w:t>医疗</w:t>
            </w:r>
            <w:r>
              <w:rPr>
                <w:rFonts w:hint="default" w:ascii="Times New Roman" w:hAnsi="Times New Roman" w:eastAsia="仿宋" w:cs="Times New Roman"/>
                <w:color w:val="auto"/>
                <w:kern w:val="0"/>
                <w:sz w:val="24"/>
                <w:szCs w:val="24"/>
                <w:highlight w:val="none"/>
                <w:lang w:val="en-US" w:eastAsia="zh-CN"/>
              </w:rPr>
              <w:t>废水</w:t>
            </w:r>
            <w:r>
              <w:rPr>
                <w:rFonts w:hint="default" w:ascii="Times New Roman" w:hAnsi="Times New Roman" w:eastAsia="仿宋" w:cs="Times New Roman"/>
                <w:color w:val="auto"/>
                <w:kern w:val="0"/>
                <w:sz w:val="24"/>
                <w:szCs w:val="24"/>
                <w:highlight w:val="none"/>
              </w:rPr>
              <w:t>经</w:t>
            </w:r>
            <w:r>
              <w:rPr>
                <w:rFonts w:hint="eastAsia" w:eastAsia="仿宋" w:cs="Times New Roman"/>
                <w:color w:val="auto"/>
                <w:kern w:val="0"/>
                <w:sz w:val="24"/>
                <w:szCs w:val="24"/>
                <w:highlight w:val="none"/>
                <w:lang w:val="en-US" w:eastAsia="zh-CN"/>
              </w:rPr>
              <w:t>院区污水处理站预处理</w:t>
            </w:r>
            <w:r>
              <w:rPr>
                <w:rFonts w:hint="default" w:ascii="Times New Roman" w:hAnsi="Times New Roman" w:eastAsia="仿宋" w:cs="Times New Roman"/>
                <w:color w:val="auto"/>
                <w:kern w:val="0"/>
                <w:sz w:val="24"/>
                <w:szCs w:val="24"/>
                <w:highlight w:val="none"/>
              </w:rPr>
              <w:t>排入</w:t>
            </w:r>
            <w:r>
              <w:rPr>
                <w:rFonts w:hint="eastAsia" w:eastAsia="仿宋" w:cs="Times New Roman"/>
                <w:color w:val="auto"/>
                <w:kern w:val="0"/>
                <w:sz w:val="24"/>
                <w:szCs w:val="24"/>
                <w:highlight w:val="none"/>
                <w:lang w:eastAsia="zh-CN"/>
              </w:rPr>
              <w:t>常州金坛区第</w:t>
            </w:r>
            <w:r>
              <w:rPr>
                <w:rFonts w:hint="eastAsia" w:eastAsia="仿宋" w:cs="Times New Roman"/>
                <w:color w:val="auto"/>
                <w:kern w:val="0"/>
                <w:sz w:val="24"/>
                <w:szCs w:val="24"/>
                <w:highlight w:val="none"/>
                <w:lang w:val="en-US" w:eastAsia="zh-CN"/>
              </w:rPr>
              <w:t>一</w:t>
            </w:r>
            <w:r>
              <w:rPr>
                <w:rFonts w:hint="eastAsia" w:eastAsia="仿宋" w:cs="Times New Roman"/>
                <w:color w:val="auto"/>
                <w:kern w:val="0"/>
                <w:sz w:val="24"/>
                <w:szCs w:val="24"/>
                <w:highlight w:val="none"/>
                <w:lang w:eastAsia="zh-CN"/>
              </w:rPr>
              <w:t>污水处理有限公司</w:t>
            </w:r>
            <w:r>
              <w:rPr>
                <w:rFonts w:hint="default" w:ascii="Times New Roman" w:hAnsi="Times New Roman" w:eastAsia="仿宋" w:cs="Times New Roman"/>
                <w:color w:val="auto"/>
                <w:kern w:val="0"/>
                <w:sz w:val="24"/>
                <w:szCs w:val="24"/>
                <w:highlight w:val="none"/>
              </w:rPr>
              <w:t>处理达标后排放，总量在</w:t>
            </w:r>
            <w:r>
              <w:rPr>
                <w:rFonts w:hint="eastAsia" w:eastAsia="仿宋" w:cs="Times New Roman"/>
                <w:color w:val="auto"/>
                <w:kern w:val="0"/>
                <w:sz w:val="24"/>
                <w:szCs w:val="24"/>
                <w:highlight w:val="none"/>
                <w:lang w:eastAsia="zh-CN"/>
              </w:rPr>
              <w:t>常州金坛区第</w:t>
            </w:r>
            <w:r>
              <w:rPr>
                <w:rFonts w:hint="eastAsia" w:eastAsia="仿宋" w:cs="Times New Roman"/>
                <w:color w:val="auto"/>
                <w:kern w:val="0"/>
                <w:sz w:val="24"/>
                <w:szCs w:val="24"/>
                <w:highlight w:val="none"/>
                <w:lang w:val="en-US" w:eastAsia="zh-CN"/>
              </w:rPr>
              <w:t>一</w:t>
            </w:r>
            <w:r>
              <w:rPr>
                <w:rFonts w:hint="eastAsia" w:eastAsia="仿宋" w:cs="Times New Roman"/>
                <w:color w:val="auto"/>
                <w:kern w:val="0"/>
                <w:sz w:val="24"/>
                <w:szCs w:val="24"/>
                <w:highlight w:val="none"/>
                <w:lang w:eastAsia="zh-CN"/>
              </w:rPr>
              <w:t>污水处理有限公司</w:t>
            </w:r>
            <w:r>
              <w:rPr>
                <w:rFonts w:hint="default" w:ascii="Times New Roman" w:hAnsi="Times New Roman" w:eastAsia="仿宋" w:cs="Times New Roman"/>
                <w:color w:val="auto"/>
                <w:kern w:val="0"/>
                <w:sz w:val="24"/>
                <w:szCs w:val="24"/>
                <w:highlight w:val="none"/>
              </w:rPr>
              <w:t>内平衡。</w:t>
            </w:r>
          </w:p>
          <w:p w14:paraId="5FDFD040">
            <w:pPr>
              <w:autoSpaceDE w:val="0"/>
              <w:autoSpaceDN w:val="0"/>
              <w:spacing w:line="440" w:lineRule="exact"/>
              <w:ind w:firstLine="480" w:firstLineChars="20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废气：根据《常州市建设项目主要污染物排放总量指标审核及管理实</w:t>
            </w:r>
            <w:r>
              <w:rPr>
                <w:rFonts w:hint="eastAsia" w:eastAsia="仿宋" w:cs="Times New Roman"/>
                <w:color w:val="auto"/>
                <w:kern w:val="0"/>
                <w:sz w:val="24"/>
                <w:szCs w:val="24"/>
                <w:highlight w:val="none"/>
                <w:lang w:val="en-US" w:eastAsia="zh-CN"/>
              </w:rPr>
              <w:t>施</w:t>
            </w:r>
            <w:r>
              <w:rPr>
                <w:rFonts w:hint="default" w:ascii="Times New Roman" w:hAnsi="Times New Roman" w:eastAsia="仿宋" w:cs="Times New Roman"/>
                <w:color w:val="auto"/>
                <w:kern w:val="0"/>
                <w:sz w:val="24"/>
                <w:szCs w:val="24"/>
                <w:highlight w:val="none"/>
              </w:rPr>
              <w:t>细则》（常政办发[2015]104号）：“建设项目主要污染物排放总量指标按工程</w:t>
            </w:r>
            <w:r>
              <w:rPr>
                <w:rFonts w:hint="eastAsia" w:eastAsia="仿宋" w:cs="Times New Roman"/>
                <w:color w:val="auto"/>
                <w:kern w:val="0"/>
                <w:sz w:val="24"/>
                <w:szCs w:val="24"/>
                <w:highlight w:val="none"/>
                <w:lang w:val="en-US" w:eastAsia="zh-CN"/>
              </w:rPr>
              <w:t>减</w:t>
            </w:r>
            <w:r>
              <w:rPr>
                <w:rFonts w:hint="default" w:ascii="Times New Roman" w:hAnsi="Times New Roman" w:eastAsia="仿宋" w:cs="Times New Roman"/>
                <w:color w:val="auto"/>
                <w:kern w:val="0"/>
                <w:sz w:val="24"/>
                <w:szCs w:val="24"/>
                <w:highlight w:val="none"/>
              </w:rPr>
              <w:t>排类项目2倍削减量替代或关闭类项目1.5倍削减量替代。”</w:t>
            </w:r>
            <w:r>
              <w:rPr>
                <w:rFonts w:hint="eastAsia" w:ascii="Times New Roman" w:hAnsi="Times New Roman" w:eastAsia="仿宋" w:cs="Times New Roman"/>
                <w:color w:val="auto"/>
                <w:kern w:val="0"/>
                <w:sz w:val="24"/>
                <w:szCs w:val="24"/>
                <w:highlight w:val="none"/>
                <w:lang w:val="en-US" w:eastAsia="zh-CN"/>
              </w:rPr>
              <w:t>本项目排放的油烟</w:t>
            </w:r>
            <w:r>
              <w:rPr>
                <w:rFonts w:hint="eastAsia" w:eastAsia="仿宋" w:cs="Times New Roman"/>
                <w:color w:val="auto"/>
                <w:kern w:val="0"/>
                <w:sz w:val="24"/>
                <w:szCs w:val="24"/>
                <w:highlight w:val="none"/>
                <w:lang w:val="en-US" w:eastAsia="zh-CN"/>
              </w:rPr>
              <w:t>、NH</w:t>
            </w:r>
            <w:r>
              <w:rPr>
                <w:rFonts w:hint="eastAsia" w:eastAsia="仿宋" w:cs="Times New Roman"/>
                <w:color w:val="auto"/>
                <w:kern w:val="0"/>
                <w:sz w:val="24"/>
                <w:szCs w:val="24"/>
                <w:highlight w:val="none"/>
                <w:vertAlign w:val="subscript"/>
                <w:lang w:val="en-US" w:eastAsia="zh-CN"/>
              </w:rPr>
              <w:t>3</w:t>
            </w:r>
            <w:r>
              <w:rPr>
                <w:rFonts w:hint="eastAsia" w:eastAsia="仿宋" w:cs="Times New Roman"/>
                <w:color w:val="auto"/>
                <w:kern w:val="0"/>
                <w:sz w:val="24"/>
                <w:szCs w:val="24"/>
                <w:highlight w:val="none"/>
                <w:lang w:val="en-US" w:eastAsia="zh-CN"/>
              </w:rPr>
              <w:t>、H</w:t>
            </w:r>
            <w:r>
              <w:rPr>
                <w:rFonts w:hint="eastAsia" w:eastAsia="仿宋" w:cs="Times New Roman"/>
                <w:color w:val="auto"/>
                <w:kern w:val="0"/>
                <w:sz w:val="24"/>
                <w:szCs w:val="24"/>
                <w:highlight w:val="none"/>
                <w:vertAlign w:val="subscript"/>
                <w:lang w:val="en-US" w:eastAsia="zh-CN"/>
              </w:rPr>
              <w:t>2</w:t>
            </w:r>
            <w:r>
              <w:rPr>
                <w:rFonts w:hint="eastAsia" w:eastAsia="仿宋" w:cs="Times New Roman"/>
                <w:color w:val="auto"/>
                <w:kern w:val="0"/>
                <w:sz w:val="24"/>
                <w:szCs w:val="24"/>
                <w:highlight w:val="none"/>
                <w:lang w:val="en-US" w:eastAsia="zh-CN"/>
              </w:rPr>
              <w:t>S</w:t>
            </w:r>
            <w:r>
              <w:rPr>
                <w:rFonts w:hint="default" w:ascii="Times New Roman" w:hAnsi="Times New Roman" w:eastAsia="仿宋" w:cs="Times New Roman"/>
                <w:color w:val="auto"/>
                <w:kern w:val="0"/>
                <w:sz w:val="24"/>
                <w:szCs w:val="24"/>
                <w:highlight w:val="none"/>
              </w:rPr>
              <w:t>不为总量控制因子，</w:t>
            </w:r>
            <w:r>
              <w:rPr>
                <w:rFonts w:hint="eastAsia" w:eastAsia="仿宋" w:cs="Times New Roman"/>
                <w:color w:val="auto"/>
                <w:kern w:val="0"/>
                <w:sz w:val="24"/>
                <w:szCs w:val="24"/>
                <w:highlight w:val="none"/>
                <w:lang w:val="en-US" w:eastAsia="zh-CN"/>
              </w:rPr>
              <w:t>无需申请总量；SO</w:t>
            </w:r>
            <w:r>
              <w:rPr>
                <w:rFonts w:hint="eastAsia" w:eastAsia="仿宋" w:cs="Times New Roman"/>
                <w:color w:val="auto"/>
                <w:kern w:val="0"/>
                <w:sz w:val="24"/>
                <w:szCs w:val="24"/>
                <w:highlight w:val="none"/>
                <w:vertAlign w:val="subscript"/>
                <w:lang w:val="en-US" w:eastAsia="zh-CN"/>
              </w:rPr>
              <w:t>2</w:t>
            </w:r>
            <w:r>
              <w:rPr>
                <w:rFonts w:hint="default" w:ascii="Times New Roman" w:hAnsi="Times New Roman" w:eastAsia="仿宋" w:cs="Times New Roman"/>
                <w:color w:val="auto"/>
                <w:kern w:val="0"/>
                <w:sz w:val="24"/>
                <w:szCs w:val="24"/>
                <w:highlight w:val="none"/>
              </w:rPr>
              <w:t>排放量共</w:t>
            </w:r>
            <w:r>
              <w:rPr>
                <w:rFonts w:hint="eastAsia" w:eastAsia="仿宋" w:cs="Times New Roman"/>
                <w:color w:val="auto"/>
                <w:kern w:val="0"/>
                <w:sz w:val="24"/>
                <w:szCs w:val="24"/>
                <w:highlight w:val="none"/>
                <w:lang w:val="en-US" w:eastAsia="zh-CN"/>
              </w:rPr>
              <w:t>0.000625</w:t>
            </w:r>
            <w:r>
              <w:rPr>
                <w:rFonts w:hint="default" w:ascii="Times New Roman" w:hAnsi="Times New Roman" w:eastAsia="仿宋" w:cs="Times New Roman"/>
                <w:color w:val="auto"/>
                <w:kern w:val="0"/>
                <w:sz w:val="24"/>
                <w:szCs w:val="24"/>
                <w:highlight w:val="none"/>
              </w:rPr>
              <w:t>t/a，</w:t>
            </w:r>
            <w:r>
              <w:rPr>
                <w:rFonts w:hint="eastAsia" w:eastAsia="仿宋" w:cs="Times New Roman"/>
                <w:color w:val="auto"/>
                <w:kern w:val="0"/>
                <w:sz w:val="24"/>
                <w:szCs w:val="24"/>
                <w:highlight w:val="none"/>
                <w:lang w:val="en-US" w:eastAsia="zh-CN"/>
              </w:rPr>
              <w:t>NO</w:t>
            </w:r>
            <w:r>
              <w:rPr>
                <w:rFonts w:hint="eastAsia" w:eastAsia="仿宋" w:cs="Times New Roman"/>
                <w:color w:val="auto"/>
                <w:kern w:val="0"/>
                <w:sz w:val="24"/>
                <w:szCs w:val="24"/>
                <w:highlight w:val="none"/>
                <w:vertAlign w:val="subscript"/>
                <w:lang w:val="en-US" w:eastAsia="zh-CN"/>
              </w:rPr>
              <w:t>x</w:t>
            </w:r>
            <w:r>
              <w:rPr>
                <w:rFonts w:hint="default" w:ascii="Times New Roman" w:hAnsi="Times New Roman" w:eastAsia="仿宋" w:cs="Times New Roman"/>
                <w:color w:val="auto"/>
                <w:kern w:val="0"/>
                <w:sz w:val="24"/>
                <w:szCs w:val="24"/>
                <w:highlight w:val="none"/>
              </w:rPr>
              <w:t>排放量共</w:t>
            </w:r>
            <w:r>
              <w:rPr>
                <w:rFonts w:hint="eastAsia" w:eastAsia="仿宋" w:cs="Times New Roman"/>
                <w:color w:val="auto"/>
                <w:kern w:val="0"/>
                <w:sz w:val="24"/>
                <w:szCs w:val="24"/>
                <w:highlight w:val="none"/>
                <w:lang w:val="en-US" w:eastAsia="zh-CN"/>
              </w:rPr>
              <w:t>0.01169</w:t>
            </w:r>
            <w:r>
              <w:rPr>
                <w:rFonts w:hint="default" w:ascii="Times New Roman" w:hAnsi="Times New Roman" w:eastAsia="仿宋" w:cs="Times New Roman"/>
                <w:color w:val="auto"/>
                <w:kern w:val="0"/>
                <w:sz w:val="24"/>
                <w:szCs w:val="24"/>
                <w:highlight w:val="none"/>
              </w:rPr>
              <w:t>t/a</w:t>
            </w:r>
            <w:r>
              <w:rPr>
                <w:rFonts w:hint="eastAsia" w:eastAsia="仿宋" w:cs="Times New Roman"/>
                <w:color w:val="auto"/>
                <w:kern w:val="0"/>
                <w:sz w:val="24"/>
                <w:szCs w:val="24"/>
                <w:highlight w:val="none"/>
                <w:lang w:eastAsia="zh-CN"/>
              </w:rPr>
              <w:t>，</w:t>
            </w:r>
            <w:r>
              <w:rPr>
                <w:rFonts w:hint="eastAsia" w:eastAsia="仿宋" w:cs="Times New Roman"/>
                <w:color w:val="auto"/>
                <w:kern w:val="0"/>
                <w:sz w:val="24"/>
                <w:szCs w:val="24"/>
                <w:highlight w:val="none"/>
                <w:lang w:val="en-US" w:eastAsia="zh-CN"/>
              </w:rPr>
              <w:t>烟尘</w:t>
            </w:r>
            <w:r>
              <w:rPr>
                <w:rFonts w:hint="default" w:ascii="Times New Roman" w:hAnsi="Times New Roman" w:eastAsia="仿宋" w:cs="Times New Roman"/>
                <w:color w:val="auto"/>
                <w:kern w:val="0"/>
                <w:sz w:val="24"/>
                <w:szCs w:val="24"/>
                <w:highlight w:val="none"/>
              </w:rPr>
              <w:t>排放量共</w:t>
            </w:r>
            <w:r>
              <w:rPr>
                <w:rFonts w:hint="eastAsia" w:eastAsia="仿宋" w:cs="Times New Roman"/>
                <w:color w:val="auto"/>
                <w:kern w:val="0"/>
                <w:sz w:val="24"/>
                <w:szCs w:val="24"/>
                <w:highlight w:val="none"/>
                <w:lang w:val="en-US" w:eastAsia="zh-CN"/>
              </w:rPr>
              <w:t>0.0015</w:t>
            </w:r>
            <w:r>
              <w:rPr>
                <w:rFonts w:hint="default" w:ascii="Times New Roman" w:hAnsi="Times New Roman" w:eastAsia="仿宋" w:cs="Times New Roman"/>
                <w:color w:val="auto"/>
                <w:kern w:val="0"/>
                <w:sz w:val="24"/>
                <w:szCs w:val="24"/>
                <w:highlight w:val="none"/>
              </w:rPr>
              <w:t>t/a</w:t>
            </w:r>
            <w:r>
              <w:rPr>
                <w:rFonts w:hint="eastAsia" w:eastAsia="仿宋" w:cs="Times New Roman"/>
                <w:color w:val="auto"/>
                <w:kern w:val="0"/>
                <w:sz w:val="24"/>
                <w:szCs w:val="24"/>
                <w:highlight w:val="none"/>
                <w:lang w:eastAsia="zh-CN"/>
              </w:rPr>
              <w:t>，</w:t>
            </w:r>
            <w:r>
              <w:rPr>
                <w:rFonts w:hint="eastAsia" w:eastAsia="仿宋" w:cs="Times New Roman"/>
                <w:color w:val="auto"/>
                <w:kern w:val="0"/>
                <w:sz w:val="24"/>
                <w:szCs w:val="24"/>
                <w:highlight w:val="none"/>
                <w:lang w:val="en-US" w:eastAsia="zh-CN"/>
              </w:rPr>
              <w:t>SO</w:t>
            </w:r>
            <w:r>
              <w:rPr>
                <w:rFonts w:hint="eastAsia" w:eastAsia="仿宋" w:cs="Times New Roman"/>
                <w:color w:val="auto"/>
                <w:kern w:val="0"/>
                <w:sz w:val="24"/>
                <w:szCs w:val="24"/>
                <w:highlight w:val="none"/>
                <w:vertAlign w:val="subscript"/>
                <w:lang w:val="en-US" w:eastAsia="zh-CN"/>
              </w:rPr>
              <w:t>2</w:t>
            </w:r>
            <w:r>
              <w:rPr>
                <w:rFonts w:hint="eastAsia" w:eastAsia="仿宋" w:cs="Times New Roman"/>
                <w:color w:val="auto"/>
                <w:kern w:val="0"/>
                <w:sz w:val="24"/>
                <w:szCs w:val="24"/>
                <w:highlight w:val="none"/>
                <w:vertAlign w:val="baseline"/>
                <w:lang w:val="en-US" w:eastAsia="zh-CN"/>
              </w:rPr>
              <w:t>、</w:t>
            </w:r>
            <w:r>
              <w:rPr>
                <w:rFonts w:hint="eastAsia" w:eastAsia="仿宋" w:cs="Times New Roman"/>
                <w:color w:val="auto"/>
                <w:kern w:val="0"/>
                <w:sz w:val="24"/>
                <w:szCs w:val="24"/>
                <w:highlight w:val="none"/>
                <w:lang w:val="en-US" w:eastAsia="zh-CN"/>
              </w:rPr>
              <w:t>NO</w:t>
            </w:r>
            <w:r>
              <w:rPr>
                <w:rFonts w:hint="eastAsia" w:eastAsia="仿宋" w:cs="Times New Roman"/>
                <w:color w:val="auto"/>
                <w:kern w:val="0"/>
                <w:sz w:val="24"/>
                <w:szCs w:val="24"/>
                <w:highlight w:val="none"/>
                <w:vertAlign w:val="subscript"/>
                <w:lang w:val="en-US" w:eastAsia="zh-CN"/>
              </w:rPr>
              <w:t>x</w:t>
            </w:r>
            <w:r>
              <w:rPr>
                <w:rFonts w:hint="eastAsia" w:eastAsia="仿宋" w:cs="Times New Roman"/>
                <w:color w:val="auto"/>
                <w:kern w:val="0"/>
                <w:sz w:val="24"/>
                <w:szCs w:val="24"/>
                <w:highlight w:val="none"/>
                <w:vertAlign w:val="baseline"/>
                <w:lang w:val="en-US" w:eastAsia="zh-CN"/>
              </w:rPr>
              <w:t>、</w:t>
            </w:r>
            <w:r>
              <w:rPr>
                <w:rFonts w:hint="eastAsia" w:eastAsia="仿宋" w:cs="Times New Roman"/>
                <w:color w:val="auto"/>
                <w:kern w:val="0"/>
                <w:sz w:val="24"/>
                <w:szCs w:val="24"/>
                <w:highlight w:val="none"/>
                <w:lang w:val="en-US" w:eastAsia="zh-CN"/>
              </w:rPr>
              <w:t>烟尘</w:t>
            </w:r>
            <w:r>
              <w:rPr>
                <w:rFonts w:hint="default" w:ascii="Times New Roman" w:hAnsi="Times New Roman" w:eastAsia="仿宋" w:cs="Times New Roman"/>
                <w:color w:val="auto"/>
                <w:kern w:val="0"/>
                <w:sz w:val="24"/>
                <w:szCs w:val="24"/>
                <w:highlight w:val="none"/>
              </w:rPr>
              <w:t>在</w:t>
            </w:r>
            <w:r>
              <w:rPr>
                <w:rFonts w:hint="eastAsia" w:eastAsia="仿宋" w:cs="Times New Roman"/>
                <w:color w:val="auto"/>
                <w:kern w:val="0"/>
                <w:sz w:val="24"/>
                <w:szCs w:val="24"/>
                <w:highlight w:val="none"/>
                <w:lang w:val="en-US" w:eastAsia="zh-CN"/>
              </w:rPr>
              <w:t>金坛</w:t>
            </w:r>
            <w:r>
              <w:rPr>
                <w:rFonts w:hint="default" w:ascii="Times New Roman" w:hAnsi="Times New Roman" w:eastAsia="仿宋" w:cs="Times New Roman"/>
                <w:color w:val="auto"/>
                <w:kern w:val="0"/>
                <w:sz w:val="24"/>
                <w:szCs w:val="24"/>
                <w:highlight w:val="none"/>
              </w:rPr>
              <w:t>区削减的总量内进行平衡。</w:t>
            </w:r>
          </w:p>
          <w:p w14:paraId="57F39BDB">
            <w:pPr>
              <w:autoSpaceDE w:val="0"/>
              <w:autoSpaceDN w:val="0"/>
              <w:spacing w:line="440" w:lineRule="exact"/>
              <w:ind w:firstLine="480" w:firstLineChars="200"/>
              <w:rPr>
                <w:rFonts w:hint="default"/>
                <w:color w:val="auto"/>
              </w:rPr>
            </w:pPr>
            <w:r>
              <w:rPr>
                <w:rFonts w:hint="default" w:ascii="Times New Roman" w:hAnsi="Times New Roman" w:eastAsia="仿宋" w:cs="Times New Roman"/>
                <w:color w:val="auto"/>
                <w:kern w:val="0"/>
                <w:sz w:val="24"/>
                <w:szCs w:val="24"/>
                <w:highlight w:val="none"/>
              </w:rPr>
              <w:t>固废：本项目工业固体废弃物零排放，无需申请总量。</w:t>
            </w:r>
          </w:p>
        </w:tc>
      </w:tr>
    </w:tbl>
    <w:p w14:paraId="785EA35B">
      <w:pPr>
        <w:rPr>
          <w:rFonts w:hint="default" w:ascii="Times New Roman" w:hAnsi="Times New Roman" w:eastAsia="黑体" w:cs="Times New Roman"/>
          <w:snapToGrid w:val="0"/>
          <w:color w:val="FF0000"/>
          <w:sz w:val="30"/>
          <w:szCs w:val="30"/>
        </w:rPr>
      </w:pPr>
      <w:r>
        <w:rPr>
          <w:rFonts w:hint="default" w:ascii="Times New Roman" w:hAnsi="Times New Roman" w:eastAsia="黑体" w:cs="Times New Roman"/>
          <w:snapToGrid w:val="0"/>
          <w:color w:val="FF0000"/>
          <w:sz w:val="30"/>
          <w:szCs w:val="30"/>
        </w:rPr>
        <w:br w:type="page"/>
      </w:r>
    </w:p>
    <w:p w14:paraId="5C790C23">
      <w:pPr>
        <w:pStyle w:val="27"/>
        <w:jc w:val="center"/>
        <w:outlineLvl w:val="0"/>
        <w:rPr>
          <w:rFonts w:hint="default" w:ascii="Times New Roman" w:hAnsi="Times New Roman" w:eastAsia="黑体" w:cs="Times New Roman"/>
          <w:snapToGrid w:val="0"/>
          <w:color w:val="auto"/>
          <w:sz w:val="30"/>
          <w:szCs w:val="30"/>
        </w:rPr>
      </w:pPr>
      <w:bookmarkStart w:id="5" w:name="_Toc21360"/>
      <w:r>
        <w:rPr>
          <w:rFonts w:hint="default" w:ascii="Times New Roman" w:hAnsi="Times New Roman" w:eastAsia="黑体" w:cs="Times New Roman"/>
          <w:snapToGrid w:val="0"/>
          <w:color w:val="auto"/>
          <w:sz w:val="30"/>
          <w:szCs w:val="30"/>
        </w:rPr>
        <w:t>四、主要环境影响和保护措施</w:t>
      </w:r>
      <w:bookmarkEnd w:id="5"/>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
        <w:gridCol w:w="534"/>
        <w:gridCol w:w="8526"/>
        <w:gridCol w:w="18"/>
      </w:tblGrid>
      <w:tr w14:paraId="50758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6" w:hRule="atLeast"/>
          <w:jc w:val="center"/>
        </w:trPr>
        <w:tc>
          <w:tcPr>
            <w:tcW w:w="551" w:type="dxa"/>
            <w:gridSpan w:val="2"/>
            <w:vAlign w:val="center"/>
          </w:tcPr>
          <w:p w14:paraId="29DD61C6">
            <w:pPr>
              <w:adjustRightInd w:val="0"/>
              <w:snapToGrid w:val="0"/>
              <w:spacing w:line="360" w:lineRule="auto"/>
              <w:jc w:val="center"/>
              <w:rPr>
                <w:rFonts w:hint="default" w:ascii="Times New Roman" w:hAnsi="Times New Roman" w:cs="Times New Roman"/>
                <w:b/>
                <w:bCs/>
                <w:color w:val="FF0000"/>
                <w:kern w:val="0"/>
                <w:sz w:val="24"/>
              </w:rPr>
            </w:pPr>
            <w:r>
              <w:rPr>
                <w:rFonts w:hint="default" w:ascii="Times New Roman" w:hAnsi="Times New Roman" w:eastAsia="仿宋" w:cs="Times New Roman"/>
                <w:color w:val="auto"/>
                <w:kern w:val="2"/>
                <w:sz w:val="24"/>
                <w:szCs w:val="24"/>
                <w:highlight w:val="none"/>
                <w:lang w:val="en-US" w:eastAsia="zh-CN" w:bidi="ar-SA"/>
              </w:rPr>
              <w:t>施工期环境保护措施</w:t>
            </w:r>
          </w:p>
        </w:tc>
        <w:tc>
          <w:tcPr>
            <w:tcW w:w="8544" w:type="dxa"/>
            <w:gridSpan w:val="2"/>
          </w:tcPr>
          <w:p w14:paraId="044DB868">
            <w:pPr>
              <w:keepNext w:val="0"/>
              <w:keepLines w:val="0"/>
              <w:pageBreakBefore w:val="0"/>
              <w:kinsoku/>
              <w:wordWrap/>
              <w:overflowPunct/>
              <w:topLinePunct w:val="0"/>
              <w:autoSpaceDE w:val="0"/>
              <w:autoSpaceDN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本项目施工期工程主要为一般的土建工程，主要工艺为基础工程、主体施工、装饰工程和辅助工程。</w:t>
            </w:r>
            <w:r>
              <w:rPr>
                <w:rFonts w:hint="eastAsia" w:eastAsia="仿宋" w:cs="Times New Roman"/>
                <w:color w:val="auto"/>
                <w:sz w:val="24"/>
                <w:szCs w:val="24"/>
                <w:highlight w:val="none"/>
                <w:lang w:val="en-US" w:eastAsia="zh-CN"/>
              </w:rPr>
              <w:t>本项目新建苏南骨伤科中心（金坛第一人民医院急救创伤大楼），包含急诊急救中心、骨伤科中心、骨伤科科研中心、创伤中心、120调度指挥及院前急救中心、室外附属等方面的基础建设和设备设施的购买与安装等。</w:t>
            </w:r>
            <w:r>
              <w:rPr>
                <w:rFonts w:hint="default" w:ascii="Times New Roman" w:hAnsi="Times New Roman" w:eastAsia="仿宋" w:cs="Times New Roman"/>
                <w:color w:val="auto"/>
                <w:sz w:val="24"/>
                <w:szCs w:val="24"/>
                <w:highlight w:val="none"/>
              </w:rPr>
              <w:t>在施工期基础工程、主体工程、装饰工程和辅助工程期间将产生较多污染物，以施工扬尘、施工噪声、</w:t>
            </w:r>
            <w:r>
              <w:rPr>
                <w:rFonts w:hint="eastAsia" w:eastAsia="仿宋" w:cs="Times New Roman"/>
                <w:color w:val="auto"/>
                <w:sz w:val="24"/>
                <w:szCs w:val="24"/>
                <w:highlight w:val="none"/>
                <w:lang w:val="en-US" w:eastAsia="zh-CN"/>
              </w:rPr>
              <w:t>建筑垃圾和工程弃土</w:t>
            </w:r>
            <w:r>
              <w:rPr>
                <w:rFonts w:hint="default" w:ascii="Times New Roman" w:hAnsi="Times New Roman" w:eastAsia="仿宋" w:cs="Times New Roman"/>
                <w:color w:val="auto"/>
                <w:sz w:val="24"/>
                <w:szCs w:val="24"/>
                <w:highlight w:val="none"/>
              </w:rPr>
              <w:t>为主</w:t>
            </w:r>
            <w:r>
              <w:rPr>
                <w:rFonts w:hint="eastAsia"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还有施工人员的生活污水和生活垃圾</w:t>
            </w:r>
            <w:r>
              <w:rPr>
                <w:rFonts w:hint="default" w:ascii="Times New Roman" w:hAnsi="Times New Roman" w:eastAsia="仿宋" w:cs="Times New Roman"/>
                <w:color w:val="auto"/>
                <w:sz w:val="24"/>
                <w:szCs w:val="24"/>
                <w:highlight w:val="none"/>
              </w:rPr>
              <w:t>。</w:t>
            </w:r>
          </w:p>
          <w:p w14:paraId="53C5F8C1">
            <w:pPr>
              <w:adjustRightInd w:val="0"/>
              <w:snapToGrid w:val="0"/>
              <w:spacing w:line="360" w:lineRule="auto"/>
              <w:ind w:firstLine="420" w:firstLineChars="200"/>
              <w:jc w:val="center"/>
              <w:rPr>
                <w:rFonts w:hint="eastAsia"/>
                <w:b/>
                <w:color w:val="FF0000"/>
                <w:kern w:val="0"/>
                <w:sz w:val="24"/>
                <w:lang w:val="zh-CN"/>
              </w:rPr>
            </w:pPr>
            <w:r>
              <w:rPr>
                <w:rFonts w:hint="default"/>
                <w:color w:val="auto"/>
                <w:highlight w:val="none"/>
              </w:rPr>
              <w:object>
                <v:shape id="_x0000_i1028" o:spt="75" type="#_x0000_t75" style="height:254.35pt;width:170.15pt;" o:ole="t" filled="f" o:preferrelative="t" stroked="f" coordsize="21600,21600">
                  <v:path/>
                  <v:fill on="f" focussize="0,0"/>
                  <v:stroke on="f"/>
                  <v:imagedata r:id="rId23" o:title=""/>
                  <o:lock v:ext="edit" aspectratio="f"/>
                  <w10:wrap type="none"/>
                  <w10:anchorlock/>
                </v:shape>
                <o:OLEObject Type="Embed" ProgID="Visio.Drawing.11" ShapeID="_x0000_i1028" DrawAspect="Content" ObjectID="_1468075728" r:id="rId22">
                  <o:LockedField>false</o:LockedField>
                </o:OLEObject>
              </w:object>
            </w:r>
          </w:p>
          <w:p w14:paraId="14F3B08E">
            <w:pPr>
              <w:keepNext w:val="0"/>
              <w:keepLines w:val="0"/>
              <w:pageBreakBefore w:val="0"/>
              <w:kinsoku/>
              <w:wordWrap/>
              <w:overflowPunct/>
              <w:topLinePunct w:val="0"/>
              <w:autoSpaceDE w:val="0"/>
              <w:autoSpaceDN w:val="0"/>
              <w:bidi w:val="0"/>
              <w:spacing w:beforeAutospacing="0" w:afterAutospacing="0" w:line="360" w:lineRule="auto"/>
              <w:jc w:val="left"/>
              <w:textAlignment w:val="auto"/>
              <w:rPr>
                <w:rFonts w:hint="default" w:ascii="Times New Roman" w:hAnsi="Times New Roman" w:eastAsia="仿宋" w:cs="Times New Roman"/>
                <w:b/>
                <w:bCs/>
                <w:color w:val="auto"/>
                <w:sz w:val="24"/>
                <w:szCs w:val="24"/>
                <w:highlight w:val="none"/>
              </w:rPr>
            </w:pPr>
            <w:r>
              <w:rPr>
                <w:rFonts w:hint="eastAsia" w:ascii="Times New Roman" w:hAnsi="Times New Roman" w:eastAsia="仿宋" w:cs="Times New Roman"/>
                <w:b/>
                <w:bCs/>
                <w:color w:val="auto"/>
                <w:sz w:val="24"/>
                <w:szCs w:val="24"/>
                <w:highlight w:val="none"/>
                <w:lang w:val="zh-CN"/>
              </w:rPr>
              <w:t>一、</w:t>
            </w:r>
            <w:r>
              <w:rPr>
                <w:rFonts w:hint="eastAsia" w:ascii="Times New Roman" w:hAnsi="Times New Roman" w:eastAsia="仿宋" w:cs="Times New Roman"/>
                <w:b/>
                <w:bCs/>
                <w:color w:val="auto"/>
                <w:sz w:val="24"/>
                <w:szCs w:val="24"/>
                <w:highlight w:val="none"/>
                <w:lang w:val="en-US" w:eastAsia="zh-CN"/>
              </w:rPr>
              <w:t>废气</w:t>
            </w:r>
          </w:p>
          <w:p w14:paraId="3B083E7F">
            <w:pPr>
              <w:keepNext w:val="0"/>
              <w:keepLines w:val="0"/>
              <w:pageBreakBefore w:val="0"/>
              <w:kinsoku/>
              <w:wordWrap/>
              <w:overflowPunct/>
              <w:topLinePunct w:val="0"/>
              <w:autoSpaceDE w:val="0"/>
              <w:autoSpaceDN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本项目施工期废气主要为汽车尾气、地面扬尘</w:t>
            </w:r>
            <w:r>
              <w:rPr>
                <w:rFonts w:hint="eastAsia" w:eastAsia="仿宋" w:cs="Times New Roman"/>
                <w:color w:val="auto"/>
                <w:sz w:val="24"/>
                <w:szCs w:val="24"/>
                <w:highlight w:val="none"/>
                <w:lang w:val="en-US" w:eastAsia="zh-CN"/>
              </w:rPr>
              <w:t>以及</w:t>
            </w:r>
            <w:r>
              <w:rPr>
                <w:rFonts w:hint="default" w:ascii="Times New Roman" w:hAnsi="Times New Roman" w:eastAsia="仿宋" w:cs="Times New Roman"/>
                <w:color w:val="auto"/>
                <w:sz w:val="24"/>
                <w:szCs w:val="24"/>
                <w:highlight w:val="none"/>
              </w:rPr>
              <w:t>装修废气。</w:t>
            </w:r>
          </w:p>
          <w:p w14:paraId="3926E03B">
            <w:pPr>
              <w:keepNext w:val="0"/>
              <w:keepLines w:val="0"/>
              <w:pageBreakBefore w:val="0"/>
              <w:kinsoku/>
              <w:wordWrap/>
              <w:overflowPunct/>
              <w:topLinePunct w:val="0"/>
              <w:autoSpaceDE w:val="0"/>
              <w:autoSpaceDN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①尾气：施工机械、运输车辆排放的燃油尾气对大气环境有一定影响，其排放的污染物主要为NO</w:t>
            </w:r>
            <w:r>
              <w:rPr>
                <w:rFonts w:hint="default" w:ascii="Times New Roman" w:hAnsi="Times New Roman" w:eastAsia="仿宋" w:cs="Times New Roman"/>
                <w:color w:val="auto"/>
                <w:sz w:val="24"/>
                <w:szCs w:val="24"/>
                <w:highlight w:val="none"/>
                <w:vertAlign w:val="subscript"/>
              </w:rPr>
              <w:t>X</w:t>
            </w:r>
            <w:r>
              <w:rPr>
                <w:rFonts w:hint="default" w:ascii="Times New Roman" w:hAnsi="Times New Roman" w:eastAsia="仿宋" w:cs="Times New Roman"/>
                <w:color w:val="auto"/>
                <w:sz w:val="24"/>
                <w:szCs w:val="24"/>
                <w:highlight w:val="none"/>
              </w:rPr>
              <w:t>、CO、碳氢化合物等。对于载重工程运输车辆，一般其单车污染物排放量分别为CO：815.13g/100km；NO</w:t>
            </w:r>
            <w:r>
              <w:rPr>
                <w:rFonts w:hint="default" w:ascii="Times New Roman" w:hAnsi="Times New Roman" w:eastAsia="仿宋" w:cs="Times New Roman"/>
                <w:color w:val="auto"/>
                <w:sz w:val="24"/>
                <w:szCs w:val="24"/>
                <w:highlight w:val="none"/>
                <w:vertAlign w:val="subscript"/>
              </w:rPr>
              <w:t>X</w:t>
            </w:r>
            <w:r>
              <w:rPr>
                <w:rFonts w:hint="default" w:ascii="Times New Roman" w:hAnsi="Times New Roman" w:eastAsia="仿宋" w:cs="Times New Roman"/>
                <w:color w:val="auto"/>
                <w:sz w:val="24"/>
                <w:szCs w:val="24"/>
                <w:highlight w:val="none"/>
              </w:rPr>
              <w:t>：1340.44g/100km；碳氢化合物134.0g/100km。</w:t>
            </w:r>
          </w:p>
          <w:p w14:paraId="29D7D5FE">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②扬尘：</w:t>
            </w:r>
            <w:r>
              <w:rPr>
                <w:rFonts w:hint="eastAsia" w:ascii="Times New Roman" w:hAnsi="Times New Roman" w:eastAsia="仿宋" w:cs="Times New Roman"/>
                <w:color w:val="auto"/>
                <w:sz w:val="24"/>
                <w:szCs w:val="24"/>
                <w:highlight w:val="none"/>
                <w:lang w:val="en-US" w:eastAsia="zh-CN"/>
              </w:rPr>
              <w:t>土</w:t>
            </w:r>
            <w:r>
              <w:rPr>
                <w:rFonts w:hint="default" w:ascii="Times New Roman" w:hAnsi="Times New Roman" w:eastAsia="仿宋" w:cs="Times New Roman"/>
                <w:color w:val="auto"/>
                <w:sz w:val="24"/>
                <w:szCs w:val="24"/>
                <w:highlight w:val="none"/>
              </w:rPr>
              <w:t>方挖掘和现场堆放扬</w:t>
            </w:r>
            <w:r>
              <w:rPr>
                <w:rFonts w:hint="eastAsia" w:ascii="Times New Roman" w:hAnsi="Times New Roman" w:eastAsia="仿宋" w:cs="Times New Roman"/>
                <w:color w:val="auto"/>
                <w:sz w:val="24"/>
                <w:szCs w:val="24"/>
                <w:highlight w:val="none"/>
                <w:lang w:val="en-US" w:eastAsia="zh-CN"/>
              </w:rPr>
              <w:t>扬尘；</w:t>
            </w:r>
            <w:r>
              <w:rPr>
                <w:rFonts w:hint="default" w:ascii="Times New Roman" w:hAnsi="Times New Roman" w:eastAsia="仿宋" w:cs="Times New Roman"/>
                <w:color w:val="auto"/>
                <w:sz w:val="24"/>
                <w:szCs w:val="24"/>
                <w:highlight w:val="none"/>
              </w:rPr>
              <w:t>建筑材料</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白灰、水泥、砂子、石子和砖等</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的搬运及堆放扬尘</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建筑垃圾和弃土的清理及堆放扬尘</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物料运输车辆造成的道路扬尘。</w:t>
            </w:r>
          </w:p>
          <w:p w14:paraId="1A351946">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lang w:val="en-US" w:eastAsia="zh-CN"/>
              </w:rPr>
              <w:t>施工期中</w:t>
            </w:r>
            <w:r>
              <w:rPr>
                <w:rFonts w:hint="default" w:ascii="Times New Roman" w:hAnsi="Times New Roman" w:eastAsia="仿宋" w:cs="Times New Roman"/>
                <w:color w:val="auto"/>
                <w:sz w:val="24"/>
                <w:szCs w:val="24"/>
                <w:highlight w:val="none"/>
              </w:rPr>
              <w:t>施工道路应硬化，施工所存物料必须封闭或者覆盖，施工场地要设置围挡，4级以上大风天气停止土方回填、散装物料的转运以及其他可能产生扬尘污染的施工，并对施工场地作好遮掩的工作</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尽量减少施工扬尘和运输遗洒。采用封闭施工，限制施工车辆车速，定期</w:t>
            </w:r>
            <w:r>
              <w:rPr>
                <w:rFonts w:hint="eastAsia" w:ascii="Times New Roman" w:hAnsi="Times New Roman" w:eastAsia="仿宋" w:cs="Times New Roman"/>
                <w:color w:val="auto"/>
                <w:sz w:val="24"/>
                <w:szCs w:val="24"/>
                <w:highlight w:val="none"/>
                <w:lang w:val="en-US" w:eastAsia="zh-CN"/>
              </w:rPr>
              <w:t>对场地</w:t>
            </w:r>
            <w:r>
              <w:rPr>
                <w:rFonts w:hint="default" w:ascii="Times New Roman" w:hAnsi="Times New Roman" w:eastAsia="仿宋" w:cs="Times New Roman"/>
                <w:color w:val="auto"/>
                <w:sz w:val="24"/>
                <w:szCs w:val="24"/>
                <w:highlight w:val="none"/>
              </w:rPr>
              <w:t>洒水，建筑结构脚手架外侧设置密目防尘网，使用预拌混凝土和砂浆等措施减少扬尘的无组织排放，确保颗粒物达标排放。</w:t>
            </w:r>
          </w:p>
          <w:p w14:paraId="450A65A7">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③装修废气：项目装修期间可能使用有机胶粘剂、化学涂料等有机物，这些有机物大多会产尘挥发性有机化合物(VOCs)，可能短暂地影响到室内空气环境，直接影响到室内人员的生活环境及身体健康。因此，在选择装修材料和涂料的时候应选用对环境污染小、有益于人体健康的建筑材料产品</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室内装修材料应采用符合国家现行有关标准规定的环保型装修材料，应防止装修材料中有毒、有害气体的挥发导致室内空气污染，危害人体健康。建设单位只要采用符合标准的建筑材料，保证建材、有机溶剂和辅功添加剂无毒无害，做到健康设计原则，并加强室内通风，可有效防止装修材料中有毒、有害气体的探发导致室内警气污染，降低周边环境的影响。</w:t>
            </w:r>
          </w:p>
          <w:p w14:paraId="031361CF">
            <w:pPr>
              <w:keepNext w:val="0"/>
              <w:keepLines w:val="0"/>
              <w:pageBreakBefore w:val="0"/>
              <w:kinsoku/>
              <w:wordWrap/>
              <w:overflowPunct/>
              <w:topLinePunct w:val="0"/>
              <w:autoSpaceDE w:val="0"/>
              <w:autoSpaceDN w:val="0"/>
              <w:bidi w:val="0"/>
              <w:spacing w:beforeAutospacing="0" w:afterAutospacing="0" w:line="360" w:lineRule="auto"/>
              <w:jc w:val="left"/>
              <w:textAlignment w:val="auto"/>
              <w:rPr>
                <w:rFonts w:hint="eastAsia" w:ascii="Times New Roman" w:hAnsi="Times New Roman" w:eastAsia="仿宋" w:cs="Times New Roman"/>
                <w:b/>
                <w:bCs/>
                <w:color w:val="auto"/>
                <w:sz w:val="24"/>
                <w:szCs w:val="24"/>
                <w:highlight w:val="none"/>
                <w:lang w:val="zh-CN"/>
              </w:rPr>
            </w:pPr>
            <w:r>
              <w:rPr>
                <w:rFonts w:hint="eastAsia" w:ascii="Times New Roman" w:hAnsi="Times New Roman" w:eastAsia="仿宋" w:cs="Times New Roman"/>
                <w:b/>
                <w:bCs/>
                <w:color w:val="auto"/>
                <w:sz w:val="24"/>
                <w:szCs w:val="24"/>
                <w:highlight w:val="none"/>
                <w:lang w:val="zh-CN"/>
              </w:rPr>
              <w:t>二、</w:t>
            </w:r>
            <w:r>
              <w:rPr>
                <w:rFonts w:hint="eastAsia" w:ascii="Times New Roman" w:hAnsi="Times New Roman" w:eastAsia="仿宋" w:cs="Times New Roman"/>
                <w:b/>
                <w:bCs/>
                <w:color w:val="auto"/>
                <w:sz w:val="24"/>
                <w:szCs w:val="24"/>
                <w:highlight w:val="none"/>
                <w:lang w:val="en-US" w:eastAsia="zh-CN"/>
              </w:rPr>
              <w:t>废水</w:t>
            </w:r>
          </w:p>
          <w:p w14:paraId="193EF847">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施工期的废水主要来源于施工作业的施工废水和施工人员的生活污水。</w:t>
            </w:r>
          </w:p>
          <w:p w14:paraId="004BB018">
            <w:pPr>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①施工废水</w:t>
            </w:r>
          </w:p>
          <w:p w14:paraId="198B27C7">
            <w:pPr>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施工时的生产废水主要来自车辆、机械设备的冲洗，废水中主要污染物为SS和石油类；施工时需要的物料如果管理不严，遮盖不密，则可能在雨季或暴雨期受雨水冲刷进入水体；粉状物料的堆场若没有严格的遮挡、掩盖等措施将会起尘从而污染水体；废弃的建材堆场的残留物质随地表径流进入水体也会造成水污染；建设施工不当或施工管理不强，产生的施工泥渣、机械冲洗产生的含油废水、泥浆、施工物料等受雨水冲刷入河等情况将影响水质。</w:t>
            </w:r>
          </w:p>
          <w:p w14:paraId="03C51F42">
            <w:pPr>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处理措施：</w:t>
            </w:r>
          </w:p>
          <w:p w14:paraId="4D1C8CB5">
            <w:pPr>
              <w:keepNext w:val="0"/>
              <w:keepLines w:val="0"/>
              <w:pageBreakBefore w:val="0"/>
              <w:kinsoku/>
              <w:wordWrap/>
              <w:overflowPunct/>
              <w:topLinePunct w:val="0"/>
              <w:bidi w:val="0"/>
              <w:spacing w:beforeAutospacing="0" w:afterAutospacing="0"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rPr>
              <w:t>项目施工期主要道路将采用砼硬化路面，场地四周将敷设排水沟（管），并修建临时沉淀池，含SS、微量机油的雨水以及进出施工场地的车辆清洗废水排入沉淀池进行沉淀澄清处理后回用。</w:t>
            </w:r>
            <w:r>
              <w:rPr>
                <w:rFonts w:hint="eastAsia" w:eastAsia="仿宋" w:cs="Times New Roman"/>
                <w:color w:val="auto"/>
                <w:sz w:val="24"/>
                <w:szCs w:val="24"/>
                <w:highlight w:val="none"/>
                <w:lang w:val="en-US" w:eastAsia="zh-CN"/>
              </w:rPr>
              <w:t>同时</w:t>
            </w:r>
            <w:r>
              <w:rPr>
                <w:rFonts w:hint="default" w:ascii="Times New Roman" w:hAnsi="Times New Roman" w:eastAsia="仿宋" w:cs="Times New Roman"/>
                <w:color w:val="auto"/>
                <w:sz w:val="24"/>
                <w:szCs w:val="24"/>
                <w:highlight w:val="none"/>
              </w:rPr>
              <w:t>建造</w:t>
            </w:r>
            <w:r>
              <w:rPr>
                <w:rFonts w:hint="eastAsia" w:eastAsia="仿宋" w:cs="Times New Roman"/>
                <w:color w:val="auto"/>
                <w:sz w:val="24"/>
                <w:szCs w:val="24"/>
                <w:highlight w:val="none"/>
                <w:lang w:val="en-US" w:eastAsia="zh-CN"/>
              </w:rPr>
              <w:t>沉淀池</w:t>
            </w:r>
            <w:r>
              <w:rPr>
                <w:rFonts w:hint="default" w:ascii="Times New Roman" w:hAnsi="Times New Roman" w:eastAsia="仿宋" w:cs="Times New Roman"/>
                <w:color w:val="auto"/>
                <w:sz w:val="24"/>
                <w:szCs w:val="24"/>
                <w:highlight w:val="none"/>
              </w:rPr>
              <w:t>等污水临时处理设施，施工废水</w:t>
            </w:r>
            <w:r>
              <w:rPr>
                <w:rFonts w:hint="eastAsia" w:eastAsia="仿宋" w:cs="Times New Roman"/>
                <w:color w:val="auto"/>
                <w:sz w:val="24"/>
                <w:szCs w:val="24"/>
                <w:highlight w:val="none"/>
                <w:lang w:val="en-US" w:eastAsia="zh-CN"/>
              </w:rPr>
              <w:t>经沉淀池预处理后达标排放或回用于施工场地洒水</w:t>
            </w:r>
            <w:r>
              <w:rPr>
                <w:rFonts w:hint="default" w:ascii="Times New Roman" w:hAnsi="Times New Roman" w:eastAsia="仿宋" w:cs="Times New Roman"/>
                <w:color w:val="auto"/>
                <w:sz w:val="24"/>
                <w:szCs w:val="24"/>
                <w:highlight w:val="none"/>
              </w:rPr>
              <w:t>，严禁排入周边水体</w:t>
            </w:r>
            <w:r>
              <w:rPr>
                <w:rFonts w:hint="eastAsia" w:eastAsia="仿宋" w:cs="Times New Roman"/>
                <w:color w:val="auto"/>
                <w:sz w:val="24"/>
                <w:szCs w:val="24"/>
                <w:highlight w:val="none"/>
                <w:lang w:eastAsia="zh-CN"/>
              </w:rPr>
              <w:t>。</w:t>
            </w:r>
          </w:p>
          <w:p w14:paraId="7B8BD7AF">
            <w:pPr>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②施工期间施工人员产生的生活污水。根据估算，施工人员高峰时预计</w:t>
            </w:r>
            <w:r>
              <w:rPr>
                <w:rFonts w:hint="eastAsia" w:eastAsia="仿宋" w:cs="Times New Roman"/>
                <w:color w:val="auto"/>
                <w:sz w:val="24"/>
                <w:szCs w:val="24"/>
                <w:highlight w:val="none"/>
                <w:lang w:val="en-US" w:eastAsia="zh-CN"/>
              </w:rPr>
              <w:t>200</w:t>
            </w:r>
            <w:r>
              <w:rPr>
                <w:rFonts w:hint="default" w:ascii="Times New Roman" w:hAnsi="Times New Roman" w:eastAsia="仿宋" w:cs="Times New Roman"/>
                <w:color w:val="auto"/>
                <w:sz w:val="24"/>
                <w:szCs w:val="24"/>
                <w:highlight w:val="none"/>
              </w:rPr>
              <w:t>人左右，根据建筑施工场地生活用水定额及同类项目施工人员用水量类比调查，按100L/人·d计算，施工人员的生活用水量为</w:t>
            </w:r>
            <w:r>
              <w:rPr>
                <w:rFonts w:hint="eastAsia"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0m</w:t>
            </w:r>
            <w:r>
              <w:rPr>
                <w:rFonts w:hint="default" w:ascii="Times New Roman" w:hAnsi="Times New Roman" w:eastAsia="仿宋" w:cs="Times New Roman"/>
                <w:color w:val="auto"/>
                <w:sz w:val="24"/>
                <w:szCs w:val="24"/>
                <w:highlight w:val="none"/>
                <w:vertAlign w:val="superscript"/>
              </w:rPr>
              <w:t>3</w:t>
            </w:r>
            <w:r>
              <w:rPr>
                <w:rFonts w:hint="default" w:ascii="Times New Roman" w:hAnsi="Times New Roman" w:eastAsia="仿宋" w:cs="Times New Roman"/>
                <w:color w:val="auto"/>
                <w:sz w:val="24"/>
                <w:szCs w:val="24"/>
                <w:highlight w:val="none"/>
              </w:rPr>
              <w:t>/d，排污系数按用水量的80%计，则施工期生活污水排放量为</w:t>
            </w:r>
            <w:r>
              <w:rPr>
                <w:rFonts w:hint="eastAsia" w:eastAsia="仿宋" w:cs="Times New Roman"/>
                <w:color w:val="auto"/>
                <w:sz w:val="24"/>
                <w:szCs w:val="24"/>
                <w:highlight w:val="none"/>
                <w:lang w:val="en-US" w:eastAsia="zh-CN"/>
              </w:rPr>
              <w:t>16</w:t>
            </w:r>
            <w:r>
              <w:rPr>
                <w:rFonts w:hint="default" w:ascii="Times New Roman" w:hAnsi="Times New Roman" w:eastAsia="仿宋" w:cs="Times New Roman"/>
                <w:color w:val="auto"/>
                <w:sz w:val="24"/>
                <w:szCs w:val="24"/>
                <w:highlight w:val="none"/>
              </w:rPr>
              <w:t>m</w:t>
            </w:r>
            <w:r>
              <w:rPr>
                <w:rFonts w:hint="default" w:ascii="Times New Roman" w:hAnsi="Times New Roman" w:eastAsia="仿宋" w:cs="Times New Roman"/>
                <w:color w:val="auto"/>
                <w:sz w:val="24"/>
                <w:szCs w:val="24"/>
                <w:highlight w:val="none"/>
                <w:vertAlign w:val="superscript"/>
              </w:rPr>
              <w:t>3</w:t>
            </w:r>
            <w:r>
              <w:rPr>
                <w:rFonts w:hint="default" w:ascii="Times New Roman" w:hAnsi="Times New Roman" w:eastAsia="仿宋" w:cs="Times New Roman"/>
                <w:color w:val="auto"/>
                <w:sz w:val="24"/>
                <w:szCs w:val="24"/>
                <w:highlight w:val="none"/>
              </w:rPr>
              <w:t>/d，废水主要污染物为COD、SS、氨氮、总磷、总氮。</w:t>
            </w:r>
          </w:p>
          <w:p w14:paraId="05FF7C2D">
            <w:pPr>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处理措施：</w:t>
            </w:r>
          </w:p>
          <w:p w14:paraId="478DE699">
            <w:pPr>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施工时施工人员依托原有项目已建成的厕所及化粪池，生活废水接管至市政污水管网。</w:t>
            </w:r>
          </w:p>
          <w:p w14:paraId="7E56A6F7">
            <w:pPr>
              <w:keepNext w:val="0"/>
              <w:keepLines w:val="0"/>
              <w:pageBreakBefore w:val="0"/>
              <w:kinsoku/>
              <w:wordWrap/>
              <w:overflowPunct/>
              <w:topLinePunct w:val="0"/>
              <w:autoSpaceDE w:val="0"/>
              <w:autoSpaceDN w:val="0"/>
              <w:bidi w:val="0"/>
              <w:spacing w:beforeAutospacing="0" w:afterAutospacing="0" w:line="360" w:lineRule="auto"/>
              <w:jc w:val="left"/>
              <w:textAlignment w:val="auto"/>
              <w:rPr>
                <w:rFonts w:hint="eastAsia" w:ascii="Times New Roman" w:hAnsi="Times New Roman" w:eastAsia="仿宋" w:cs="Times New Roman"/>
                <w:b/>
                <w:bCs/>
                <w:color w:val="auto"/>
                <w:sz w:val="24"/>
                <w:szCs w:val="24"/>
                <w:highlight w:val="none"/>
                <w:lang w:val="zh-CN"/>
              </w:rPr>
            </w:pPr>
            <w:r>
              <w:rPr>
                <w:rFonts w:hint="eastAsia" w:ascii="Times New Roman" w:hAnsi="Times New Roman" w:eastAsia="仿宋" w:cs="Times New Roman"/>
                <w:b/>
                <w:bCs/>
                <w:color w:val="auto"/>
                <w:sz w:val="24"/>
                <w:szCs w:val="24"/>
                <w:highlight w:val="none"/>
                <w:lang w:val="zh-CN"/>
              </w:rPr>
              <w:t>三、噪声</w:t>
            </w:r>
          </w:p>
          <w:p w14:paraId="7DBC2819">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施工期的噪声主要来源于施工现场的各类机械设备噪声及车辆运输噪声。施工期的机械有起重机、挖土机、推土机、运输机等，这些机械噪声一般在75~105dB(A)之间，装修期按使用功能对房屋的室内外进行装修和设备安装过程中因使用钻机、电锤、切割机等而产生噪声。由于设备交互作业，这些设备在场地内的位置、使用率有较大变化，很难计算其确切的施工场界噪声。主要噪声源及声压级见下表。</w:t>
            </w:r>
          </w:p>
          <w:p w14:paraId="0218B0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表4-1 施工期噪声声源强度</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847"/>
              <w:gridCol w:w="3203"/>
            </w:tblGrid>
            <w:tr w14:paraId="53D1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3074" w:type="pct"/>
                  <w:gridSpan w:val="2"/>
                  <w:vAlign w:val="center"/>
                </w:tcPr>
                <w:p w14:paraId="6BC2EEEA">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设备</w:t>
                  </w:r>
                </w:p>
              </w:tc>
              <w:tc>
                <w:tcPr>
                  <w:tcW w:w="1925" w:type="pct"/>
                  <w:vAlign w:val="center"/>
                </w:tcPr>
                <w:p w14:paraId="66754BDF">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声源强度（dB）</w:t>
                  </w:r>
                </w:p>
              </w:tc>
            </w:tr>
            <w:tr w14:paraId="58C0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63" w:type="pct"/>
                  <w:vMerge w:val="restart"/>
                  <w:vAlign w:val="center"/>
                </w:tcPr>
                <w:p w14:paraId="56A4CD2A">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建筑机械</w:t>
                  </w:r>
                </w:p>
              </w:tc>
              <w:tc>
                <w:tcPr>
                  <w:tcW w:w="1710" w:type="pct"/>
                  <w:vAlign w:val="center"/>
                </w:tcPr>
                <w:p w14:paraId="32264ECA">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挖掘机</w:t>
                  </w:r>
                </w:p>
              </w:tc>
              <w:tc>
                <w:tcPr>
                  <w:tcW w:w="1925" w:type="pct"/>
                  <w:vAlign w:val="center"/>
                </w:tcPr>
                <w:p w14:paraId="0BA0C5F3">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w:t>
                  </w:r>
                  <w:r>
                    <w:rPr>
                      <w:rFonts w:hint="eastAsia" w:eastAsia="仿宋" w:cs="Times New Roman"/>
                      <w:color w:val="auto"/>
                      <w:sz w:val="21"/>
                      <w:szCs w:val="21"/>
                      <w:highlight w:val="none"/>
                      <w:lang w:val="en-US" w:eastAsia="zh-CN"/>
                    </w:rPr>
                    <w:t>1</w:t>
                  </w:r>
                  <w:r>
                    <w:rPr>
                      <w:rFonts w:hint="default" w:ascii="Times New Roman" w:hAnsi="Times New Roman" w:eastAsia="仿宋" w:cs="Times New Roman"/>
                      <w:color w:val="auto"/>
                      <w:sz w:val="21"/>
                      <w:szCs w:val="21"/>
                      <w:highlight w:val="none"/>
                    </w:rPr>
                    <w:t>-88</w:t>
                  </w:r>
                </w:p>
              </w:tc>
            </w:tr>
            <w:tr w14:paraId="2BB8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63" w:type="pct"/>
                  <w:vMerge w:val="continue"/>
                  <w:vAlign w:val="center"/>
                </w:tcPr>
                <w:p w14:paraId="0A640149">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p>
              </w:tc>
              <w:tc>
                <w:tcPr>
                  <w:tcW w:w="1710" w:type="pct"/>
                  <w:vAlign w:val="center"/>
                </w:tcPr>
                <w:p w14:paraId="2DA748B3">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推土机</w:t>
                  </w:r>
                </w:p>
              </w:tc>
              <w:tc>
                <w:tcPr>
                  <w:tcW w:w="1925" w:type="pct"/>
                  <w:vAlign w:val="center"/>
                </w:tcPr>
                <w:p w14:paraId="01BA584B">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78-96</w:t>
                  </w:r>
                </w:p>
              </w:tc>
            </w:tr>
            <w:tr w14:paraId="5DCE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63" w:type="pct"/>
                  <w:vMerge w:val="continue"/>
                  <w:vAlign w:val="center"/>
                </w:tcPr>
                <w:p w14:paraId="1D0B84B3">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p>
              </w:tc>
              <w:tc>
                <w:tcPr>
                  <w:tcW w:w="1710" w:type="pct"/>
                  <w:vAlign w:val="center"/>
                </w:tcPr>
                <w:p w14:paraId="39E205F5">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气锤</w:t>
                  </w:r>
                </w:p>
              </w:tc>
              <w:tc>
                <w:tcPr>
                  <w:tcW w:w="1925" w:type="pct"/>
                  <w:vAlign w:val="center"/>
                </w:tcPr>
                <w:p w14:paraId="3EE5F8E6">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80-98</w:t>
                  </w:r>
                </w:p>
              </w:tc>
            </w:tr>
            <w:tr w14:paraId="58A6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63" w:type="pct"/>
                  <w:vMerge w:val="continue"/>
                  <w:vAlign w:val="center"/>
                </w:tcPr>
                <w:p w14:paraId="0636EF5A">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p>
              </w:tc>
              <w:tc>
                <w:tcPr>
                  <w:tcW w:w="1710" w:type="pct"/>
                  <w:vAlign w:val="center"/>
                </w:tcPr>
                <w:p w14:paraId="118B4244">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卷扬机</w:t>
                  </w:r>
                </w:p>
              </w:tc>
              <w:tc>
                <w:tcPr>
                  <w:tcW w:w="1925" w:type="pct"/>
                  <w:vAlign w:val="center"/>
                </w:tcPr>
                <w:p w14:paraId="25976851">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90-95</w:t>
                  </w:r>
                </w:p>
              </w:tc>
            </w:tr>
            <w:tr w14:paraId="45FA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63" w:type="pct"/>
                  <w:vMerge w:val="continue"/>
                  <w:vAlign w:val="center"/>
                </w:tcPr>
                <w:p w14:paraId="09A7D25E">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p>
              </w:tc>
              <w:tc>
                <w:tcPr>
                  <w:tcW w:w="1710" w:type="pct"/>
                  <w:vAlign w:val="center"/>
                </w:tcPr>
                <w:p w14:paraId="5050BEB8">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压缩机</w:t>
                  </w:r>
                </w:p>
              </w:tc>
              <w:tc>
                <w:tcPr>
                  <w:tcW w:w="1925" w:type="pct"/>
                  <w:vAlign w:val="center"/>
                </w:tcPr>
                <w:p w14:paraId="6E233565">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75-88</w:t>
                  </w:r>
                </w:p>
              </w:tc>
            </w:tr>
            <w:tr w14:paraId="2E97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63" w:type="pct"/>
                  <w:vMerge w:val="continue"/>
                  <w:vAlign w:val="center"/>
                </w:tcPr>
                <w:p w14:paraId="112D41C2">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p>
              </w:tc>
              <w:tc>
                <w:tcPr>
                  <w:tcW w:w="1710" w:type="pct"/>
                  <w:vAlign w:val="center"/>
                </w:tcPr>
                <w:p w14:paraId="21BA0EE5">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打桩机</w:t>
                  </w:r>
                </w:p>
              </w:tc>
              <w:tc>
                <w:tcPr>
                  <w:tcW w:w="1925" w:type="pct"/>
                  <w:vAlign w:val="center"/>
                </w:tcPr>
                <w:p w14:paraId="563CB5CB">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95-105</w:t>
                  </w:r>
                </w:p>
              </w:tc>
            </w:tr>
            <w:tr w14:paraId="76B2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63" w:type="pct"/>
                  <w:vMerge w:val="continue"/>
                  <w:vAlign w:val="center"/>
                </w:tcPr>
                <w:p w14:paraId="1E7A0D9A">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p>
              </w:tc>
              <w:tc>
                <w:tcPr>
                  <w:tcW w:w="1710" w:type="pct"/>
                  <w:vAlign w:val="center"/>
                </w:tcPr>
                <w:p w14:paraId="7B0788F8">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挖土机</w:t>
                  </w:r>
                </w:p>
              </w:tc>
              <w:tc>
                <w:tcPr>
                  <w:tcW w:w="1925" w:type="pct"/>
                  <w:vAlign w:val="center"/>
                </w:tcPr>
                <w:p w14:paraId="4EFDA2C0">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78-96</w:t>
                  </w:r>
                </w:p>
              </w:tc>
            </w:tr>
            <w:tr w14:paraId="1CD3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63" w:type="pct"/>
                  <w:vMerge w:val="restart"/>
                  <w:vAlign w:val="center"/>
                </w:tcPr>
                <w:p w14:paraId="169C91B9">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运输车辆</w:t>
                  </w:r>
                </w:p>
              </w:tc>
              <w:tc>
                <w:tcPr>
                  <w:tcW w:w="1710" w:type="pct"/>
                  <w:vAlign w:val="center"/>
                </w:tcPr>
                <w:p w14:paraId="32E771E4">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重型汽车</w:t>
                  </w:r>
                </w:p>
              </w:tc>
              <w:tc>
                <w:tcPr>
                  <w:tcW w:w="1925" w:type="pct"/>
                  <w:vAlign w:val="center"/>
                </w:tcPr>
                <w:p w14:paraId="5AAED7DD">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84-89</w:t>
                  </w:r>
                </w:p>
              </w:tc>
            </w:tr>
            <w:tr w14:paraId="0CAD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63" w:type="pct"/>
                  <w:vMerge w:val="continue"/>
                  <w:vAlign w:val="center"/>
                </w:tcPr>
                <w:p w14:paraId="36BBDD7D">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p>
              </w:tc>
              <w:tc>
                <w:tcPr>
                  <w:tcW w:w="1710" w:type="pct"/>
                  <w:vAlign w:val="center"/>
                </w:tcPr>
                <w:p w14:paraId="756FAC46">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轻型汽车</w:t>
                  </w:r>
                </w:p>
              </w:tc>
              <w:tc>
                <w:tcPr>
                  <w:tcW w:w="1925" w:type="pct"/>
                  <w:vAlign w:val="center"/>
                </w:tcPr>
                <w:p w14:paraId="0F7BC8FB">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79-85</w:t>
                  </w:r>
                </w:p>
              </w:tc>
            </w:tr>
          </w:tbl>
          <w:p w14:paraId="24DABB1A">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eastAsia" w:ascii="Times New Roman" w:eastAsia="仿宋" w:cs="Times New Roman"/>
                <w:color w:val="auto"/>
                <w:sz w:val="24"/>
                <w:szCs w:val="24"/>
                <w:highlight w:val="none"/>
                <w:lang w:val="en-US" w:eastAsia="zh-CN"/>
              </w:rPr>
            </w:pPr>
            <w:r>
              <w:rPr>
                <w:rFonts w:hint="eastAsia" w:ascii="Times New Roman" w:eastAsia="仿宋" w:cs="Times New Roman"/>
                <w:color w:val="auto"/>
                <w:sz w:val="24"/>
                <w:szCs w:val="24"/>
                <w:highlight w:val="none"/>
                <w:lang w:val="en-US" w:eastAsia="zh-CN"/>
              </w:rPr>
              <w:t>根据中华人民共和国生态环境部颁布的《中华人民共和国噪声污染防治法》（中华人民共和国主席令 第一〇四号），建设施工单位在施工前应向环保部门申请登记，除抢修、抢险作业和因特殊要求必须连续作业外，禁止夜间进行产生环境噪声污染的建筑施工作业；“因特殊要求必须连续作业的，必须有县级以上人民政府或者有关主管部门的证明（《中华人民共和国环境噪声污染防治法》第十三条），并且必须公告附近公民”。</w:t>
            </w:r>
          </w:p>
          <w:p w14:paraId="07E2ED30">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eastAsia" w:ascii="Times New Roman" w:eastAsia="仿宋" w:cs="Times New Roman"/>
                <w:color w:val="auto"/>
                <w:sz w:val="24"/>
                <w:szCs w:val="24"/>
                <w:highlight w:val="none"/>
                <w:lang w:val="en-US" w:eastAsia="zh-CN"/>
              </w:rPr>
            </w:pPr>
            <w:r>
              <w:rPr>
                <w:rFonts w:hint="eastAsia" w:ascii="Times New Roman" w:eastAsia="仿宋" w:cs="Times New Roman"/>
                <w:color w:val="auto"/>
                <w:sz w:val="24"/>
                <w:szCs w:val="24"/>
                <w:highlight w:val="none"/>
                <w:lang w:val="en-US" w:eastAsia="zh-CN"/>
              </w:rPr>
              <w:t>本项目位于金坛第一人民医院内施工，因此在施工过程中，应注重施工期间的噪声防治，防止对其产生大的影响。本评价建议采取以下措施：</w:t>
            </w:r>
          </w:p>
          <w:p w14:paraId="5B33C153">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eastAsia" w:ascii="Times New Roman" w:eastAsia="仿宋" w:cs="Times New Roman"/>
                <w:color w:val="auto"/>
                <w:sz w:val="24"/>
                <w:szCs w:val="24"/>
                <w:highlight w:val="none"/>
                <w:lang w:val="en-US" w:eastAsia="zh-CN"/>
              </w:rPr>
            </w:pPr>
            <w:r>
              <w:rPr>
                <w:rFonts w:hint="eastAsia" w:ascii="Times New Roman" w:eastAsia="仿宋" w:cs="Times New Roman"/>
                <w:color w:val="auto"/>
                <w:sz w:val="24"/>
                <w:szCs w:val="24"/>
                <w:highlight w:val="none"/>
                <w:lang w:val="en-US" w:eastAsia="zh-CN"/>
              </w:rPr>
              <w:t>①施工期间认真执行《建筑施工场界环境噪声排放标准》（GB12523-2011）中的规定，尽可能避免大量高噪声设备同时运行，高噪声设备施工时间尽量安排在白天，减少夜间施工时间，禁止夜间进行打桩作业。</w:t>
            </w:r>
          </w:p>
          <w:p w14:paraId="05FA0570">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eastAsia" w:ascii="Times New Roman" w:eastAsia="仿宋" w:cs="Times New Roman"/>
                <w:color w:val="auto"/>
                <w:sz w:val="24"/>
                <w:szCs w:val="24"/>
                <w:highlight w:val="none"/>
                <w:lang w:val="en-US" w:eastAsia="zh-CN"/>
              </w:rPr>
            </w:pPr>
            <w:r>
              <w:rPr>
                <w:rFonts w:hint="eastAsia" w:ascii="Times New Roman" w:eastAsia="仿宋" w:cs="Times New Roman"/>
                <w:color w:val="auto"/>
                <w:sz w:val="24"/>
                <w:szCs w:val="24"/>
                <w:highlight w:val="none"/>
                <w:lang w:val="en-US" w:eastAsia="zh-CN"/>
              </w:rPr>
              <w:t>①合理安排施工进度和作业时间，对主要噪声设备应采取相应的限时作业，并尽量避开居民休息时间，在噪声敏感建筑物集中区域，禁止夜间进行产生噪声的建筑施工作业，但抢修、抢险施工作业，因生产工艺要求或者其他特殊需要必须连续施工作业的除外。因特殊需要必须连续施工作业的，应当取得地方人民政府住房和城乡建设、生态环境主管部门或者地方人民政府指定的部门的证明，并在施工现场显著位置公示或者以其他方式公告附近居民。</w:t>
            </w:r>
          </w:p>
          <w:p w14:paraId="6800F55A">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eastAsia" w:ascii="Times New Roman" w:eastAsia="仿宋" w:cs="Times New Roman"/>
                <w:color w:val="auto"/>
                <w:sz w:val="24"/>
                <w:szCs w:val="24"/>
                <w:highlight w:val="none"/>
                <w:lang w:val="en-US" w:eastAsia="zh-CN"/>
              </w:rPr>
            </w:pPr>
            <w:r>
              <w:rPr>
                <w:rFonts w:hint="eastAsia" w:ascii="Times New Roman" w:eastAsia="仿宋" w:cs="Times New Roman"/>
                <w:color w:val="auto"/>
                <w:sz w:val="24"/>
                <w:szCs w:val="24"/>
                <w:highlight w:val="none"/>
                <w:lang w:val="en-US" w:eastAsia="zh-CN"/>
              </w:rPr>
              <w:t>②合理安排施工机械安放位置，施工机械应尽可能放置于场地中间或对场界外造成影响最小的地点。</w:t>
            </w:r>
          </w:p>
          <w:p w14:paraId="3A32A7E5">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eastAsia" w:ascii="Times New Roman" w:eastAsia="仿宋" w:cs="Times New Roman"/>
                <w:color w:val="auto"/>
                <w:sz w:val="24"/>
                <w:szCs w:val="24"/>
                <w:highlight w:val="none"/>
                <w:lang w:val="en-US" w:eastAsia="zh-CN"/>
              </w:rPr>
            </w:pPr>
            <w:r>
              <w:rPr>
                <w:rFonts w:hint="eastAsia" w:ascii="Times New Roman" w:eastAsia="仿宋" w:cs="Times New Roman"/>
                <w:color w:val="auto"/>
                <w:sz w:val="24"/>
                <w:szCs w:val="24"/>
                <w:highlight w:val="none"/>
                <w:lang w:val="en-US" w:eastAsia="zh-CN"/>
              </w:rPr>
              <w:t>③优先选用低噪声设备，如以液压工具代替气压工具，将高频混凝土振动器改为低频混凝土振动器，以减少施工噪声，尤其是对离居民区等敏感目标较近的打桩施工应用液压打桩机、混凝土振动选用低频振动器。</w:t>
            </w:r>
          </w:p>
          <w:p w14:paraId="5C5F3F10">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eastAsia" w:ascii="Times New Roman" w:eastAsia="仿宋" w:cs="Times New Roman"/>
                <w:color w:val="auto"/>
                <w:sz w:val="24"/>
                <w:szCs w:val="24"/>
                <w:highlight w:val="none"/>
                <w:lang w:val="en-US" w:eastAsia="zh-CN"/>
              </w:rPr>
            </w:pPr>
            <w:r>
              <w:rPr>
                <w:rFonts w:hint="eastAsia" w:ascii="Times New Roman" w:eastAsia="仿宋" w:cs="Times New Roman"/>
                <w:color w:val="auto"/>
                <w:sz w:val="24"/>
                <w:szCs w:val="24"/>
                <w:highlight w:val="none"/>
                <w:lang w:val="en-US" w:eastAsia="zh-CN"/>
              </w:rPr>
              <w:t>④运输车辆限速行驶（在居民区附近一般不超过15km/h），并尽量压缩施工区汽车数量和行车密度，控制汽车鸣笛。</w:t>
            </w:r>
          </w:p>
          <w:p w14:paraId="18C1D8DB">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eastAsia" w:ascii="Times New Roman" w:eastAsia="仿宋" w:cs="Times New Roman"/>
                <w:color w:val="auto"/>
                <w:sz w:val="24"/>
                <w:szCs w:val="24"/>
                <w:highlight w:val="none"/>
                <w:lang w:val="en-US" w:eastAsia="zh-CN"/>
              </w:rPr>
            </w:pPr>
            <w:r>
              <w:rPr>
                <w:rFonts w:hint="eastAsia" w:ascii="Times New Roman" w:eastAsia="仿宋" w:cs="Times New Roman"/>
                <w:color w:val="auto"/>
                <w:sz w:val="24"/>
                <w:szCs w:val="24"/>
                <w:highlight w:val="none"/>
                <w:lang w:val="en-US" w:eastAsia="zh-CN"/>
              </w:rPr>
              <w:t>⑤日常应注意对施工设备的维修、保养，使各种施工机械保持良好的运行状态，减小机械噪声。</w:t>
            </w:r>
          </w:p>
          <w:p w14:paraId="726272A7">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eastAsia" w:ascii="Times New Roman" w:eastAsia="仿宋" w:cs="Times New Roman"/>
                <w:color w:val="auto"/>
                <w:sz w:val="24"/>
                <w:szCs w:val="24"/>
                <w:highlight w:val="none"/>
                <w:lang w:val="en-US" w:eastAsia="zh-CN"/>
              </w:rPr>
            </w:pPr>
            <w:r>
              <w:rPr>
                <w:rFonts w:hint="eastAsia" w:ascii="Times New Roman" w:eastAsia="仿宋" w:cs="Times New Roman"/>
                <w:color w:val="auto"/>
                <w:sz w:val="24"/>
                <w:szCs w:val="24"/>
                <w:highlight w:val="none"/>
                <w:lang w:val="en-US" w:eastAsia="zh-CN"/>
              </w:rPr>
              <w:t>⑥钢制模板在使用、拆卸等过程中，应尽可能地轻拿轻放，以免模板互相碰撞产生噪声；材料不准从车上往下扔，采用人扛下车和吊车吊运，钢管堆放不发生大的声响。</w:t>
            </w:r>
          </w:p>
          <w:p w14:paraId="25A15A51">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lang w:val="zh-CN"/>
              </w:rPr>
            </w:pPr>
            <w:r>
              <w:rPr>
                <w:rFonts w:hint="eastAsia" w:ascii="Times New Roman" w:eastAsia="仿宋" w:cs="Times New Roman"/>
                <w:color w:val="auto"/>
                <w:sz w:val="24"/>
                <w:szCs w:val="24"/>
                <w:highlight w:val="none"/>
                <w:lang w:val="en-US" w:eastAsia="zh-CN"/>
              </w:rPr>
              <w:t>采取以上措施后，施工噪声能从影响程度、影响时间及影响强度等方面得以一定程度的削减，但由于本项目于医院红线范围内施工，与其距离有限，因此本项目施工期仍将对周围环境造成一定的影响，因此建设单位和施工单位应对施工期的噪声污染防治引起重视，落实控制措施，尽可能将该影响控制在最低水平。噪声属无残留污染，施工结束噪声污染也随之结束，周围声环境即可恢复至现状水平，经落实本评价提出的措施后，本项目施工期噪声对周边环境及敏感点的影响是可以接受的。</w:t>
            </w:r>
          </w:p>
          <w:p w14:paraId="33E87544">
            <w:pPr>
              <w:keepNext w:val="0"/>
              <w:keepLines w:val="0"/>
              <w:pageBreakBefore w:val="0"/>
              <w:kinsoku/>
              <w:wordWrap/>
              <w:overflowPunct/>
              <w:topLinePunct w:val="0"/>
              <w:autoSpaceDE w:val="0"/>
              <w:autoSpaceDN w:val="0"/>
              <w:bidi w:val="0"/>
              <w:spacing w:beforeAutospacing="0" w:afterAutospacing="0" w:line="360" w:lineRule="auto"/>
              <w:jc w:val="left"/>
              <w:textAlignment w:val="auto"/>
              <w:rPr>
                <w:b/>
                <w:color w:val="FF0000"/>
                <w:kern w:val="0"/>
                <w:sz w:val="24"/>
                <w:lang w:val="zh-CN"/>
              </w:rPr>
            </w:pPr>
            <w:r>
              <w:rPr>
                <w:rFonts w:hint="eastAsia" w:ascii="Times New Roman" w:hAnsi="Times New Roman" w:eastAsia="仿宋" w:cs="Times New Roman"/>
                <w:b/>
                <w:bCs/>
                <w:color w:val="auto"/>
                <w:sz w:val="24"/>
                <w:szCs w:val="24"/>
                <w:highlight w:val="none"/>
                <w:lang w:val="zh-CN"/>
              </w:rPr>
              <w:t>四、</w:t>
            </w:r>
            <w:r>
              <w:rPr>
                <w:rFonts w:hint="default" w:ascii="Times New Roman" w:hAnsi="Times New Roman" w:eastAsia="仿宋" w:cs="Times New Roman"/>
                <w:b/>
                <w:bCs/>
                <w:color w:val="auto"/>
                <w:sz w:val="24"/>
                <w:szCs w:val="24"/>
                <w:highlight w:val="none"/>
              </w:rPr>
              <w:t>固体废物</w:t>
            </w:r>
          </w:p>
          <w:p w14:paraId="4A7B8C7C">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①建筑垃圾</w:t>
            </w:r>
          </w:p>
          <w:p w14:paraId="6C2EBBA4">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在工程施工过程中，会产生建筑施工材料的废边角料等，参照《环境统计手册》，单位面积施工固体废物的产生系数为0.8kg/m</w:t>
            </w:r>
            <w:r>
              <w:rPr>
                <w:rFonts w:hint="default" w:ascii="Times New Roman" w:hAnsi="Times New Roman" w:eastAsia="仿宋" w:cs="Times New Roman"/>
                <w:color w:val="auto"/>
                <w:sz w:val="24"/>
                <w:szCs w:val="24"/>
                <w:highlight w:val="none"/>
                <w:vertAlign w:val="superscript"/>
              </w:rPr>
              <w:t>2</w:t>
            </w:r>
            <w:r>
              <w:rPr>
                <w:rFonts w:hint="default" w:ascii="Times New Roman" w:hAnsi="Times New Roman" w:eastAsia="仿宋" w:cs="Times New Roman"/>
                <w:color w:val="auto"/>
                <w:sz w:val="24"/>
                <w:szCs w:val="24"/>
                <w:highlight w:val="none"/>
              </w:rPr>
              <w:t>，本项目总建筑面积为</w:t>
            </w:r>
            <w:r>
              <w:rPr>
                <w:rFonts w:hint="eastAsia" w:ascii="Times New Roman" w:eastAsia="仿宋" w:cs="Times New Roman"/>
                <w:color w:val="auto"/>
                <w:sz w:val="24"/>
                <w:szCs w:val="24"/>
                <w:highlight w:val="none"/>
                <w:lang w:val="en-US" w:eastAsia="zh-CN"/>
              </w:rPr>
              <w:t>26283</w:t>
            </w:r>
            <w:r>
              <w:rPr>
                <w:rFonts w:hint="default" w:ascii="Times New Roman" w:hAnsi="Times New Roman" w:eastAsia="仿宋" w:cs="Times New Roman"/>
                <w:color w:val="auto"/>
                <w:sz w:val="24"/>
                <w:szCs w:val="24"/>
                <w:highlight w:val="none"/>
              </w:rPr>
              <w:t>m</w:t>
            </w:r>
            <w:r>
              <w:rPr>
                <w:rFonts w:hint="default" w:ascii="Times New Roman" w:hAnsi="Times New Roman" w:eastAsia="仿宋" w:cs="Times New Roman"/>
                <w:color w:val="auto"/>
                <w:sz w:val="24"/>
                <w:szCs w:val="24"/>
                <w:highlight w:val="none"/>
                <w:vertAlign w:val="superscript"/>
              </w:rPr>
              <w:t>2</w:t>
            </w:r>
            <w:r>
              <w:rPr>
                <w:rFonts w:hint="default" w:ascii="Times New Roman" w:hAnsi="Times New Roman" w:eastAsia="仿宋" w:cs="Times New Roman"/>
                <w:color w:val="auto"/>
                <w:sz w:val="24"/>
                <w:szCs w:val="24"/>
                <w:highlight w:val="none"/>
              </w:rPr>
              <w:t>，则建筑垃圾产生量为</w:t>
            </w:r>
            <w:r>
              <w:rPr>
                <w:rFonts w:hint="eastAsia" w:ascii="Times New Roman" w:eastAsia="仿宋" w:cs="Times New Roman"/>
                <w:color w:val="auto"/>
                <w:sz w:val="24"/>
                <w:szCs w:val="24"/>
                <w:highlight w:val="none"/>
                <w:lang w:val="en-US" w:eastAsia="zh-CN"/>
              </w:rPr>
              <w:t>21.03</w:t>
            </w:r>
            <w:r>
              <w:rPr>
                <w:rFonts w:hint="default" w:ascii="Times New Roman" w:hAnsi="Times New Roman" w:eastAsia="仿宋" w:cs="Times New Roman"/>
                <w:color w:val="auto"/>
                <w:sz w:val="24"/>
                <w:szCs w:val="24"/>
                <w:highlight w:val="none"/>
              </w:rPr>
              <w:t>t。</w:t>
            </w:r>
          </w:p>
          <w:p w14:paraId="38B7D331">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防治措施：</w:t>
            </w:r>
          </w:p>
          <w:p w14:paraId="5A9AC85E">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对施工期产生的建筑垃圾按规定及时清运到环卫局指定的地点统一处理，对周围环境、居民生活无直接影响。严禁随意焚烧、堆放、丢弃或向河道倾倒，同时建筑垃圾在运输过程中加以覆盖，防止沿途撒落。</w:t>
            </w:r>
          </w:p>
          <w:p w14:paraId="0451D47F">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②生活垃圾</w:t>
            </w:r>
          </w:p>
          <w:p w14:paraId="6FCA97FC">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施工期高峰期施工人员约</w:t>
            </w:r>
            <w:r>
              <w:rPr>
                <w:rFonts w:hint="eastAsia" w:ascii="Times New Roman" w:hAnsi="Times New Roman" w:eastAsia="仿宋" w:cs="Times New Roman"/>
                <w:color w:val="auto"/>
                <w:sz w:val="24"/>
                <w:szCs w:val="24"/>
                <w:highlight w:val="none"/>
                <w:lang w:val="en-US" w:eastAsia="zh-CN"/>
              </w:rPr>
              <w:t>200</w:t>
            </w:r>
            <w:r>
              <w:rPr>
                <w:rFonts w:hint="default" w:ascii="Times New Roman" w:hAnsi="Times New Roman" w:eastAsia="仿宋" w:cs="Times New Roman"/>
                <w:color w:val="auto"/>
                <w:sz w:val="24"/>
                <w:szCs w:val="24"/>
                <w:highlight w:val="none"/>
              </w:rPr>
              <w:t>人，工地生活垃圾按0.1kg/d·人计，产生量为</w:t>
            </w:r>
            <w:r>
              <w:rPr>
                <w:rFonts w:hint="eastAsia" w:ascii="Times New Roman" w:hAnsi="Times New Roman" w:eastAsia="仿宋" w:cs="Times New Roman"/>
                <w:color w:val="auto"/>
                <w:sz w:val="24"/>
                <w:szCs w:val="24"/>
                <w:highlight w:val="none"/>
                <w:lang w:val="en-US" w:eastAsia="zh-CN"/>
              </w:rPr>
              <w:t>20</w:t>
            </w:r>
            <w:r>
              <w:rPr>
                <w:rFonts w:hint="default" w:ascii="Times New Roman" w:hAnsi="Times New Roman" w:eastAsia="仿宋" w:cs="Times New Roman"/>
                <w:color w:val="auto"/>
                <w:sz w:val="24"/>
                <w:szCs w:val="24"/>
                <w:highlight w:val="none"/>
              </w:rPr>
              <w:t>kg/d。</w:t>
            </w:r>
          </w:p>
          <w:p w14:paraId="383A9ED1">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防治措施：</w:t>
            </w:r>
          </w:p>
          <w:p w14:paraId="79E965DC">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施工人员每日产生的生活垃圾做到定点分类存放，定期收集后清运到指定的垃圾处理场所消纳</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统一处理</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不可就地填埋，以避免对居住区环境空气和水环境质量构成潜在的影响因素。</w:t>
            </w:r>
          </w:p>
          <w:p w14:paraId="79DB10FE">
            <w:pPr>
              <w:keepNext w:val="0"/>
              <w:keepLines w:val="0"/>
              <w:pageBreakBefore w:val="0"/>
              <w:kinsoku/>
              <w:wordWrap/>
              <w:overflowPunct/>
              <w:topLinePunct w:val="0"/>
              <w:autoSpaceDE w:val="0"/>
              <w:autoSpaceDN w:val="0"/>
              <w:bidi w:val="0"/>
              <w:spacing w:beforeAutospacing="0" w:afterAutospacing="0" w:line="360" w:lineRule="auto"/>
              <w:jc w:val="left"/>
              <w:textAlignment w:val="auto"/>
              <w:rPr>
                <w:rFonts w:hint="default" w:ascii="Times New Roman" w:hAnsi="Times New Roman" w:eastAsia="仿宋" w:cs="Times New Roman"/>
                <w:b/>
                <w:bCs/>
                <w:color w:val="auto"/>
                <w:sz w:val="24"/>
                <w:szCs w:val="24"/>
                <w:highlight w:val="none"/>
                <w:lang w:val="zh-CN"/>
              </w:rPr>
            </w:pPr>
            <w:r>
              <w:rPr>
                <w:rFonts w:hint="eastAsia" w:ascii="Times New Roman" w:hAnsi="Times New Roman" w:eastAsia="仿宋" w:cs="Times New Roman"/>
                <w:b/>
                <w:bCs/>
                <w:color w:val="auto"/>
                <w:sz w:val="24"/>
                <w:szCs w:val="24"/>
                <w:highlight w:val="none"/>
                <w:lang w:val="en-US" w:eastAsia="zh-CN"/>
              </w:rPr>
              <w:t>五</w:t>
            </w:r>
            <w:r>
              <w:rPr>
                <w:rFonts w:hint="default" w:ascii="Times New Roman" w:hAnsi="Times New Roman" w:eastAsia="仿宋" w:cs="Times New Roman"/>
                <w:b/>
                <w:bCs/>
                <w:color w:val="auto"/>
                <w:sz w:val="24"/>
                <w:szCs w:val="24"/>
                <w:highlight w:val="none"/>
                <w:lang w:val="zh-CN"/>
              </w:rPr>
              <w:t>、</w:t>
            </w:r>
            <w:r>
              <w:rPr>
                <w:rFonts w:hint="default" w:ascii="Times New Roman" w:hAnsi="Times New Roman" w:eastAsia="仿宋" w:cs="Times New Roman"/>
                <w:b/>
                <w:bCs/>
                <w:color w:val="auto"/>
                <w:sz w:val="24"/>
                <w:szCs w:val="24"/>
                <w:highlight w:val="none"/>
                <w:lang w:val="en-US" w:eastAsia="zh-CN"/>
              </w:rPr>
              <w:t>土壤和地下水污染防治措施</w:t>
            </w:r>
          </w:p>
          <w:p w14:paraId="1CA043B1">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施工垃圾主要来自施工所产生的建筑垃圾和施工队伍产生的生活垃圾。</w:t>
            </w:r>
          </w:p>
          <w:p w14:paraId="2076CAFB">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①尽量减少建筑材料在运输、装卸、施工过程中的跑、冒、滴、漏，建筑垃圾应在指定的堆放点存放，并及时送城市垃圾填埋场。</w:t>
            </w:r>
          </w:p>
          <w:p w14:paraId="46E575D6">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②在工地废料被运送到合适的市场去以前，需要制定一个堆放、分类回收和贮存材料的计划。一般而言，主要针对钢材、金属、砌块、混凝土、未加工木材、瓦楞板纸和沥青等可再生材料进行现场分类和收集。</w:t>
            </w:r>
          </w:p>
          <w:p w14:paraId="3426D882">
            <w:pPr>
              <w:pStyle w:val="38"/>
              <w:keepNext w:val="0"/>
              <w:keepLines w:val="0"/>
              <w:pageBreakBefore w:val="0"/>
              <w:kinsoku/>
              <w:wordWrap/>
              <w:overflowPunct/>
              <w:topLinePunct w:val="0"/>
              <w:bidi w:val="0"/>
              <w:spacing w:beforeAutospacing="0" w:afterAutospacing="0"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③对施工现场及时清理，建筑垃圾及时清运、加以利用，防止其因长期堆放而产生扬尘。</w:t>
            </w:r>
          </w:p>
          <w:p w14:paraId="4CB5CD23">
            <w:pPr>
              <w:adjustRightInd w:val="0"/>
              <w:snapToGrid w:val="0"/>
              <w:spacing w:line="360" w:lineRule="auto"/>
              <w:ind w:firstLine="480" w:firstLineChars="200"/>
              <w:rPr>
                <w:rFonts w:hint="default" w:ascii="Times New Roman" w:hAnsi="Times New Roman" w:cs="Times New Roman"/>
                <w:b/>
                <w:bCs/>
                <w:color w:val="FF0000"/>
                <w:kern w:val="0"/>
                <w:sz w:val="24"/>
              </w:rPr>
            </w:pPr>
            <w:r>
              <w:rPr>
                <w:rFonts w:hint="default" w:ascii="Times New Roman" w:hAnsi="Times New Roman" w:eastAsia="仿宋" w:cs="Times New Roman"/>
                <w:color w:val="auto"/>
                <w:sz w:val="24"/>
                <w:szCs w:val="24"/>
                <w:highlight w:val="none"/>
                <w:lang w:val="en-US" w:eastAsia="zh-CN"/>
              </w:rPr>
              <w:t>④施工人员居住区的生活垃圾要实行袋装化，每天由清洁员清理，集中送至指定堆放点，由环卫所定期将之送往较近的垃圾场进行合理处理，严禁乱堆乱扔，防止产生二次污染。</w:t>
            </w:r>
          </w:p>
        </w:tc>
      </w:tr>
      <w:tr w14:paraId="48367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19" w:hRule="atLeast"/>
          <w:jc w:val="center"/>
        </w:trPr>
        <w:tc>
          <w:tcPr>
            <w:tcW w:w="551" w:type="dxa"/>
            <w:gridSpan w:val="2"/>
            <w:vAlign w:val="center"/>
          </w:tcPr>
          <w:p w14:paraId="5C2456CF">
            <w:pPr>
              <w:keepNext w:val="0"/>
              <w:keepLines w:val="0"/>
              <w:pageBreakBefore w:val="0"/>
              <w:kinsoku/>
              <w:wordWrap/>
              <w:overflowPunct/>
              <w:bidi w:val="0"/>
              <w:adjustRightInd w:val="0"/>
              <w:snapToGrid w:val="0"/>
              <w:jc w:val="center"/>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bCs/>
                <w:color w:val="auto"/>
                <w:sz w:val="24"/>
                <w:szCs w:val="24"/>
                <w:highlight w:val="none"/>
              </w:rPr>
              <w:t>运营</w:t>
            </w:r>
          </w:p>
          <w:p w14:paraId="32034339">
            <w:pPr>
              <w:keepNext w:val="0"/>
              <w:keepLines w:val="0"/>
              <w:pageBreakBefore w:val="0"/>
              <w:kinsoku/>
              <w:wordWrap/>
              <w:overflowPunct/>
              <w:bidi w:val="0"/>
              <w:adjustRightInd w:val="0"/>
              <w:snapToGrid w:val="0"/>
              <w:jc w:val="center"/>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bCs/>
                <w:color w:val="auto"/>
                <w:sz w:val="24"/>
                <w:szCs w:val="24"/>
                <w:highlight w:val="none"/>
              </w:rPr>
              <w:t>期环</w:t>
            </w:r>
          </w:p>
          <w:p w14:paraId="39F48995">
            <w:pPr>
              <w:keepNext w:val="0"/>
              <w:keepLines w:val="0"/>
              <w:pageBreakBefore w:val="0"/>
              <w:kinsoku/>
              <w:wordWrap/>
              <w:overflowPunct/>
              <w:bidi w:val="0"/>
              <w:adjustRightInd w:val="0"/>
              <w:snapToGrid w:val="0"/>
              <w:jc w:val="center"/>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bCs/>
                <w:color w:val="auto"/>
                <w:sz w:val="24"/>
                <w:szCs w:val="24"/>
                <w:highlight w:val="none"/>
              </w:rPr>
              <w:t>境影</w:t>
            </w:r>
          </w:p>
          <w:p w14:paraId="494F9FFF">
            <w:pPr>
              <w:keepNext w:val="0"/>
              <w:keepLines w:val="0"/>
              <w:pageBreakBefore w:val="0"/>
              <w:kinsoku/>
              <w:wordWrap/>
              <w:overflowPunct/>
              <w:bidi w:val="0"/>
              <w:adjustRightInd w:val="0"/>
              <w:snapToGrid w:val="0"/>
              <w:jc w:val="center"/>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bCs/>
                <w:color w:val="auto"/>
                <w:sz w:val="24"/>
                <w:szCs w:val="24"/>
                <w:highlight w:val="none"/>
              </w:rPr>
              <w:t>响和</w:t>
            </w:r>
          </w:p>
          <w:p w14:paraId="56FF4514">
            <w:pPr>
              <w:keepNext w:val="0"/>
              <w:keepLines w:val="0"/>
              <w:pageBreakBefore w:val="0"/>
              <w:kinsoku/>
              <w:wordWrap/>
              <w:overflowPunct/>
              <w:bidi w:val="0"/>
              <w:adjustRightInd w:val="0"/>
              <w:snapToGrid w:val="0"/>
              <w:jc w:val="center"/>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bCs/>
                <w:color w:val="auto"/>
                <w:sz w:val="24"/>
                <w:szCs w:val="24"/>
                <w:highlight w:val="none"/>
              </w:rPr>
              <w:t>保护</w:t>
            </w:r>
          </w:p>
          <w:p w14:paraId="0BB5B4C5">
            <w:pPr>
              <w:keepNext w:val="0"/>
              <w:keepLines w:val="0"/>
              <w:pageBreakBefore w:val="0"/>
              <w:kinsoku/>
              <w:wordWrap/>
              <w:overflowPunct/>
              <w:bidi w:val="0"/>
              <w:adjustRightInd w:val="0"/>
              <w:snapToGrid w:val="0"/>
              <w:jc w:val="center"/>
              <w:rPr>
                <w:rFonts w:hint="default" w:ascii="Times New Roman" w:hAnsi="Times New Roman" w:cs="Times New Roman"/>
                <w:b/>
                <w:bCs/>
                <w:color w:val="FF0000"/>
                <w:kern w:val="0"/>
                <w:sz w:val="24"/>
              </w:rPr>
            </w:pPr>
            <w:r>
              <w:rPr>
                <w:rFonts w:hint="default" w:ascii="Times New Roman" w:hAnsi="Times New Roman" w:eastAsia="仿宋" w:cs="Times New Roman"/>
                <w:bCs/>
                <w:color w:val="auto"/>
                <w:sz w:val="24"/>
                <w:szCs w:val="24"/>
                <w:highlight w:val="none"/>
              </w:rPr>
              <w:t>措施</w:t>
            </w:r>
          </w:p>
        </w:tc>
        <w:tc>
          <w:tcPr>
            <w:tcW w:w="8544" w:type="dxa"/>
            <w:gridSpan w:val="2"/>
          </w:tcPr>
          <w:p w14:paraId="4B505772">
            <w:pPr>
              <w:keepNext w:val="0"/>
              <w:keepLines w:val="0"/>
              <w:pageBreakBefore w:val="0"/>
              <w:kinsoku/>
              <w:wordWrap/>
              <w:overflowPunct/>
              <w:autoSpaceDE w:val="0"/>
              <w:autoSpaceDN w:val="0"/>
              <w:bidi w:val="0"/>
              <w:spacing w:line="440" w:lineRule="exact"/>
              <w:rPr>
                <w:rFonts w:hint="default" w:ascii="Times New Roman" w:hAnsi="Times New Roman" w:eastAsia="仿宋" w:cs="Times New Roman"/>
                <w:b/>
                <w:bCs/>
                <w:color w:val="auto"/>
                <w:sz w:val="24"/>
                <w:szCs w:val="24"/>
                <w:highlight w:val="none"/>
              </w:rPr>
            </w:pPr>
            <w:r>
              <w:rPr>
                <w:rFonts w:hint="eastAsia" w:ascii="Times New Roman" w:hAnsi="Times New Roman" w:eastAsia="仿宋" w:cs="Times New Roman"/>
                <w:b/>
                <w:bCs/>
                <w:color w:val="auto"/>
                <w:sz w:val="24"/>
                <w:szCs w:val="24"/>
                <w:highlight w:val="none"/>
                <w:lang w:val="en-US" w:eastAsia="zh-CN"/>
              </w:rPr>
              <w:t>一</w:t>
            </w:r>
            <w:r>
              <w:rPr>
                <w:rFonts w:hint="default" w:ascii="Times New Roman" w:hAnsi="Times New Roman" w:eastAsia="仿宋" w:cs="Times New Roman"/>
                <w:b/>
                <w:bCs/>
                <w:color w:val="auto"/>
                <w:sz w:val="24"/>
                <w:szCs w:val="24"/>
                <w:highlight w:val="none"/>
              </w:rPr>
              <w:t>、废气</w:t>
            </w:r>
          </w:p>
          <w:p w14:paraId="201C1D2F">
            <w:pPr>
              <w:keepNext w:val="0"/>
              <w:keepLines w:val="0"/>
              <w:pageBreakBefore w:val="0"/>
              <w:kinsoku/>
              <w:wordWrap/>
              <w:overflowPunct/>
              <w:autoSpaceDE w:val="0"/>
              <w:autoSpaceDN w:val="0"/>
              <w:bidi w:val="0"/>
              <w:spacing w:line="440" w:lineRule="exact"/>
              <w:rPr>
                <w:rFonts w:hint="default" w:ascii="Times New Roman" w:hAnsi="Times New Roman" w:eastAsia="仿宋" w:cs="Times New Roman"/>
                <w:color w:val="auto"/>
                <w:sz w:val="24"/>
                <w:szCs w:val="24"/>
                <w:highlight w:val="none"/>
              </w:rPr>
            </w:pPr>
            <w:bookmarkStart w:id="6" w:name="_Hlk65056489"/>
            <w:r>
              <w:rPr>
                <w:rFonts w:hint="default" w:ascii="Times New Roman" w:hAnsi="Times New Roman" w:eastAsia="仿宋" w:cs="Times New Roman"/>
                <w:color w:val="auto"/>
                <w:sz w:val="24"/>
                <w:szCs w:val="24"/>
                <w:highlight w:val="none"/>
              </w:rPr>
              <w:t>（一）污染物产生情况</w:t>
            </w:r>
          </w:p>
          <w:p w14:paraId="68CA1AF5">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根据本项目工艺特点，</w:t>
            </w:r>
            <w:r>
              <w:rPr>
                <w:rFonts w:hint="eastAsia" w:ascii="Times New Roman" w:hAnsi="Times New Roman" w:eastAsia="仿宋" w:cs="Times New Roman"/>
                <w:color w:val="auto"/>
                <w:sz w:val="24"/>
                <w:szCs w:val="24"/>
                <w:highlight w:val="none"/>
                <w:lang w:val="en-US" w:eastAsia="zh-CN"/>
              </w:rPr>
              <w:t>项目废气主要是污水处理站废气、食堂油烟</w:t>
            </w:r>
            <w:r>
              <w:rPr>
                <w:rFonts w:hint="eastAsia" w:eastAsia="仿宋" w:cs="Times New Roman"/>
                <w:color w:val="auto"/>
                <w:sz w:val="24"/>
                <w:szCs w:val="24"/>
                <w:highlight w:val="none"/>
                <w:lang w:val="en-US" w:eastAsia="zh-CN"/>
              </w:rPr>
              <w:t>、食堂燃天然气废气</w:t>
            </w:r>
            <w:r>
              <w:rPr>
                <w:rFonts w:hint="default" w:ascii="Times New Roman" w:hAnsi="Times New Roman" w:eastAsia="仿宋" w:cs="Times New Roman"/>
                <w:color w:val="auto"/>
                <w:sz w:val="24"/>
                <w:szCs w:val="24"/>
                <w:highlight w:val="none"/>
              </w:rPr>
              <w:t>。</w:t>
            </w:r>
            <w:r>
              <w:rPr>
                <w:rFonts w:hint="eastAsia" w:eastAsia="仿宋" w:cs="Times New Roman"/>
                <w:color w:val="auto"/>
                <w:sz w:val="24"/>
                <w:szCs w:val="24"/>
                <w:highlight w:val="none"/>
                <w:lang w:val="en-US" w:eastAsia="zh-CN"/>
              </w:rPr>
              <w:t>本项目营运期废气产生点均在一期建设中完成。</w:t>
            </w:r>
          </w:p>
          <w:p w14:paraId="4874A25C">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w:t>
            </w:r>
            <w:r>
              <w:rPr>
                <w:rFonts w:hint="eastAsia" w:ascii="Times New Roman" w:hAnsi="Times New Roman" w:eastAsia="仿宋" w:cs="Times New Roman"/>
                <w:color w:val="auto"/>
                <w:sz w:val="24"/>
                <w:szCs w:val="24"/>
                <w:highlight w:val="none"/>
                <w:lang w:val="en-US" w:eastAsia="zh-CN"/>
              </w:rPr>
              <w:t>扩建工程项目污水处理站废气</w:t>
            </w:r>
          </w:p>
          <w:p w14:paraId="3BFE7D33">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eastAsia="仿宋" w:cs="Times New Roman"/>
                <w:color w:val="auto"/>
                <w:sz w:val="24"/>
                <w:szCs w:val="24"/>
                <w:highlight w:val="none"/>
                <w:lang w:val="en-US" w:eastAsia="zh-CN"/>
              </w:rPr>
            </w:pPr>
            <w:r>
              <w:rPr>
                <w:rFonts w:hint="default" w:eastAsia="仿宋" w:cs="Times New Roman"/>
                <w:color w:val="auto"/>
                <w:sz w:val="24"/>
                <w:szCs w:val="24"/>
                <w:highlight w:val="none"/>
                <w:lang w:val="en-US" w:eastAsia="zh-CN"/>
              </w:rPr>
              <w:t>本项目医疗废水与生活污水（食堂废水经隔油后）一并经院内废水处理厂设施进行预处理，</w:t>
            </w:r>
            <w:r>
              <w:rPr>
                <w:rFonts w:hint="eastAsia" w:eastAsia="仿宋" w:cs="Times New Roman"/>
                <w:color w:val="auto"/>
                <w:sz w:val="24"/>
                <w:szCs w:val="24"/>
                <w:highlight w:val="none"/>
                <w:lang w:val="en-US" w:eastAsia="zh-CN"/>
              </w:rPr>
              <w:t>项目预处理主要使用化粪池、隔油池分别处理生活污水、食堂废水，并在项目内污水处理站进行生物接触氧化并加单过硫酸氢钾进行消毒处理。污水处理站采用地埋式设计并对产生的恶臭气体的反应池进行加盖处理，产生的恶臭气体主要为氨气及硫化氢，收集后经喷淋+活性炭吸附处理，通过1根15米高排气筒排放。</w:t>
            </w:r>
          </w:p>
          <w:p w14:paraId="3350F316">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eastAsia="仿宋" w:cs="Times New Roman"/>
                <w:color w:val="FF0000"/>
                <w:sz w:val="24"/>
                <w:szCs w:val="24"/>
                <w:highlight w:val="none"/>
                <w:lang w:val="en-US" w:eastAsia="zh-CN"/>
              </w:rPr>
            </w:pPr>
            <w:r>
              <w:rPr>
                <w:rFonts w:hint="default" w:eastAsia="仿宋" w:cs="Times New Roman"/>
                <w:color w:val="auto"/>
                <w:sz w:val="24"/>
                <w:szCs w:val="24"/>
                <w:highlight w:val="none"/>
                <w:lang w:val="en-US" w:eastAsia="zh-CN"/>
              </w:rPr>
              <w:t>项目恶臭主要来源于项目的污水处理站点。根据美国EPA对类似处理厂（其采用</w:t>
            </w:r>
            <w:r>
              <w:rPr>
                <w:rFonts w:hint="eastAsia" w:eastAsia="仿宋" w:cs="Times New Roman"/>
                <w:color w:val="auto"/>
                <w:sz w:val="24"/>
                <w:szCs w:val="24"/>
                <w:highlight w:val="none"/>
                <w:lang w:val="en-US" w:eastAsia="zh-CN"/>
              </w:rPr>
              <w:t>“</w:t>
            </w:r>
            <w:r>
              <w:rPr>
                <w:rFonts w:hint="default" w:eastAsia="仿宋" w:cs="Times New Roman"/>
                <w:color w:val="auto"/>
                <w:sz w:val="24"/>
                <w:szCs w:val="24"/>
                <w:highlight w:val="none"/>
                <w:lang w:val="en-US" w:eastAsia="zh-CN"/>
              </w:rPr>
              <w:t>预处理+生化处理</w:t>
            </w:r>
            <w:r>
              <w:rPr>
                <w:rFonts w:hint="eastAsia" w:eastAsia="仿宋" w:cs="Times New Roman"/>
                <w:color w:val="auto"/>
                <w:sz w:val="24"/>
                <w:szCs w:val="24"/>
                <w:highlight w:val="none"/>
                <w:lang w:val="en-US" w:eastAsia="zh-CN"/>
              </w:rPr>
              <w:t>”</w:t>
            </w:r>
            <w:r>
              <w:rPr>
                <w:rFonts w:hint="default" w:eastAsia="仿宋" w:cs="Times New Roman"/>
                <w:color w:val="auto"/>
                <w:sz w:val="24"/>
                <w:szCs w:val="24"/>
                <w:highlight w:val="none"/>
                <w:lang w:val="en-US" w:eastAsia="zh-CN"/>
              </w:rPr>
              <w:t>处理工艺）的恶臭污染物产生情况的研究，每处理1gBOD</w:t>
            </w:r>
            <w:r>
              <w:rPr>
                <w:rFonts w:hint="default" w:eastAsia="仿宋" w:cs="Times New Roman"/>
                <w:color w:val="auto"/>
                <w:sz w:val="24"/>
                <w:szCs w:val="24"/>
                <w:highlight w:val="none"/>
                <w:vertAlign w:val="subscript"/>
                <w:lang w:val="en-US" w:eastAsia="zh-CN"/>
              </w:rPr>
              <w:t>5</w:t>
            </w:r>
            <w:r>
              <w:rPr>
                <w:rFonts w:hint="default" w:eastAsia="仿宋" w:cs="Times New Roman"/>
                <w:color w:val="auto"/>
                <w:sz w:val="24"/>
                <w:szCs w:val="24"/>
                <w:highlight w:val="none"/>
                <w:lang w:val="en-US" w:eastAsia="zh-CN"/>
              </w:rPr>
              <w:t>可产生0.0031g的NH</w:t>
            </w:r>
            <w:r>
              <w:rPr>
                <w:rFonts w:hint="default" w:eastAsia="仿宋" w:cs="Times New Roman"/>
                <w:color w:val="auto"/>
                <w:sz w:val="24"/>
                <w:szCs w:val="24"/>
                <w:highlight w:val="none"/>
                <w:vertAlign w:val="subscript"/>
                <w:lang w:val="en-US" w:eastAsia="zh-CN"/>
              </w:rPr>
              <w:t>3</w:t>
            </w:r>
            <w:r>
              <w:rPr>
                <w:rFonts w:hint="default" w:eastAsia="仿宋" w:cs="Times New Roman"/>
                <w:color w:val="auto"/>
                <w:sz w:val="24"/>
                <w:szCs w:val="24"/>
                <w:highlight w:val="none"/>
                <w:lang w:val="en-US" w:eastAsia="zh-CN"/>
              </w:rPr>
              <w:t>、0.00012g的H</w:t>
            </w:r>
            <w:r>
              <w:rPr>
                <w:rFonts w:hint="default" w:eastAsia="仿宋" w:cs="Times New Roman"/>
                <w:color w:val="auto"/>
                <w:sz w:val="24"/>
                <w:szCs w:val="24"/>
                <w:highlight w:val="none"/>
                <w:vertAlign w:val="subscript"/>
                <w:lang w:val="en-US" w:eastAsia="zh-CN"/>
              </w:rPr>
              <w:t>2</w:t>
            </w:r>
            <w:r>
              <w:rPr>
                <w:rFonts w:hint="default" w:eastAsia="仿宋" w:cs="Times New Roman"/>
                <w:color w:val="auto"/>
                <w:sz w:val="24"/>
                <w:szCs w:val="24"/>
                <w:highlight w:val="none"/>
                <w:lang w:val="en-US" w:eastAsia="zh-CN"/>
              </w:rPr>
              <w:t>S。</w:t>
            </w:r>
            <w:r>
              <w:rPr>
                <w:rFonts w:hint="eastAsia" w:eastAsia="仿宋" w:cs="Times New Roman"/>
                <w:color w:val="auto"/>
                <w:sz w:val="24"/>
                <w:szCs w:val="24"/>
                <w:highlight w:val="none"/>
                <w:lang w:val="en-US" w:eastAsia="zh-CN"/>
              </w:rPr>
              <w:t>根据废水核算，</w:t>
            </w:r>
            <w:r>
              <w:rPr>
                <w:rFonts w:hint="default" w:eastAsia="仿宋" w:cs="Times New Roman"/>
                <w:color w:val="auto"/>
                <w:sz w:val="24"/>
                <w:szCs w:val="24"/>
                <w:highlight w:val="none"/>
                <w:lang w:val="en-US" w:eastAsia="zh-CN"/>
              </w:rPr>
              <w:t>本</w:t>
            </w:r>
            <w:r>
              <w:rPr>
                <w:rFonts w:hint="eastAsia" w:eastAsia="仿宋" w:cs="Times New Roman"/>
                <w:color w:val="auto"/>
                <w:sz w:val="24"/>
                <w:szCs w:val="24"/>
                <w:highlight w:val="none"/>
                <w:lang w:val="en-US" w:eastAsia="zh-CN"/>
              </w:rPr>
              <w:t>扩建工程</w:t>
            </w:r>
            <w:r>
              <w:rPr>
                <w:rFonts w:hint="default" w:eastAsia="仿宋" w:cs="Times New Roman"/>
                <w:color w:val="auto"/>
                <w:sz w:val="24"/>
                <w:szCs w:val="24"/>
                <w:highlight w:val="none"/>
                <w:lang w:val="en-US" w:eastAsia="zh-CN"/>
              </w:rPr>
              <w:t>项目</w:t>
            </w:r>
            <w:r>
              <w:rPr>
                <w:rFonts w:hint="eastAsia" w:eastAsia="仿宋" w:cs="Times New Roman"/>
                <w:color w:val="auto"/>
                <w:sz w:val="24"/>
                <w:szCs w:val="24"/>
                <w:highlight w:val="none"/>
                <w:lang w:val="en-US" w:eastAsia="zh-CN"/>
              </w:rPr>
              <w:t>综合废水中</w:t>
            </w:r>
            <w:r>
              <w:rPr>
                <w:rFonts w:hint="default" w:eastAsia="仿宋" w:cs="Times New Roman"/>
                <w:color w:val="auto"/>
                <w:sz w:val="24"/>
                <w:szCs w:val="24"/>
                <w:highlight w:val="none"/>
                <w:lang w:val="en-US" w:eastAsia="zh-CN"/>
              </w:rPr>
              <w:t>BOD</w:t>
            </w:r>
            <w:r>
              <w:rPr>
                <w:rFonts w:hint="default" w:eastAsia="仿宋" w:cs="Times New Roman"/>
                <w:color w:val="auto"/>
                <w:sz w:val="24"/>
                <w:szCs w:val="24"/>
                <w:highlight w:val="none"/>
                <w:vertAlign w:val="subscript"/>
                <w:lang w:val="en-US" w:eastAsia="zh-CN"/>
              </w:rPr>
              <w:t>5</w:t>
            </w:r>
            <w:r>
              <w:rPr>
                <w:rFonts w:hint="default" w:eastAsia="仿宋" w:cs="Times New Roman"/>
                <w:color w:val="auto"/>
                <w:sz w:val="24"/>
                <w:szCs w:val="24"/>
                <w:highlight w:val="none"/>
                <w:lang w:val="en-US" w:eastAsia="zh-CN"/>
              </w:rPr>
              <w:t>去除量</w:t>
            </w:r>
            <w:r>
              <w:rPr>
                <w:rFonts w:hint="eastAsia" w:eastAsia="仿宋" w:cs="Times New Roman"/>
                <w:color w:val="auto"/>
                <w:sz w:val="24"/>
                <w:szCs w:val="24"/>
                <w:highlight w:val="none"/>
                <w:lang w:val="en-US" w:eastAsia="zh-CN"/>
              </w:rPr>
              <w:t>2.95</w:t>
            </w:r>
            <w:r>
              <w:rPr>
                <w:rFonts w:hint="default" w:eastAsia="仿宋" w:cs="Times New Roman"/>
                <w:color w:val="auto"/>
                <w:sz w:val="24"/>
                <w:szCs w:val="24"/>
                <w:highlight w:val="none"/>
                <w:lang w:val="en-US" w:eastAsia="zh-CN"/>
              </w:rPr>
              <w:t>t/a，则本</w:t>
            </w:r>
            <w:r>
              <w:rPr>
                <w:rFonts w:hint="eastAsia" w:eastAsia="仿宋" w:cs="Times New Roman"/>
                <w:color w:val="auto"/>
                <w:sz w:val="24"/>
                <w:szCs w:val="24"/>
                <w:highlight w:val="none"/>
                <w:lang w:val="en-US" w:eastAsia="zh-CN"/>
              </w:rPr>
              <w:t>扩建工程</w:t>
            </w:r>
            <w:r>
              <w:rPr>
                <w:rFonts w:hint="default" w:eastAsia="仿宋" w:cs="Times New Roman"/>
                <w:color w:val="auto"/>
                <w:sz w:val="24"/>
                <w:szCs w:val="24"/>
                <w:highlight w:val="none"/>
                <w:lang w:val="en-US" w:eastAsia="zh-CN"/>
              </w:rPr>
              <w:t>项目污水处理站NH</w:t>
            </w:r>
            <w:r>
              <w:rPr>
                <w:rFonts w:hint="default" w:eastAsia="仿宋" w:cs="Times New Roman"/>
                <w:color w:val="auto"/>
                <w:sz w:val="24"/>
                <w:szCs w:val="24"/>
                <w:highlight w:val="none"/>
                <w:vertAlign w:val="subscript"/>
                <w:lang w:val="en-US" w:eastAsia="zh-CN"/>
              </w:rPr>
              <w:t>3</w:t>
            </w:r>
            <w:r>
              <w:rPr>
                <w:rFonts w:hint="default" w:eastAsia="仿宋" w:cs="Times New Roman"/>
                <w:color w:val="auto"/>
                <w:sz w:val="24"/>
                <w:szCs w:val="24"/>
                <w:highlight w:val="none"/>
                <w:lang w:val="en-US" w:eastAsia="zh-CN"/>
              </w:rPr>
              <w:t>产生量为</w:t>
            </w:r>
            <w:r>
              <w:rPr>
                <w:rFonts w:hint="eastAsia" w:eastAsia="仿宋" w:cs="Times New Roman"/>
                <w:color w:val="auto"/>
                <w:sz w:val="24"/>
                <w:szCs w:val="24"/>
                <w:highlight w:val="none"/>
                <w:lang w:val="en-US" w:eastAsia="zh-CN"/>
              </w:rPr>
              <w:t>0.0091t</w:t>
            </w:r>
            <w:r>
              <w:rPr>
                <w:rFonts w:hint="default" w:eastAsia="仿宋" w:cs="Times New Roman"/>
                <w:color w:val="auto"/>
                <w:sz w:val="24"/>
                <w:szCs w:val="24"/>
                <w:highlight w:val="none"/>
                <w:lang w:val="en-US" w:eastAsia="zh-CN"/>
              </w:rPr>
              <w:t>/a，H</w:t>
            </w:r>
            <w:r>
              <w:rPr>
                <w:rFonts w:hint="default" w:eastAsia="仿宋" w:cs="Times New Roman"/>
                <w:color w:val="auto"/>
                <w:sz w:val="24"/>
                <w:szCs w:val="24"/>
                <w:highlight w:val="none"/>
                <w:vertAlign w:val="subscript"/>
                <w:lang w:val="en-US" w:eastAsia="zh-CN"/>
              </w:rPr>
              <w:t>2</w:t>
            </w:r>
            <w:r>
              <w:rPr>
                <w:rFonts w:hint="default" w:eastAsia="仿宋" w:cs="Times New Roman"/>
                <w:color w:val="auto"/>
                <w:sz w:val="24"/>
                <w:szCs w:val="24"/>
                <w:highlight w:val="none"/>
                <w:lang w:val="en-US" w:eastAsia="zh-CN"/>
              </w:rPr>
              <w:t>S产生量为</w:t>
            </w:r>
            <w:r>
              <w:rPr>
                <w:rFonts w:hint="eastAsia" w:eastAsia="仿宋" w:cs="Times New Roman"/>
                <w:color w:val="auto"/>
                <w:sz w:val="24"/>
                <w:szCs w:val="24"/>
                <w:highlight w:val="none"/>
                <w:lang w:val="en-US" w:eastAsia="zh-CN"/>
              </w:rPr>
              <w:t>0.00035t</w:t>
            </w:r>
            <w:r>
              <w:rPr>
                <w:rFonts w:hint="default" w:eastAsia="仿宋" w:cs="Times New Roman"/>
                <w:color w:val="auto"/>
                <w:sz w:val="24"/>
                <w:szCs w:val="24"/>
                <w:highlight w:val="none"/>
                <w:lang w:val="en-US" w:eastAsia="zh-CN"/>
              </w:rPr>
              <w:t>/a。污水处理站年运行时间8760h，则本</w:t>
            </w:r>
            <w:r>
              <w:rPr>
                <w:rFonts w:hint="eastAsia" w:eastAsia="仿宋" w:cs="Times New Roman"/>
                <w:color w:val="auto"/>
                <w:sz w:val="24"/>
                <w:szCs w:val="24"/>
                <w:highlight w:val="none"/>
                <w:lang w:val="en-US" w:eastAsia="zh-CN"/>
              </w:rPr>
              <w:t>扩建工程</w:t>
            </w:r>
            <w:r>
              <w:rPr>
                <w:rFonts w:hint="default" w:eastAsia="仿宋" w:cs="Times New Roman"/>
                <w:color w:val="auto"/>
                <w:sz w:val="24"/>
                <w:szCs w:val="24"/>
                <w:highlight w:val="none"/>
                <w:lang w:val="en-US" w:eastAsia="zh-CN"/>
              </w:rPr>
              <w:t>项目NH</w:t>
            </w:r>
            <w:r>
              <w:rPr>
                <w:rFonts w:hint="default" w:eastAsia="仿宋" w:cs="Times New Roman"/>
                <w:color w:val="auto"/>
                <w:sz w:val="24"/>
                <w:szCs w:val="24"/>
                <w:highlight w:val="none"/>
                <w:vertAlign w:val="subscript"/>
                <w:lang w:val="en-US" w:eastAsia="zh-CN"/>
              </w:rPr>
              <w:t>3</w:t>
            </w:r>
            <w:r>
              <w:rPr>
                <w:rFonts w:hint="eastAsia" w:eastAsia="仿宋" w:cs="Times New Roman"/>
                <w:color w:val="auto"/>
                <w:sz w:val="24"/>
                <w:szCs w:val="24"/>
                <w:highlight w:val="none"/>
                <w:lang w:val="en-US" w:eastAsia="zh-CN"/>
              </w:rPr>
              <w:t>产生</w:t>
            </w:r>
            <w:r>
              <w:rPr>
                <w:rFonts w:hint="default" w:eastAsia="仿宋" w:cs="Times New Roman"/>
                <w:color w:val="auto"/>
                <w:sz w:val="24"/>
                <w:szCs w:val="24"/>
                <w:highlight w:val="none"/>
                <w:lang w:val="en-US" w:eastAsia="zh-CN"/>
              </w:rPr>
              <w:t>速率为</w:t>
            </w:r>
            <w:r>
              <w:rPr>
                <w:rFonts w:hint="eastAsia" w:eastAsia="仿宋" w:cs="Times New Roman"/>
                <w:color w:val="auto"/>
                <w:sz w:val="24"/>
                <w:szCs w:val="24"/>
                <w:highlight w:val="none"/>
                <w:lang w:val="en-US" w:eastAsia="zh-CN"/>
              </w:rPr>
              <w:t>0.00104kg</w:t>
            </w:r>
            <w:r>
              <w:rPr>
                <w:rFonts w:hint="default" w:eastAsia="仿宋" w:cs="Times New Roman"/>
                <w:color w:val="auto"/>
                <w:sz w:val="24"/>
                <w:szCs w:val="24"/>
                <w:highlight w:val="none"/>
                <w:lang w:val="en-US" w:eastAsia="zh-CN"/>
              </w:rPr>
              <w:t>/h，H</w:t>
            </w:r>
            <w:r>
              <w:rPr>
                <w:rFonts w:hint="default" w:eastAsia="仿宋" w:cs="Times New Roman"/>
                <w:color w:val="auto"/>
                <w:sz w:val="24"/>
                <w:szCs w:val="24"/>
                <w:highlight w:val="none"/>
                <w:vertAlign w:val="subscript"/>
                <w:lang w:val="en-US" w:eastAsia="zh-CN"/>
              </w:rPr>
              <w:t>2</w:t>
            </w:r>
            <w:r>
              <w:rPr>
                <w:rFonts w:hint="default" w:eastAsia="仿宋" w:cs="Times New Roman"/>
                <w:color w:val="auto"/>
                <w:sz w:val="24"/>
                <w:szCs w:val="24"/>
                <w:highlight w:val="none"/>
                <w:lang w:val="en-US" w:eastAsia="zh-CN"/>
              </w:rPr>
              <w:t>S</w:t>
            </w:r>
            <w:r>
              <w:rPr>
                <w:rFonts w:hint="eastAsia" w:eastAsia="仿宋" w:cs="Times New Roman"/>
                <w:color w:val="auto"/>
                <w:sz w:val="24"/>
                <w:szCs w:val="24"/>
                <w:highlight w:val="none"/>
                <w:lang w:val="en-US" w:eastAsia="zh-CN"/>
              </w:rPr>
              <w:t>产生</w:t>
            </w:r>
            <w:r>
              <w:rPr>
                <w:rFonts w:hint="default" w:eastAsia="仿宋" w:cs="Times New Roman"/>
                <w:color w:val="auto"/>
                <w:sz w:val="24"/>
                <w:szCs w:val="24"/>
                <w:highlight w:val="none"/>
                <w:lang w:val="en-US" w:eastAsia="zh-CN"/>
              </w:rPr>
              <w:t>速率为</w:t>
            </w:r>
            <w:r>
              <w:rPr>
                <w:rFonts w:hint="eastAsia" w:eastAsia="仿宋" w:cs="Times New Roman"/>
                <w:color w:val="auto"/>
                <w:sz w:val="24"/>
                <w:szCs w:val="24"/>
                <w:highlight w:val="none"/>
                <w:lang w:val="en-US" w:eastAsia="zh-CN"/>
              </w:rPr>
              <w:t>0.00004kg</w:t>
            </w:r>
            <w:r>
              <w:rPr>
                <w:rFonts w:hint="default" w:eastAsia="仿宋" w:cs="Times New Roman"/>
                <w:color w:val="auto"/>
                <w:sz w:val="24"/>
                <w:szCs w:val="24"/>
                <w:highlight w:val="none"/>
                <w:lang w:val="en-US" w:eastAsia="zh-CN"/>
              </w:rPr>
              <w:t>/h。</w:t>
            </w:r>
          </w:p>
          <w:p w14:paraId="26F24E6E">
            <w:pPr>
              <w:adjustRightInd w:val="0"/>
              <w:snapToGrid w:val="0"/>
              <w:spacing w:line="360" w:lineRule="auto"/>
              <w:ind w:firstLine="480" w:firstLineChars="200"/>
              <w:rPr>
                <w:rFonts w:hint="eastAsia"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本项目采用</w:t>
            </w:r>
            <w:r>
              <w:rPr>
                <w:rFonts w:hint="default" w:eastAsia="仿宋" w:cs="Times New Roman"/>
                <w:color w:val="auto"/>
                <w:sz w:val="24"/>
                <w:szCs w:val="24"/>
                <w:highlight w:val="none"/>
                <w:lang w:val="en-US" w:eastAsia="zh-CN"/>
              </w:rPr>
              <w:t>地下式污水处理站</w:t>
            </w:r>
            <w:r>
              <w:rPr>
                <w:rFonts w:hint="eastAsia" w:eastAsia="仿宋" w:cs="Times New Roman"/>
                <w:color w:val="auto"/>
                <w:sz w:val="24"/>
                <w:szCs w:val="24"/>
                <w:highlight w:val="none"/>
                <w:lang w:val="en-US" w:eastAsia="zh-CN"/>
              </w:rPr>
              <w:t>，</w:t>
            </w:r>
            <w:r>
              <w:rPr>
                <w:rFonts w:hint="default" w:eastAsia="仿宋" w:cs="Times New Roman"/>
                <w:color w:val="auto"/>
                <w:sz w:val="24"/>
                <w:szCs w:val="24"/>
                <w:highlight w:val="none"/>
                <w:lang w:val="en-US" w:eastAsia="zh-CN"/>
              </w:rPr>
              <w:t>地下污水池</w:t>
            </w:r>
            <w:r>
              <w:rPr>
                <w:rFonts w:hint="eastAsia" w:eastAsia="仿宋" w:cs="Times New Roman"/>
                <w:color w:val="auto"/>
                <w:sz w:val="24"/>
                <w:szCs w:val="24"/>
                <w:highlight w:val="none"/>
                <w:lang w:val="en-US" w:eastAsia="zh-CN"/>
              </w:rPr>
              <w:t>采取加盖捕集恶臭气体，经喷淋去除恶臭气体后通过1根15米高排气筒排放。根据设计方案，密闭收集效率约为80%，风机</w:t>
            </w:r>
            <w:r>
              <w:rPr>
                <w:rFonts w:hint="default" w:eastAsia="仿宋" w:cs="Times New Roman"/>
                <w:color w:val="auto"/>
                <w:sz w:val="24"/>
                <w:szCs w:val="24"/>
                <w:highlight w:val="none"/>
                <w:lang w:val="en-US" w:eastAsia="zh-CN"/>
              </w:rPr>
              <w:t>风量</w:t>
            </w:r>
            <w:r>
              <w:rPr>
                <w:rFonts w:hint="eastAsia" w:eastAsia="仿宋" w:cs="Times New Roman"/>
                <w:color w:val="auto"/>
                <w:sz w:val="24"/>
                <w:szCs w:val="24"/>
                <w:highlight w:val="none"/>
                <w:lang w:val="en-US" w:eastAsia="zh-CN"/>
              </w:rPr>
              <w:t>2</w:t>
            </w:r>
            <w:r>
              <w:rPr>
                <w:rFonts w:hint="default" w:eastAsia="仿宋" w:cs="Times New Roman"/>
                <w:color w:val="auto"/>
                <w:sz w:val="24"/>
                <w:szCs w:val="24"/>
                <w:highlight w:val="none"/>
                <w:lang w:val="en-US" w:eastAsia="zh-CN"/>
              </w:rPr>
              <w:t>000m</w:t>
            </w:r>
            <w:r>
              <w:rPr>
                <w:rFonts w:hint="default" w:eastAsia="仿宋" w:cs="Times New Roman"/>
                <w:color w:val="auto"/>
                <w:sz w:val="24"/>
                <w:szCs w:val="24"/>
                <w:highlight w:val="none"/>
                <w:vertAlign w:val="superscript"/>
                <w:lang w:val="en-US" w:eastAsia="zh-CN"/>
              </w:rPr>
              <w:t>3</w:t>
            </w:r>
            <w:r>
              <w:rPr>
                <w:rFonts w:hint="default" w:eastAsia="仿宋" w:cs="Times New Roman"/>
                <w:color w:val="auto"/>
                <w:sz w:val="24"/>
                <w:szCs w:val="24"/>
                <w:highlight w:val="none"/>
                <w:lang w:val="en-US" w:eastAsia="zh-CN"/>
              </w:rPr>
              <w:t>/h</w:t>
            </w:r>
            <w:r>
              <w:rPr>
                <w:rFonts w:hint="eastAsia" w:eastAsia="仿宋" w:cs="Times New Roman"/>
                <w:color w:val="auto"/>
                <w:sz w:val="24"/>
                <w:szCs w:val="24"/>
                <w:highlight w:val="none"/>
                <w:lang w:val="en-US" w:eastAsia="zh-CN"/>
              </w:rPr>
              <w:t>，生物除臭装置净化装置处理效率为60%。同时对污水处理站废气进行定期喷洒除臭剂、加强污水处理站周边绿化等治理措施，污水处理站废气</w:t>
            </w:r>
            <w:r>
              <w:rPr>
                <w:rFonts w:hint="default" w:eastAsia="仿宋" w:cs="Times New Roman"/>
                <w:color w:val="auto"/>
                <w:sz w:val="24"/>
                <w:szCs w:val="24"/>
                <w:highlight w:val="none"/>
                <w:lang w:val="en-US" w:eastAsia="zh-CN"/>
              </w:rPr>
              <w:t>（氨、硫化氢）的去除效率取</w:t>
            </w:r>
            <w:r>
              <w:rPr>
                <w:rFonts w:hint="eastAsia" w:eastAsia="仿宋" w:cs="Times New Roman"/>
                <w:color w:val="auto"/>
                <w:sz w:val="24"/>
                <w:szCs w:val="24"/>
                <w:highlight w:val="none"/>
                <w:lang w:val="en-US" w:eastAsia="zh-CN"/>
              </w:rPr>
              <w:t>60</w:t>
            </w:r>
            <w:r>
              <w:rPr>
                <w:rFonts w:hint="default" w:eastAsia="仿宋" w:cs="Times New Roman"/>
                <w:color w:val="auto"/>
                <w:sz w:val="24"/>
                <w:szCs w:val="24"/>
                <w:highlight w:val="none"/>
                <w:lang w:val="en-US" w:eastAsia="zh-CN"/>
              </w:rPr>
              <w:t>%</w:t>
            </w:r>
            <w:r>
              <w:rPr>
                <w:rFonts w:hint="eastAsia" w:eastAsia="仿宋" w:cs="Times New Roman"/>
                <w:color w:val="auto"/>
                <w:sz w:val="24"/>
                <w:szCs w:val="24"/>
                <w:highlight w:val="none"/>
                <w:lang w:val="en-US" w:eastAsia="zh-CN"/>
              </w:rPr>
              <w:t>。则扩建工程项目污水处理站废气的产排情况见表4-2</w:t>
            </w:r>
            <w:r>
              <w:rPr>
                <w:rFonts w:hint="default" w:eastAsia="仿宋" w:cs="Times New Roman"/>
                <w:color w:val="auto"/>
                <w:sz w:val="24"/>
                <w:szCs w:val="24"/>
                <w:highlight w:val="none"/>
                <w:lang w:val="en-US" w:eastAsia="zh-CN"/>
              </w:rPr>
              <w:t>。</w:t>
            </w:r>
          </w:p>
          <w:p w14:paraId="7C1A13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eastAsia" w:ascii="Times New Roman" w:hAnsi="Times New Roman" w:eastAsia="仿宋" w:cs="Times New Roman"/>
                <w:b/>
                <w:bCs/>
                <w:color w:val="auto"/>
                <w:kern w:val="0"/>
                <w:sz w:val="22"/>
                <w:szCs w:val="22"/>
                <w:highlight w:val="none"/>
                <w:lang w:val="en-US" w:eastAsia="zh-CN" w:bidi="ar-SA"/>
              </w:rPr>
              <w:t>表4-2  扩建工程项目污水处理站废气</w:t>
            </w:r>
            <w:r>
              <w:rPr>
                <w:rFonts w:hint="default" w:ascii="Times New Roman" w:hAnsi="Times New Roman" w:eastAsia="仿宋" w:cs="Times New Roman"/>
                <w:b/>
                <w:bCs/>
                <w:color w:val="auto"/>
                <w:kern w:val="0"/>
                <w:sz w:val="22"/>
                <w:szCs w:val="22"/>
                <w:highlight w:val="none"/>
                <w:lang w:val="en-US" w:eastAsia="zh-CN" w:bidi="ar-SA"/>
              </w:rPr>
              <w:t>产排情况一览表</w:t>
            </w:r>
          </w:p>
          <w:tbl>
            <w:tblPr>
              <w:tblStyle w:val="32"/>
              <w:tblW w:w="8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489"/>
              <w:gridCol w:w="490"/>
              <w:gridCol w:w="490"/>
              <w:gridCol w:w="490"/>
              <w:gridCol w:w="490"/>
              <w:gridCol w:w="490"/>
              <w:gridCol w:w="490"/>
              <w:gridCol w:w="490"/>
              <w:gridCol w:w="490"/>
              <w:gridCol w:w="490"/>
              <w:gridCol w:w="490"/>
              <w:gridCol w:w="490"/>
              <w:gridCol w:w="490"/>
              <w:gridCol w:w="490"/>
              <w:gridCol w:w="490"/>
              <w:gridCol w:w="490"/>
            </w:tblGrid>
            <w:tr w14:paraId="10BA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gridSpan w:val="2"/>
                </w:tcPr>
                <w:p w14:paraId="4FF87CE6">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eastAsia="zh-CN"/>
                    </w:rPr>
                  </w:pPr>
                  <w:r>
                    <w:rPr>
                      <w:rFonts w:hint="eastAsia" w:ascii="Times New Roman" w:hAnsi="Times New Roman" w:eastAsia="仿宋" w:cs="Times New Roman"/>
                      <w:b/>
                      <w:bCs/>
                      <w:color w:val="auto"/>
                      <w:sz w:val="21"/>
                      <w:szCs w:val="21"/>
                      <w:highlight w:val="none"/>
                      <w:lang w:val="en-US" w:eastAsia="zh-CN"/>
                    </w:rPr>
                    <w:t>污染源</w:t>
                  </w:r>
                </w:p>
              </w:tc>
              <w:tc>
                <w:tcPr>
                  <w:tcW w:w="490" w:type="dxa"/>
                  <w:vMerge w:val="restart"/>
                </w:tcPr>
                <w:p w14:paraId="44985D5D">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污染物名称</w:t>
                  </w:r>
                </w:p>
              </w:tc>
              <w:tc>
                <w:tcPr>
                  <w:tcW w:w="1470" w:type="dxa"/>
                  <w:gridSpan w:val="3"/>
                </w:tcPr>
                <w:p w14:paraId="38612F44">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eastAsia="zh-CN"/>
                    </w:rPr>
                  </w:pPr>
                  <w:r>
                    <w:rPr>
                      <w:rFonts w:hint="eastAsia" w:ascii="Times New Roman" w:hAnsi="Times New Roman" w:eastAsia="仿宋" w:cs="Times New Roman"/>
                      <w:b/>
                      <w:bCs/>
                      <w:color w:val="auto"/>
                      <w:sz w:val="21"/>
                      <w:szCs w:val="21"/>
                      <w:highlight w:val="none"/>
                      <w:lang w:val="en-US" w:eastAsia="zh-CN"/>
                    </w:rPr>
                    <w:t>产生情况</w:t>
                  </w:r>
                </w:p>
              </w:tc>
              <w:tc>
                <w:tcPr>
                  <w:tcW w:w="490" w:type="dxa"/>
                  <w:vMerge w:val="restart"/>
                </w:tcPr>
                <w:p w14:paraId="08481A41">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治理措施</w:t>
                  </w:r>
                </w:p>
              </w:tc>
              <w:tc>
                <w:tcPr>
                  <w:tcW w:w="490" w:type="dxa"/>
                  <w:vMerge w:val="restart"/>
                </w:tcPr>
                <w:p w14:paraId="3338F1CF">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去除率%</w:t>
                  </w:r>
                </w:p>
              </w:tc>
              <w:tc>
                <w:tcPr>
                  <w:tcW w:w="1470" w:type="dxa"/>
                  <w:gridSpan w:val="3"/>
                </w:tcPr>
                <w:p w14:paraId="5FE8297D">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eastAsia="zh-CN"/>
                    </w:rPr>
                  </w:pPr>
                  <w:r>
                    <w:rPr>
                      <w:rFonts w:hint="eastAsia" w:ascii="Times New Roman" w:hAnsi="Times New Roman" w:eastAsia="仿宋" w:cs="Times New Roman"/>
                      <w:b/>
                      <w:bCs/>
                      <w:color w:val="auto"/>
                      <w:sz w:val="21"/>
                      <w:szCs w:val="21"/>
                      <w:highlight w:val="none"/>
                      <w:lang w:val="en-US" w:eastAsia="zh-CN"/>
                    </w:rPr>
                    <w:t>排放情况</w:t>
                  </w:r>
                </w:p>
              </w:tc>
              <w:tc>
                <w:tcPr>
                  <w:tcW w:w="980" w:type="dxa"/>
                  <w:gridSpan w:val="2"/>
                </w:tcPr>
                <w:p w14:paraId="656583E4">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eastAsia="zh-CN"/>
                    </w:rPr>
                  </w:pPr>
                  <w:r>
                    <w:rPr>
                      <w:rFonts w:hint="eastAsia" w:ascii="Times New Roman" w:hAnsi="Times New Roman" w:eastAsia="仿宋" w:cs="Times New Roman"/>
                      <w:b/>
                      <w:bCs/>
                      <w:color w:val="auto"/>
                      <w:sz w:val="21"/>
                      <w:szCs w:val="21"/>
                      <w:highlight w:val="none"/>
                      <w:lang w:val="en-US" w:eastAsia="zh-CN"/>
                    </w:rPr>
                    <w:t>执行标准</w:t>
                  </w:r>
                </w:p>
              </w:tc>
              <w:tc>
                <w:tcPr>
                  <w:tcW w:w="1470" w:type="dxa"/>
                  <w:gridSpan w:val="3"/>
                </w:tcPr>
                <w:p w14:paraId="17321748">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eastAsia="zh-CN"/>
                    </w:rPr>
                  </w:pPr>
                  <w:r>
                    <w:rPr>
                      <w:rFonts w:hint="eastAsia" w:ascii="Times New Roman" w:hAnsi="Times New Roman" w:eastAsia="仿宋" w:cs="Times New Roman"/>
                      <w:b/>
                      <w:bCs/>
                      <w:color w:val="auto"/>
                      <w:sz w:val="21"/>
                      <w:szCs w:val="21"/>
                      <w:highlight w:val="none"/>
                      <w:lang w:val="en-US" w:eastAsia="zh-CN"/>
                    </w:rPr>
                    <w:t>排放源参数</w:t>
                  </w:r>
                </w:p>
              </w:tc>
              <w:tc>
                <w:tcPr>
                  <w:tcW w:w="490" w:type="dxa"/>
                  <w:vMerge w:val="restart"/>
                </w:tcPr>
                <w:p w14:paraId="4A4100FE">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排放方式</w:t>
                  </w:r>
                </w:p>
              </w:tc>
            </w:tr>
            <w:tr w14:paraId="5938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tcPr>
                <w:p w14:paraId="4C853F88">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名称</w:t>
                  </w:r>
                </w:p>
              </w:tc>
              <w:tc>
                <w:tcPr>
                  <w:tcW w:w="489" w:type="dxa"/>
                </w:tcPr>
                <w:p w14:paraId="29E64D7E">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排气量</w:t>
                  </w:r>
                </w:p>
              </w:tc>
              <w:tc>
                <w:tcPr>
                  <w:tcW w:w="490" w:type="dxa"/>
                  <w:vMerge w:val="continue"/>
                </w:tcPr>
                <w:p w14:paraId="18858097">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p>
              </w:tc>
              <w:tc>
                <w:tcPr>
                  <w:tcW w:w="490" w:type="dxa"/>
                </w:tcPr>
                <w:p w14:paraId="5A29B550">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浓度mg/m</w:t>
                  </w:r>
                  <w:r>
                    <w:rPr>
                      <w:rFonts w:hint="eastAsia" w:ascii="Times New Roman" w:hAnsi="Times New Roman" w:eastAsia="仿宋" w:cs="Times New Roman"/>
                      <w:b/>
                      <w:bCs/>
                      <w:color w:val="auto"/>
                      <w:sz w:val="21"/>
                      <w:szCs w:val="21"/>
                      <w:highlight w:val="none"/>
                      <w:vertAlign w:val="superscript"/>
                      <w:lang w:val="en-US" w:eastAsia="zh-CN"/>
                    </w:rPr>
                    <w:t>3</w:t>
                  </w:r>
                </w:p>
              </w:tc>
              <w:tc>
                <w:tcPr>
                  <w:tcW w:w="490" w:type="dxa"/>
                </w:tcPr>
                <w:p w14:paraId="412F9197">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速率kg/h</w:t>
                  </w:r>
                </w:p>
              </w:tc>
              <w:tc>
                <w:tcPr>
                  <w:tcW w:w="490" w:type="dxa"/>
                </w:tcPr>
                <w:p w14:paraId="6119368E">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产生量t/a</w:t>
                  </w:r>
                </w:p>
              </w:tc>
              <w:tc>
                <w:tcPr>
                  <w:tcW w:w="490" w:type="dxa"/>
                  <w:vMerge w:val="continue"/>
                </w:tcPr>
                <w:p w14:paraId="56D18FF3">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p>
              </w:tc>
              <w:tc>
                <w:tcPr>
                  <w:tcW w:w="490" w:type="dxa"/>
                  <w:vMerge w:val="continue"/>
                </w:tcPr>
                <w:p w14:paraId="03594DC7">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p>
              </w:tc>
              <w:tc>
                <w:tcPr>
                  <w:tcW w:w="490" w:type="dxa"/>
                </w:tcPr>
                <w:p w14:paraId="6D2AF51A">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浓度mg/m</w:t>
                  </w:r>
                  <w:r>
                    <w:rPr>
                      <w:rFonts w:hint="eastAsia" w:ascii="Times New Roman" w:hAnsi="Times New Roman" w:eastAsia="仿宋" w:cs="Times New Roman"/>
                      <w:b/>
                      <w:bCs/>
                      <w:color w:val="auto"/>
                      <w:sz w:val="21"/>
                      <w:szCs w:val="21"/>
                      <w:highlight w:val="none"/>
                      <w:vertAlign w:val="superscript"/>
                      <w:lang w:val="en-US" w:eastAsia="zh-CN"/>
                    </w:rPr>
                    <w:t>3</w:t>
                  </w:r>
                </w:p>
              </w:tc>
              <w:tc>
                <w:tcPr>
                  <w:tcW w:w="490" w:type="dxa"/>
                </w:tcPr>
                <w:p w14:paraId="48ED5315">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速率kg/h</w:t>
                  </w:r>
                </w:p>
              </w:tc>
              <w:tc>
                <w:tcPr>
                  <w:tcW w:w="490" w:type="dxa"/>
                </w:tcPr>
                <w:p w14:paraId="1921A9BC">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排</w:t>
                  </w:r>
                  <w:r>
                    <w:rPr>
                      <w:rFonts w:hint="eastAsia" w:ascii="Times New Roman" w:hAnsi="Times New Roman" w:eastAsia="仿宋" w:cs="Times New Roman"/>
                      <w:b/>
                      <w:bCs/>
                      <w:color w:val="auto"/>
                      <w:sz w:val="21"/>
                      <w:szCs w:val="21"/>
                      <w:highlight w:val="none"/>
                      <w:lang w:val="en-US" w:eastAsia="zh-CN"/>
                    </w:rPr>
                    <w:t>生量t/a</w:t>
                  </w:r>
                </w:p>
              </w:tc>
              <w:tc>
                <w:tcPr>
                  <w:tcW w:w="490" w:type="dxa"/>
                </w:tcPr>
                <w:p w14:paraId="5BC6FCDA">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浓度mg/m</w:t>
                  </w:r>
                  <w:r>
                    <w:rPr>
                      <w:rFonts w:hint="eastAsia" w:ascii="Times New Roman" w:hAnsi="Times New Roman" w:eastAsia="仿宋" w:cs="Times New Roman"/>
                      <w:b/>
                      <w:bCs/>
                      <w:color w:val="auto"/>
                      <w:sz w:val="21"/>
                      <w:szCs w:val="21"/>
                      <w:highlight w:val="none"/>
                      <w:vertAlign w:val="superscript"/>
                      <w:lang w:val="en-US" w:eastAsia="zh-CN"/>
                    </w:rPr>
                    <w:t>3</w:t>
                  </w:r>
                </w:p>
              </w:tc>
              <w:tc>
                <w:tcPr>
                  <w:tcW w:w="490" w:type="dxa"/>
                </w:tcPr>
                <w:p w14:paraId="133AE9B7">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速率kg/h</w:t>
                  </w:r>
                </w:p>
              </w:tc>
              <w:tc>
                <w:tcPr>
                  <w:tcW w:w="490" w:type="dxa"/>
                </w:tcPr>
                <w:p w14:paraId="08A7BE89">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高度m</w:t>
                  </w:r>
                </w:p>
              </w:tc>
              <w:tc>
                <w:tcPr>
                  <w:tcW w:w="490" w:type="dxa"/>
                </w:tcPr>
                <w:p w14:paraId="2808F709">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直径m</w:t>
                  </w:r>
                </w:p>
              </w:tc>
              <w:tc>
                <w:tcPr>
                  <w:tcW w:w="490" w:type="dxa"/>
                </w:tcPr>
                <w:p w14:paraId="4210D7F9">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温度℃</w:t>
                  </w:r>
                </w:p>
              </w:tc>
              <w:tc>
                <w:tcPr>
                  <w:tcW w:w="490" w:type="dxa"/>
                  <w:vMerge w:val="continue"/>
                </w:tcPr>
                <w:p w14:paraId="19D16F19">
                  <w:pPr>
                    <w:pStyle w:val="2"/>
                    <w:rPr>
                      <w:rFonts w:hint="default" w:ascii="Times New Roman" w:hAnsi="Times New Roman" w:cs="Times New Roman"/>
                      <w:b/>
                      <w:color w:val="FF0000"/>
                      <w:sz w:val="21"/>
                      <w:szCs w:val="21"/>
                      <w:vertAlign w:val="baseline"/>
                      <w:lang w:eastAsia="zh-CN"/>
                    </w:rPr>
                  </w:pPr>
                </w:p>
              </w:tc>
            </w:tr>
            <w:tr w14:paraId="6424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Merge w:val="restart"/>
                  <w:vAlign w:val="center"/>
                </w:tcPr>
                <w:p w14:paraId="4F3D52CE">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污水处理站排气筒</w:t>
                  </w:r>
                </w:p>
              </w:tc>
              <w:tc>
                <w:tcPr>
                  <w:tcW w:w="489" w:type="dxa"/>
                  <w:vMerge w:val="restart"/>
                  <w:vAlign w:val="center"/>
                </w:tcPr>
                <w:p w14:paraId="428DE991">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2000</w:t>
                  </w:r>
                </w:p>
              </w:tc>
              <w:tc>
                <w:tcPr>
                  <w:tcW w:w="490" w:type="dxa"/>
                  <w:vAlign w:val="center"/>
                </w:tcPr>
                <w:p w14:paraId="11CF5397">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NH</w:t>
                  </w:r>
                  <w:r>
                    <w:rPr>
                      <w:rFonts w:hint="eastAsia" w:eastAsia="仿宋" w:cs="Times New Roman"/>
                      <w:color w:val="auto"/>
                      <w:sz w:val="21"/>
                      <w:szCs w:val="21"/>
                      <w:highlight w:val="none"/>
                      <w:vertAlign w:val="subscript"/>
                      <w:lang w:val="en-US" w:eastAsia="zh-CN"/>
                    </w:rPr>
                    <w:t>3</w:t>
                  </w:r>
                </w:p>
              </w:tc>
              <w:tc>
                <w:tcPr>
                  <w:tcW w:w="490" w:type="dxa"/>
                  <w:vAlign w:val="center"/>
                </w:tcPr>
                <w:p w14:paraId="01783309">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0.048</w:t>
                  </w:r>
                </w:p>
              </w:tc>
              <w:tc>
                <w:tcPr>
                  <w:tcW w:w="490" w:type="dxa"/>
                  <w:vAlign w:val="center"/>
                </w:tcPr>
                <w:p w14:paraId="3C186BA4">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0.00104</w:t>
                  </w:r>
                </w:p>
              </w:tc>
              <w:tc>
                <w:tcPr>
                  <w:tcW w:w="490" w:type="dxa"/>
                  <w:vAlign w:val="center"/>
                </w:tcPr>
                <w:p w14:paraId="49E9D074">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0.0091</w:t>
                  </w:r>
                </w:p>
              </w:tc>
              <w:tc>
                <w:tcPr>
                  <w:tcW w:w="490" w:type="dxa"/>
                  <w:vMerge w:val="restart"/>
                  <w:vAlign w:val="center"/>
                </w:tcPr>
                <w:p w14:paraId="146A1B1B">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水喷淋+活性炭</w:t>
                  </w:r>
                </w:p>
              </w:tc>
              <w:tc>
                <w:tcPr>
                  <w:tcW w:w="490" w:type="dxa"/>
                  <w:vMerge w:val="restart"/>
                  <w:vAlign w:val="center"/>
                </w:tcPr>
                <w:p w14:paraId="31E5D4BD">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60</w:t>
                  </w:r>
                </w:p>
              </w:tc>
              <w:tc>
                <w:tcPr>
                  <w:tcW w:w="490" w:type="dxa"/>
                  <w:vAlign w:val="center"/>
                </w:tcPr>
                <w:p w14:paraId="45E1BCD9">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0.019</w:t>
                  </w:r>
                </w:p>
              </w:tc>
              <w:tc>
                <w:tcPr>
                  <w:tcW w:w="490" w:type="dxa"/>
                  <w:vAlign w:val="center"/>
                </w:tcPr>
                <w:p w14:paraId="4E586755">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0.0004</w:t>
                  </w:r>
                </w:p>
              </w:tc>
              <w:tc>
                <w:tcPr>
                  <w:tcW w:w="490" w:type="dxa"/>
                  <w:vAlign w:val="center"/>
                </w:tcPr>
                <w:p w14:paraId="5336EC8B">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0.0036</w:t>
                  </w:r>
                </w:p>
              </w:tc>
              <w:tc>
                <w:tcPr>
                  <w:tcW w:w="490" w:type="dxa"/>
                  <w:vAlign w:val="center"/>
                </w:tcPr>
                <w:p w14:paraId="4830F67B">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490" w:type="dxa"/>
                  <w:vAlign w:val="center"/>
                </w:tcPr>
                <w:p w14:paraId="6872A08C">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4.9</w:t>
                  </w:r>
                </w:p>
              </w:tc>
              <w:tc>
                <w:tcPr>
                  <w:tcW w:w="490" w:type="dxa"/>
                  <w:vMerge w:val="restart"/>
                  <w:vAlign w:val="center"/>
                </w:tcPr>
                <w:p w14:paraId="73CC2BF0">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15</w:t>
                  </w:r>
                </w:p>
              </w:tc>
              <w:tc>
                <w:tcPr>
                  <w:tcW w:w="490" w:type="dxa"/>
                  <w:vMerge w:val="restart"/>
                  <w:vAlign w:val="center"/>
                </w:tcPr>
                <w:p w14:paraId="49C7FEEF">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0.5</w:t>
                  </w:r>
                </w:p>
              </w:tc>
              <w:tc>
                <w:tcPr>
                  <w:tcW w:w="490" w:type="dxa"/>
                  <w:vMerge w:val="restart"/>
                  <w:vAlign w:val="center"/>
                </w:tcPr>
                <w:p w14:paraId="3A99AAB7">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25</w:t>
                  </w:r>
                </w:p>
              </w:tc>
              <w:tc>
                <w:tcPr>
                  <w:tcW w:w="490" w:type="dxa"/>
                  <w:vMerge w:val="restart"/>
                  <w:vAlign w:val="center"/>
                </w:tcPr>
                <w:p w14:paraId="550EF95E">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连续8760h</w:t>
                  </w:r>
                </w:p>
              </w:tc>
            </w:tr>
            <w:tr w14:paraId="1B59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Merge w:val="continue"/>
                  <w:vAlign w:val="center"/>
                </w:tcPr>
                <w:p w14:paraId="794DE713">
                  <w:pPr>
                    <w:keepNext w:val="0"/>
                    <w:keepLines w:val="0"/>
                    <w:pageBreakBefore w:val="0"/>
                    <w:widowControl/>
                    <w:kinsoku/>
                    <w:wordWrap/>
                    <w:overflowPunct/>
                    <w:bidi w:val="0"/>
                    <w:snapToGrid w:val="0"/>
                    <w:jc w:val="center"/>
                    <w:textAlignment w:val="center"/>
                    <w:rPr>
                      <w:rFonts w:hint="eastAsia" w:eastAsia="仿宋" w:cs="Times New Roman"/>
                      <w:color w:val="auto"/>
                      <w:sz w:val="21"/>
                      <w:szCs w:val="21"/>
                      <w:highlight w:val="none"/>
                      <w:lang w:val="en-US" w:eastAsia="zh-CN"/>
                    </w:rPr>
                  </w:pPr>
                </w:p>
              </w:tc>
              <w:tc>
                <w:tcPr>
                  <w:tcW w:w="489" w:type="dxa"/>
                  <w:vMerge w:val="continue"/>
                  <w:vAlign w:val="center"/>
                </w:tcPr>
                <w:p w14:paraId="1776F3CC">
                  <w:pPr>
                    <w:keepNext w:val="0"/>
                    <w:keepLines w:val="0"/>
                    <w:pageBreakBefore w:val="0"/>
                    <w:widowControl/>
                    <w:kinsoku/>
                    <w:wordWrap/>
                    <w:overflowPunct/>
                    <w:bidi w:val="0"/>
                    <w:snapToGrid w:val="0"/>
                    <w:jc w:val="center"/>
                    <w:textAlignment w:val="center"/>
                    <w:rPr>
                      <w:rFonts w:hint="eastAsia" w:eastAsia="仿宋" w:cs="Times New Roman"/>
                      <w:color w:val="auto"/>
                      <w:sz w:val="21"/>
                      <w:szCs w:val="21"/>
                      <w:highlight w:val="none"/>
                      <w:lang w:val="en-US" w:eastAsia="zh-CN"/>
                    </w:rPr>
                  </w:pPr>
                </w:p>
              </w:tc>
              <w:tc>
                <w:tcPr>
                  <w:tcW w:w="490" w:type="dxa"/>
                  <w:vAlign w:val="center"/>
                </w:tcPr>
                <w:p w14:paraId="0A52CAF7">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H</w:t>
                  </w:r>
                  <w:r>
                    <w:rPr>
                      <w:rFonts w:hint="eastAsia" w:eastAsia="仿宋" w:cs="Times New Roman"/>
                      <w:color w:val="auto"/>
                      <w:sz w:val="21"/>
                      <w:szCs w:val="21"/>
                      <w:highlight w:val="none"/>
                      <w:vertAlign w:val="subscript"/>
                      <w:lang w:val="en-US" w:eastAsia="zh-CN"/>
                    </w:rPr>
                    <w:t>2</w:t>
                  </w:r>
                  <w:r>
                    <w:rPr>
                      <w:rFonts w:hint="eastAsia" w:eastAsia="仿宋" w:cs="Times New Roman"/>
                      <w:color w:val="auto"/>
                      <w:sz w:val="21"/>
                      <w:szCs w:val="21"/>
                      <w:highlight w:val="none"/>
                      <w:lang w:val="en-US" w:eastAsia="zh-CN"/>
                    </w:rPr>
                    <w:t>S</w:t>
                  </w:r>
                </w:p>
              </w:tc>
              <w:tc>
                <w:tcPr>
                  <w:tcW w:w="490" w:type="dxa"/>
                  <w:vAlign w:val="center"/>
                </w:tcPr>
                <w:p w14:paraId="22B999A4">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0.001</w:t>
                  </w:r>
                </w:p>
              </w:tc>
              <w:tc>
                <w:tcPr>
                  <w:tcW w:w="490" w:type="dxa"/>
                  <w:vAlign w:val="center"/>
                </w:tcPr>
                <w:p w14:paraId="6F46E994">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0.00004</w:t>
                  </w:r>
                </w:p>
              </w:tc>
              <w:tc>
                <w:tcPr>
                  <w:tcW w:w="490" w:type="dxa"/>
                  <w:vAlign w:val="center"/>
                </w:tcPr>
                <w:p w14:paraId="7CBC6871">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0.00035</w:t>
                  </w:r>
                </w:p>
              </w:tc>
              <w:tc>
                <w:tcPr>
                  <w:tcW w:w="490" w:type="dxa"/>
                  <w:vMerge w:val="continue"/>
                  <w:vAlign w:val="center"/>
                </w:tcPr>
                <w:p w14:paraId="4905B485">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p>
              </w:tc>
              <w:tc>
                <w:tcPr>
                  <w:tcW w:w="490" w:type="dxa"/>
                  <w:vMerge w:val="continue"/>
                  <w:vAlign w:val="center"/>
                </w:tcPr>
                <w:p w14:paraId="3812CA17">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p>
              </w:tc>
              <w:tc>
                <w:tcPr>
                  <w:tcW w:w="490" w:type="dxa"/>
                  <w:vAlign w:val="center"/>
                </w:tcPr>
                <w:p w14:paraId="0B6A5B94">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0.00057</w:t>
                  </w:r>
                </w:p>
              </w:tc>
              <w:tc>
                <w:tcPr>
                  <w:tcW w:w="490" w:type="dxa"/>
                  <w:vAlign w:val="center"/>
                </w:tcPr>
                <w:p w14:paraId="6ADC1B1F">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0.00001</w:t>
                  </w:r>
                </w:p>
              </w:tc>
              <w:tc>
                <w:tcPr>
                  <w:tcW w:w="490" w:type="dxa"/>
                  <w:vAlign w:val="center"/>
                </w:tcPr>
                <w:p w14:paraId="1CF47A3C">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0.00014</w:t>
                  </w:r>
                </w:p>
              </w:tc>
              <w:tc>
                <w:tcPr>
                  <w:tcW w:w="490" w:type="dxa"/>
                  <w:vAlign w:val="center"/>
                </w:tcPr>
                <w:p w14:paraId="4E00C9D3">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490" w:type="dxa"/>
                  <w:vAlign w:val="center"/>
                </w:tcPr>
                <w:p w14:paraId="63BFD09F">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0.33</w:t>
                  </w:r>
                </w:p>
              </w:tc>
              <w:tc>
                <w:tcPr>
                  <w:tcW w:w="490" w:type="dxa"/>
                  <w:vMerge w:val="continue"/>
                </w:tcPr>
                <w:p w14:paraId="1F82FADB">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p>
              </w:tc>
              <w:tc>
                <w:tcPr>
                  <w:tcW w:w="490" w:type="dxa"/>
                  <w:vMerge w:val="continue"/>
                </w:tcPr>
                <w:p w14:paraId="006FEA05">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p>
              </w:tc>
              <w:tc>
                <w:tcPr>
                  <w:tcW w:w="490" w:type="dxa"/>
                  <w:vMerge w:val="continue"/>
                </w:tcPr>
                <w:p w14:paraId="613C4FA7">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p>
              </w:tc>
              <w:tc>
                <w:tcPr>
                  <w:tcW w:w="490" w:type="dxa"/>
                  <w:vMerge w:val="continue"/>
                </w:tcPr>
                <w:p w14:paraId="0D23B1CA">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p>
              </w:tc>
            </w:tr>
          </w:tbl>
          <w:p w14:paraId="6EA62F20">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由表4-2可知，扩建工程项目污水处理站废气经加盖密闭收集后经水喷淋+活性炭进行处理后经1#15m高的排气筒排放。扩建工程项目污水处理站废气氨和硫化氢有组织排放速率分别为0.0004kg/h和0.00001kg/h，扩建工程项目氨和硫化氢排放速率均满足《恶臭污染物排放标准》（GB14554-93）表2恶臭污染物排放标准限值要求</w:t>
            </w:r>
            <w:r>
              <w:rPr>
                <w:rFonts w:hint="default" w:eastAsia="仿宋" w:cs="Times New Roman"/>
                <w:color w:val="auto"/>
                <w:sz w:val="24"/>
                <w:szCs w:val="24"/>
                <w:highlight w:val="none"/>
                <w:lang w:val="en-US" w:eastAsia="zh-CN"/>
              </w:rPr>
              <w:t>。</w:t>
            </w:r>
          </w:p>
          <w:p w14:paraId="359B284F">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eastAsia="仿宋" w:cs="Times New Roman"/>
                <w:color w:val="auto"/>
                <w:sz w:val="24"/>
                <w:szCs w:val="24"/>
                <w:highlight w:val="none"/>
                <w:lang w:val="en-US" w:eastAsia="zh-CN"/>
              </w:rPr>
            </w:pPr>
            <w:r>
              <w:rPr>
                <w:rFonts w:hint="default"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2</w:t>
            </w:r>
            <w:r>
              <w:rPr>
                <w:rFonts w:hint="default" w:eastAsia="仿宋" w:cs="Times New Roman"/>
                <w:color w:val="auto"/>
                <w:sz w:val="24"/>
                <w:szCs w:val="24"/>
                <w:highlight w:val="none"/>
                <w:lang w:eastAsia="zh-CN"/>
              </w:rPr>
              <w:t>）</w:t>
            </w:r>
            <w:r>
              <w:rPr>
                <w:rFonts w:hint="eastAsia" w:eastAsia="仿宋" w:cs="Times New Roman"/>
                <w:color w:val="auto"/>
                <w:sz w:val="24"/>
                <w:szCs w:val="24"/>
                <w:highlight w:val="none"/>
                <w:lang w:val="en-US" w:eastAsia="zh-CN"/>
              </w:rPr>
              <w:t>扩建工程</w:t>
            </w:r>
            <w:r>
              <w:rPr>
                <w:rFonts w:hint="default" w:eastAsia="仿宋" w:cs="Times New Roman"/>
                <w:color w:val="auto"/>
                <w:sz w:val="24"/>
                <w:szCs w:val="24"/>
                <w:highlight w:val="none"/>
                <w:lang w:eastAsia="zh-CN"/>
              </w:rPr>
              <w:t>食堂油烟</w:t>
            </w:r>
          </w:p>
          <w:p w14:paraId="5E8CAE5A">
            <w:pPr>
              <w:keepNext w:val="0"/>
              <w:keepLines w:val="0"/>
              <w:pageBreakBefore w:val="0"/>
              <w:kinsoku/>
              <w:wordWrap/>
              <w:overflowPunct/>
              <w:autoSpaceDE w:val="0"/>
              <w:autoSpaceDN w:val="0"/>
              <w:bidi w:val="0"/>
              <w:spacing w:line="440" w:lineRule="exact"/>
              <w:ind w:firstLine="480" w:firstLineChars="200"/>
              <w:rPr>
                <w:rFonts w:hint="default" w:ascii="Times New Roman" w:hAnsi="Times New Roman" w:eastAsia="仿宋" w:cs="Times New Roman"/>
                <w:color w:val="auto"/>
                <w:sz w:val="24"/>
                <w:szCs w:val="24"/>
                <w:highlight w:val="none"/>
              </w:rPr>
            </w:pPr>
            <w:r>
              <w:rPr>
                <w:rFonts w:hint="eastAsia" w:eastAsia="仿宋" w:cs="Times New Roman"/>
                <w:color w:val="auto"/>
                <w:sz w:val="24"/>
                <w:szCs w:val="24"/>
                <w:highlight w:val="none"/>
                <w:lang w:val="en-US" w:eastAsia="zh-CN"/>
              </w:rPr>
              <w:t>本扩建工程项目</w:t>
            </w:r>
            <w:r>
              <w:rPr>
                <w:rFonts w:hint="default" w:eastAsia="仿宋" w:cs="Times New Roman"/>
                <w:color w:val="auto"/>
                <w:sz w:val="24"/>
                <w:szCs w:val="24"/>
                <w:highlight w:val="none"/>
                <w:lang w:val="en-US" w:eastAsia="zh-CN"/>
              </w:rPr>
              <w:t>新增用餐人数约</w:t>
            </w:r>
            <w:r>
              <w:rPr>
                <w:rFonts w:hint="eastAsia" w:eastAsia="仿宋" w:cs="Times New Roman"/>
                <w:color w:val="auto"/>
                <w:sz w:val="24"/>
                <w:szCs w:val="24"/>
                <w:highlight w:val="none"/>
                <w:lang w:val="en-US" w:eastAsia="zh-CN"/>
              </w:rPr>
              <w:t>1400</w:t>
            </w:r>
            <w:r>
              <w:rPr>
                <w:rFonts w:hint="default" w:eastAsia="仿宋" w:cs="Times New Roman"/>
                <w:color w:val="auto"/>
                <w:sz w:val="24"/>
                <w:szCs w:val="24"/>
                <w:highlight w:val="none"/>
                <w:lang w:val="en-US" w:eastAsia="zh-CN"/>
              </w:rPr>
              <w:t>人/餐计，</w:t>
            </w:r>
            <w:r>
              <w:rPr>
                <w:rFonts w:hint="eastAsia" w:eastAsia="仿宋" w:cs="Times New Roman"/>
                <w:color w:val="auto"/>
                <w:sz w:val="24"/>
                <w:szCs w:val="24"/>
                <w:highlight w:val="none"/>
                <w:lang w:val="en-US" w:eastAsia="zh-CN"/>
              </w:rPr>
              <w:t>依托现有工程进行工作，其中现有工程有10个</w:t>
            </w:r>
            <w:r>
              <w:rPr>
                <w:rFonts w:hint="default" w:eastAsia="仿宋" w:cs="Times New Roman"/>
                <w:color w:val="auto"/>
                <w:sz w:val="24"/>
                <w:szCs w:val="24"/>
                <w:highlight w:val="none"/>
                <w:lang w:val="en-US" w:eastAsia="zh-CN"/>
              </w:rPr>
              <w:t>基准灶头</w:t>
            </w:r>
            <w:r>
              <w:rPr>
                <w:rFonts w:hint="eastAsia" w:eastAsia="仿宋" w:cs="Times New Roman"/>
                <w:color w:val="auto"/>
                <w:sz w:val="24"/>
                <w:szCs w:val="24"/>
                <w:highlight w:val="none"/>
                <w:lang w:val="en-US" w:eastAsia="zh-CN"/>
              </w:rPr>
              <w:t>，属于大型食堂。</w:t>
            </w:r>
            <w:r>
              <w:rPr>
                <w:rFonts w:hint="default" w:ascii="Times New Roman" w:hAnsi="Times New Roman" w:eastAsia="仿宋" w:cs="Times New Roman"/>
                <w:color w:val="auto"/>
                <w:sz w:val="24"/>
                <w:szCs w:val="24"/>
                <w:highlight w:val="none"/>
              </w:rPr>
              <w:t>常州市区域人均油脂用量按5kg/a计算</w:t>
            </w:r>
            <w:r>
              <w:rPr>
                <w:rFonts w:hint="eastAsia"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厨房油烟的产生量以使用量的2.83%计算，食堂就餐人数按</w:t>
            </w:r>
            <w:r>
              <w:rPr>
                <w:rFonts w:hint="eastAsia" w:eastAsia="仿宋" w:cs="Times New Roman"/>
                <w:color w:val="auto"/>
                <w:sz w:val="24"/>
                <w:szCs w:val="24"/>
                <w:highlight w:val="none"/>
                <w:lang w:val="en-US" w:eastAsia="zh-CN"/>
              </w:rPr>
              <w:t>1400</w:t>
            </w:r>
            <w:r>
              <w:rPr>
                <w:rFonts w:hint="default" w:ascii="Times New Roman" w:hAnsi="Times New Roman" w:eastAsia="仿宋" w:cs="Times New Roman"/>
                <w:color w:val="auto"/>
                <w:sz w:val="24"/>
                <w:szCs w:val="24"/>
                <w:highlight w:val="none"/>
              </w:rPr>
              <w:t>人计，则本项目油烟产生量为0.</w:t>
            </w:r>
            <w:r>
              <w:rPr>
                <w:rFonts w:hint="eastAsia" w:eastAsia="仿宋" w:cs="Times New Roman"/>
                <w:color w:val="auto"/>
                <w:sz w:val="24"/>
                <w:szCs w:val="24"/>
                <w:highlight w:val="none"/>
                <w:lang w:val="en-US" w:eastAsia="zh-CN"/>
              </w:rPr>
              <w:t>198</w:t>
            </w:r>
            <w:r>
              <w:rPr>
                <w:rFonts w:hint="default" w:ascii="Times New Roman" w:hAnsi="Times New Roman" w:eastAsia="仿宋" w:cs="Times New Roman"/>
                <w:color w:val="auto"/>
                <w:sz w:val="24"/>
                <w:szCs w:val="24"/>
                <w:highlight w:val="none"/>
              </w:rPr>
              <w:t>t/a，食堂提供</w:t>
            </w:r>
            <w:r>
              <w:rPr>
                <w:rFonts w:hint="eastAsia" w:eastAsia="仿宋" w:cs="Times New Roman"/>
                <w:color w:val="auto"/>
                <w:sz w:val="24"/>
                <w:szCs w:val="24"/>
                <w:highlight w:val="none"/>
                <w:lang w:val="en-US" w:eastAsia="zh-CN"/>
              </w:rPr>
              <w:t>三</w:t>
            </w:r>
            <w:r>
              <w:rPr>
                <w:rFonts w:hint="default" w:ascii="Times New Roman" w:hAnsi="Times New Roman" w:eastAsia="仿宋" w:cs="Times New Roman"/>
                <w:color w:val="auto"/>
                <w:sz w:val="24"/>
                <w:szCs w:val="24"/>
                <w:highlight w:val="none"/>
              </w:rPr>
              <w:t>餐，每天工作</w:t>
            </w:r>
            <w:r>
              <w:rPr>
                <w:rFonts w:hint="eastAsia" w:eastAsia="仿宋" w:cs="Times New Roman"/>
                <w:color w:val="auto"/>
                <w:sz w:val="24"/>
                <w:szCs w:val="24"/>
                <w:highlight w:val="none"/>
                <w:lang w:val="en-US" w:eastAsia="zh-CN"/>
              </w:rPr>
              <w:t>6</w:t>
            </w:r>
            <w:r>
              <w:rPr>
                <w:rFonts w:hint="default" w:ascii="Times New Roman" w:hAnsi="Times New Roman" w:eastAsia="仿宋" w:cs="Times New Roman"/>
                <w:color w:val="auto"/>
                <w:sz w:val="24"/>
                <w:szCs w:val="24"/>
                <w:highlight w:val="none"/>
              </w:rPr>
              <w:t>小时，全年工作时间以</w:t>
            </w:r>
            <w:r>
              <w:rPr>
                <w:rFonts w:hint="eastAsia" w:eastAsia="仿宋" w:cs="Times New Roman"/>
                <w:color w:val="auto"/>
                <w:sz w:val="24"/>
                <w:szCs w:val="24"/>
                <w:highlight w:val="none"/>
                <w:lang w:val="en-US" w:eastAsia="zh-CN"/>
              </w:rPr>
              <w:t>365</w:t>
            </w:r>
            <w:r>
              <w:rPr>
                <w:rFonts w:hint="default" w:ascii="Times New Roman" w:hAnsi="Times New Roman" w:eastAsia="仿宋" w:cs="Times New Roman"/>
                <w:color w:val="auto"/>
                <w:sz w:val="24"/>
                <w:szCs w:val="24"/>
                <w:highlight w:val="none"/>
              </w:rPr>
              <w:t>天计算，则油烟</w:t>
            </w:r>
            <w:r>
              <w:rPr>
                <w:rFonts w:hint="eastAsia" w:eastAsia="仿宋" w:cs="Times New Roman"/>
                <w:color w:val="auto"/>
                <w:sz w:val="24"/>
                <w:szCs w:val="24"/>
                <w:highlight w:val="none"/>
                <w:lang w:val="en-US" w:eastAsia="zh-CN"/>
              </w:rPr>
              <w:t>产生</w:t>
            </w:r>
            <w:r>
              <w:rPr>
                <w:rFonts w:hint="default" w:ascii="Times New Roman" w:hAnsi="Times New Roman" w:eastAsia="仿宋" w:cs="Times New Roman"/>
                <w:color w:val="auto"/>
                <w:sz w:val="24"/>
                <w:szCs w:val="24"/>
                <w:highlight w:val="none"/>
              </w:rPr>
              <w:t>速率为</w:t>
            </w:r>
            <w:r>
              <w:rPr>
                <w:rFonts w:hint="eastAsia" w:eastAsia="仿宋" w:cs="Times New Roman"/>
                <w:color w:val="auto"/>
                <w:sz w:val="24"/>
                <w:szCs w:val="24"/>
                <w:highlight w:val="none"/>
                <w:lang w:val="en-US" w:eastAsia="zh-CN"/>
              </w:rPr>
              <w:t>0.09</w:t>
            </w:r>
            <w:r>
              <w:rPr>
                <w:rFonts w:hint="default" w:ascii="Times New Roman" w:hAnsi="Times New Roman" w:eastAsia="仿宋" w:cs="Times New Roman"/>
                <w:color w:val="auto"/>
                <w:sz w:val="24"/>
                <w:szCs w:val="24"/>
                <w:highlight w:val="none"/>
              </w:rPr>
              <w:t>kg/h。项目安装油烟净化器风机风量为</w:t>
            </w:r>
            <w:r>
              <w:rPr>
                <w:rFonts w:hint="eastAsia" w:eastAsia="仿宋" w:cs="Times New Roman"/>
                <w:color w:val="auto"/>
                <w:sz w:val="24"/>
                <w:szCs w:val="24"/>
                <w:highlight w:val="none"/>
                <w:lang w:val="en-US" w:eastAsia="zh-CN"/>
              </w:rPr>
              <w:t>35000</w:t>
            </w:r>
            <w:r>
              <w:rPr>
                <w:rFonts w:hint="default" w:ascii="Times New Roman" w:hAnsi="Times New Roman" w:eastAsia="仿宋" w:cs="Times New Roman"/>
                <w:color w:val="auto"/>
                <w:sz w:val="24"/>
                <w:szCs w:val="24"/>
                <w:highlight w:val="none"/>
              </w:rPr>
              <w:t>m</w:t>
            </w:r>
            <w:r>
              <w:rPr>
                <w:rFonts w:hint="default" w:ascii="Times New Roman" w:hAnsi="Times New Roman" w:eastAsia="仿宋" w:cs="Times New Roman"/>
                <w:color w:val="auto"/>
                <w:sz w:val="24"/>
                <w:szCs w:val="24"/>
                <w:highlight w:val="none"/>
                <w:vertAlign w:val="superscript"/>
              </w:rPr>
              <w:t>3</w:t>
            </w:r>
            <w:r>
              <w:rPr>
                <w:rFonts w:hint="default" w:ascii="Times New Roman" w:hAnsi="Times New Roman" w:eastAsia="仿宋" w:cs="Times New Roman"/>
                <w:color w:val="auto"/>
                <w:sz w:val="24"/>
                <w:szCs w:val="24"/>
                <w:highlight w:val="none"/>
              </w:rPr>
              <w:t>/h，净化效率≥85%（按85%计算），则油烟排放量为</w:t>
            </w:r>
            <w:r>
              <w:rPr>
                <w:rFonts w:hint="eastAsia" w:eastAsia="仿宋" w:cs="Times New Roman"/>
                <w:color w:val="auto"/>
                <w:sz w:val="24"/>
                <w:szCs w:val="24"/>
                <w:highlight w:val="none"/>
                <w:lang w:val="en-US" w:eastAsia="zh-CN"/>
              </w:rPr>
              <w:t>0.0297</w:t>
            </w:r>
            <w:r>
              <w:rPr>
                <w:rFonts w:hint="default" w:ascii="Times New Roman" w:hAnsi="Times New Roman" w:eastAsia="仿宋" w:cs="Times New Roman"/>
                <w:color w:val="auto"/>
                <w:sz w:val="24"/>
                <w:szCs w:val="24"/>
                <w:highlight w:val="none"/>
              </w:rPr>
              <w:t>t/a，速率为</w:t>
            </w:r>
            <w:r>
              <w:rPr>
                <w:rFonts w:hint="eastAsia" w:eastAsia="仿宋" w:cs="Times New Roman"/>
                <w:color w:val="auto"/>
                <w:sz w:val="24"/>
                <w:szCs w:val="24"/>
                <w:highlight w:val="none"/>
                <w:lang w:val="en-US" w:eastAsia="zh-CN"/>
              </w:rPr>
              <w:t>0.0136</w:t>
            </w:r>
            <w:r>
              <w:rPr>
                <w:rFonts w:hint="default" w:ascii="Times New Roman" w:hAnsi="Times New Roman" w:eastAsia="仿宋" w:cs="Times New Roman"/>
                <w:color w:val="auto"/>
                <w:sz w:val="24"/>
                <w:szCs w:val="24"/>
                <w:highlight w:val="none"/>
              </w:rPr>
              <w:t>kg/h，通过油烟净化器处理后排放浓度为</w:t>
            </w:r>
            <w:r>
              <w:rPr>
                <w:rFonts w:hint="eastAsia" w:eastAsia="仿宋" w:cs="Times New Roman"/>
                <w:color w:val="auto"/>
                <w:sz w:val="24"/>
                <w:szCs w:val="24"/>
                <w:highlight w:val="none"/>
                <w:lang w:val="en-US" w:eastAsia="zh-CN"/>
              </w:rPr>
              <w:t>0.645</w:t>
            </w:r>
            <w:r>
              <w:rPr>
                <w:rFonts w:hint="default" w:ascii="Times New Roman" w:hAnsi="Times New Roman" w:eastAsia="仿宋" w:cs="Times New Roman"/>
                <w:color w:val="auto"/>
                <w:sz w:val="24"/>
                <w:szCs w:val="24"/>
                <w:highlight w:val="none"/>
              </w:rPr>
              <w:t>mg/m</w:t>
            </w:r>
            <w:r>
              <w:rPr>
                <w:rFonts w:hint="default" w:ascii="Times New Roman" w:hAnsi="Times New Roman" w:eastAsia="仿宋" w:cs="Times New Roman"/>
                <w:color w:val="auto"/>
                <w:sz w:val="24"/>
                <w:szCs w:val="24"/>
                <w:highlight w:val="none"/>
                <w:vertAlign w:val="superscript"/>
              </w:rPr>
              <w:t>3</w:t>
            </w:r>
            <w:r>
              <w:rPr>
                <w:rFonts w:hint="default" w:ascii="Times New Roman" w:hAnsi="Times New Roman" w:eastAsia="仿宋" w:cs="Times New Roman"/>
                <w:color w:val="auto"/>
                <w:sz w:val="24"/>
                <w:szCs w:val="24"/>
                <w:highlight w:val="none"/>
              </w:rPr>
              <w:t>，不超过《饮食业油烟排放标准》（GB18483-2001）中油烟的最高允许排放浓度2.0mg/m</w:t>
            </w:r>
            <w:r>
              <w:rPr>
                <w:rFonts w:hint="default" w:ascii="Times New Roman" w:hAnsi="Times New Roman" w:eastAsia="仿宋" w:cs="Times New Roman"/>
                <w:color w:val="auto"/>
                <w:sz w:val="24"/>
                <w:szCs w:val="24"/>
                <w:highlight w:val="none"/>
                <w:vertAlign w:val="superscript"/>
              </w:rPr>
              <w:t>3</w:t>
            </w:r>
            <w:r>
              <w:rPr>
                <w:rFonts w:hint="default" w:ascii="Times New Roman" w:hAnsi="Times New Roman" w:eastAsia="仿宋" w:cs="Times New Roman"/>
                <w:color w:val="auto"/>
                <w:sz w:val="24"/>
                <w:szCs w:val="24"/>
                <w:highlight w:val="none"/>
              </w:rPr>
              <w:t>的标准限值要求。</w:t>
            </w:r>
          </w:p>
          <w:p w14:paraId="3B620B76">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cs="Times New Roman"/>
                <w:b/>
                <w:color w:val="FF0000"/>
                <w:szCs w:val="21"/>
              </w:rPr>
            </w:pPr>
            <w:r>
              <w:rPr>
                <w:rFonts w:hint="eastAsia" w:ascii="Times New Roman" w:hAnsi="Times New Roman" w:eastAsia="仿宋" w:cs="Times New Roman"/>
                <w:color w:val="auto"/>
                <w:sz w:val="24"/>
                <w:szCs w:val="24"/>
                <w:highlight w:val="none"/>
                <w:lang w:val="en-US" w:eastAsia="zh-CN"/>
              </w:rPr>
              <w:t>扩建工程</w:t>
            </w:r>
            <w:r>
              <w:rPr>
                <w:rFonts w:hint="default" w:ascii="Times New Roman" w:hAnsi="Times New Roman" w:eastAsia="仿宋" w:cs="Times New Roman"/>
                <w:color w:val="auto"/>
                <w:sz w:val="24"/>
                <w:szCs w:val="24"/>
                <w:highlight w:val="none"/>
              </w:rPr>
              <w:t>项目食堂油烟具体产排情况见表4-</w:t>
            </w:r>
            <w:r>
              <w:rPr>
                <w:rFonts w:hint="eastAsia" w:ascii="Times New Roman" w:hAnsi="Times New Roman"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rPr>
              <w:t>。</w:t>
            </w:r>
          </w:p>
          <w:p w14:paraId="74323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表4-</w:t>
            </w:r>
            <w:r>
              <w:rPr>
                <w:rFonts w:hint="eastAsia" w:ascii="Times New Roman" w:hAnsi="Times New Roman" w:eastAsia="仿宋" w:cs="Times New Roman"/>
                <w:b/>
                <w:bCs/>
                <w:color w:val="auto"/>
                <w:kern w:val="0"/>
                <w:sz w:val="22"/>
                <w:szCs w:val="22"/>
                <w:highlight w:val="none"/>
                <w:lang w:val="en-US" w:eastAsia="zh-CN" w:bidi="ar-SA"/>
              </w:rPr>
              <w:t>3</w:t>
            </w:r>
            <w:r>
              <w:rPr>
                <w:rFonts w:hint="default" w:ascii="Times New Roman" w:hAnsi="Times New Roman" w:eastAsia="仿宋" w:cs="Times New Roman"/>
                <w:b/>
                <w:bCs/>
                <w:color w:val="auto"/>
                <w:kern w:val="0"/>
                <w:sz w:val="22"/>
                <w:szCs w:val="22"/>
                <w:highlight w:val="none"/>
                <w:lang w:val="en-US" w:eastAsia="zh-CN" w:bidi="ar-SA"/>
              </w:rPr>
              <w:t xml:space="preserve">  </w:t>
            </w:r>
            <w:r>
              <w:rPr>
                <w:rFonts w:hint="eastAsia" w:ascii="Times New Roman" w:hAnsi="Times New Roman" w:eastAsia="仿宋" w:cs="Times New Roman"/>
                <w:b/>
                <w:bCs/>
                <w:color w:val="auto"/>
                <w:kern w:val="0"/>
                <w:sz w:val="22"/>
                <w:szCs w:val="22"/>
                <w:highlight w:val="none"/>
                <w:lang w:val="en-US" w:eastAsia="zh-CN" w:bidi="ar-SA"/>
              </w:rPr>
              <w:t>扩建工程项目</w:t>
            </w:r>
            <w:r>
              <w:rPr>
                <w:rFonts w:hint="default" w:ascii="Times New Roman" w:hAnsi="Times New Roman" w:eastAsia="仿宋" w:cs="Times New Roman"/>
                <w:b/>
                <w:bCs/>
                <w:color w:val="auto"/>
                <w:kern w:val="0"/>
                <w:sz w:val="22"/>
                <w:szCs w:val="22"/>
                <w:highlight w:val="none"/>
                <w:lang w:val="en-US" w:eastAsia="zh-CN" w:bidi="ar-SA"/>
              </w:rPr>
              <w:t>食堂油烟产排情况</w:t>
            </w:r>
            <w:r>
              <w:rPr>
                <w:rFonts w:hint="eastAsia" w:ascii="Times New Roman" w:hAnsi="Times New Roman" w:eastAsia="仿宋" w:cs="Times New Roman"/>
                <w:b/>
                <w:bCs/>
                <w:color w:val="auto"/>
                <w:kern w:val="0"/>
                <w:sz w:val="22"/>
                <w:szCs w:val="22"/>
                <w:highlight w:val="none"/>
                <w:lang w:val="en-US" w:eastAsia="zh-CN" w:bidi="ar-SA"/>
              </w:rPr>
              <w:t>一览</w:t>
            </w:r>
            <w:r>
              <w:rPr>
                <w:rFonts w:hint="default" w:ascii="Times New Roman" w:hAnsi="Times New Roman" w:eastAsia="仿宋" w:cs="Times New Roman"/>
                <w:b/>
                <w:bCs/>
                <w:color w:val="auto"/>
                <w:kern w:val="0"/>
                <w:sz w:val="22"/>
                <w:szCs w:val="22"/>
                <w:highlight w:val="none"/>
                <w:lang w:val="en-US" w:eastAsia="zh-CN" w:bidi="ar-SA"/>
              </w:rPr>
              <w:t>表</w:t>
            </w:r>
            <w:bookmarkEnd w:id="6"/>
          </w:p>
          <w:tbl>
            <w:tblPr>
              <w:tblStyle w:val="31"/>
              <w:tblW w:w="4992"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23"/>
              <w:gridCol w:w="551"/>
              <w:gridCol w:w="742"/>
              <w:gridCol w:w="786"/>
              <w:gridCol w:w="990"/>
              <w:gridCol w:w="1599"/>
              <w:gridCol w:w="709"/>
              <w:gridCol w:w="729"/>
              <w:gridCol w:w="822"/>
              <w:gridCol w:w="964"/>
            </w:tblGrid>
            <w:tr w14:paraId="6D69C3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06" w:hRule="atLeast"/>
                <w:jc w:val="center"/>
              </w:trPr>
              <w:tc>
                <w:tcPr>
                  <w:tcW w:w="585" w:type="pct"/>
                  <w:gridSpan w:val="2"/>
                  <w:tcBorders>
                    <w:tl2br w:val="nil"/>
                    <w:tr2bl w:val="nil"/>
                  </w:tcBorders>
                  <w:noWrap w:val="0"/>
                  <w:vAlign w:val="center"/>
                </w:tcPr>
                <w:p w14:paraId="54CA0BD6">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废气源</w:t>
                  </w:r>
                </w:p>
              </w:tc>
              <w:tc>
                <w:tcPr>
                  <w:tcW w:w="446" w:type="pct"/>
                  <w:tcBorders>
                    <w:tl2br w:val="nil"/>
                    <w:tr2bl w:val="nil"/>
                  </w:tcBorders>
                  <w:noWrap w:val="0"/>
                  <w:vAlign w:val="center"/>
                </w:tcPr>
                <w:p w14:paraId="105E129F">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产生量</w:t>
                  </w:r>
                </w:p>
                <w:p w14:paraId="1322C428">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t/a</w:t>
                  </w:r>
                  <w:r>
                    <w:rPr>
                      <w:rFonts w:hint="eastAsia" w:ascii="Times New Roman" w:hAnsi="Times New Roman" w:eastAsia="仿宋" w:cs="Times New Roman"/>
                      <w:b/>
                      <w:bCs/>
                      <w:color w:val="auto"/>
                      <w:sz w:val="21"/>
                      <w:szCs w:val="21"/>
                      <w:highlight w:val="none"/>
                      <w:lang w:val="en-US" w:eastAsia="zh-CN"/>
                    </w:rPr>
                    <w:t>)</w:t>
                  </w:r>
                </w:p>
              </w:tc>
              <w:tc>
                <w:tcPr>
                  <w:tcW w:w="472" w:type="pct"/>
                  <w:tcBorders>
                    <w:tl2br w:val="nil"/>
                    <w:tr2bl w:val="nil"/>
                  </w:tcBorders>
                  <w:noWrap w:val="0"/>
                  <w:vAlign w:val="center"/>
                </w:tcPr>
                <w:p w14:paraId="67AC5DB7">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产生速率</w:t>
                  </w:r>
                </w:p>
                <w:p w14:paraId="3C6A2B08">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kg/h</w:t>
                  </w:r>
                  <w:r>
                    <w:rPr>
                      <w:rFonts w:hint="eastAsia" w:ascii="Times New Roman" w:hAnsi="Times New Roman" w:eastAsia="仿宋" w:cs="Times New Roman"/>
                      <w:b/>
                      <w:bCs/>
                      <w:color w:val="auto"/>
                      <w:sz w:val="21"/>
                      <w:szCs w:val="21"/>
                      <w:highlight w:val="none"/>
                      <w:lang w:val="en-US" w:eastAsia="zh-CN"/>
                    </w:rPr>
                    <w:t>)</w:t>
                  </w:r>
                </w:p>
              </w:tc>
              <w:tc>
                <w:tcPr>
                  <w:tcW w:w="595" w:type="pct"/>
                  <w:tcBorders>
                    <w:tl2br w:val="nil"/>
                    <w:tr2bl w:val="nil"/>
                  </w:tcBorders>
                  <w:noWrap w:val="0"/>
                  <w:vAlign w:val="center"/>
                </w:tcPr>
                <w:p w14:paraId="71AA7D7A">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产生浓度</w:t>
                  </w:r>
                </w:p>
                <w:p w14:paraId="594944FA">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mg/m</w:t>
                  </w:r>
                  <w:r>
                    <w:rPr>
                      <w:rFonts w:hint="default" w:ascii="Times New Roman" w:hAnsi="Times New Roman" w:eastAsia="仿宋" w:cs="Times New Roman"/>
                      <w:b/>
                      <w:bCs/>
                      <w:color w:val="auto"/>
                      <w:sz w:val="21"/>
                      <w:szCs w:val="21"/>
                      <w:highlight w:val="none"/>
                      <w:vertAlign w:val="superscript"/>
                      <w:lang w:val="en-US" w:eastAsia="zh-CN"/>
                    </w:rPr>
                    <w:t>3</w:t>
                  </w:r>
                  <w:r>
                    <w:rPr>
                      <w:rFonts w:hint="eastAsia" w:ascii="Times New Roman" w:hAnsi="Times New Roman" w:eastAsia="仿宋" w:cs="Times New Roman"/>
                      <w:b/>
                      <w:bCs/>
                      <w:color w:val="auto"/>
                      <w:sz w:val="21"/>
                      <w:szCs w:val="21"/>
                      <w:highlight w:val="none"/>
                      <w:lang w:val="en-US" w:eastAsia="zh-CN"/>
                    </w:rPr>
                    <w:t>)</w:t>
                  </w:r>
                </w:p>
              </w:tc>
              <w:tc>
                <w:tcPr>
                  <w:tcW w:w="961" w:type="pct"/>
                  <w:tcBorders>
                    <w:tl2br w:val="nil"/>
                    <w:tr2bl w:val="nil"/>
                  </w:tcBorders>
                  <w:noWrap w:val="0"/>
                  <w:vAlign w:val="center"/>
                </w:tcPr>
                <w:p w14:paraId="3701FCF3">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eastAsia"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治理措施</w:t>
                  </w:r>
                </w:p>
              </w:tc>
              <w:tc>
                <w:tcPr>
                  <w:tcW w:w="426" w:type="pct"/>
                  <w:tcBorders>
                    <w:tl2br w:val="nil"/>
                    <w:tr2bl w:val="nil"/>
                  </w:tcBorders>
                  <w:noWrap w:val="0"/>
                  <w:vAlign w:val="center"/>
                </w:tcPr>
                <w:p w14:paraId="0DEB5090">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末端治理效率</w:t>
                  </w:r>
                </w:p>
              </w:tc>
              <w:tc>
                <w:tcPr>
                  <w:tcW w:w="438" w:type="pct"/>
                  <w:tcBorders>
                    <w:tl2br w:val="nil"/>
                    <w:tr2bl w:val="nil"/>
                  </w:tcBorders>
                  <w:noWrap w:val="0"/>
                  <w:vAlign w:val="center"/>
                </w:tcPr>
                <w:p w14:paraId="026D0E74">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排放</w:t>
                  </w:r>
                  <w:r>
                    <w:rPr>
                      <w:rFonts w:hint="default" w:ascii="Times New Roman" w:hAnsi="Times New Roman" w:eastAsia="仿宋" w:cs="Times New Roman"/>
                      <w:b/>
                      <w:bCs/>
                      <w:color w:val="auto"/>
                      <w:sz w:val="21"/>
                      <w:szCs w:val="21"/>
                      <w:highlight w:val="none"/>
                      <w:lang w:val="en-US" w:eastAsia="zh-CN"/>
                    </w:rPr>
                    <w:t>量</w:t>
                  </w:r>
                </w:p>
                <w:p w14:paraId="5AC822EB">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t/a</w:t>
                  </w:r>
                  <w:r>
                    <w:rPr>
                      <w:rFonts w:hint="eastAsia" w:ascii="Times New Roman" w:hAnsi="Times New Roman" w:eastAsia="仿宋" w:cs="Times New Roman"/>
                      <w:b/>
                      <w:bCs/>
                      <w:color w:val="auto"/>
                      <w:sz w:val="21"/>
                      <w:szCs w:val="21"/>
                      <w:highlight w:val="none"/>
                      <w:lang w:val="en-US" w:eastAsia="zh-CN"/>
                    </w:rPr>
                    <w:t>)</w:t>
                  </w:r>
                </w:p>
              </w:tc>
              <w:tc>
                <w:tcPr>
                  <w:tcW w:w="494" w:type="pct"/>
                  <w:tcBorders>
                    <w:tl2br w:val="nil"/>
                    <w:tr2bl w:val="nil"/>
                  </w:tcBorders>
                  <w:noWrap w:val="0"/>
                  <w:vAlign w:val="center"/>
                </w:tcPr>
                <w:p w14:paraId="020669EE">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eastAsia"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排放</w:t>
                  </w:r>
                </w:p>
                <w:p w14:paraId="7C841642">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速率</w:t>
                  </w:r>
                </w:p>
                <w:p w14:paraId="39BEAB99">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kg/h</w:t>
                  </w:r>
                  <w:r>
                    <w:rPr>
                      <w:rFonts w:hint="eastAsia" w:ascii="Times New Roman" w:hAnsi="Times New Roman" w:eastAsia="仿宋" w:cs="Times New Roman"/>
                      <w:b/>
                      <w:bCs/>
                      <w:color w:val="auto"/>
                      <w:sz w:val="21"/>
                      <w:szCs w:val="21"/>
                      <w:highlight w:val="none"/>
                      <w:lang w:val="en-US" w:eastAsia="zh-CN"/>
                    </w:rPr>
                    <w:t>)</w:t>
                  </w:r>
                </w:p>
              </w:tc>
              <w:tc>
                <w:tcPr>
                  <w:tcW w:w="579" w:type="pct"/>
                  <w:tcBorders>
                    <w:tl2br w:val="nil"/>
                    <w:tr2bl w:val="nil"/>
                  </w:tcBorders>
                  <w:noWrap w:val="0"/>
                  <w:vAlign w:val="center"/>
                </w:tcPr>
                <w:p w14:paraId="5E982D2D">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排放</w:t>
                  </w:r>
                  <w:r>
                    <w:rPr>
                      <w:rFonts w:hint="default" w:ascii="Times New Roman" w:hAnsi="Times New Roman" w:eastAsia="仿宋" w:cs="Times New Roman"/>
                      <w:b/>
                      <w:bCs/>
                      <w:color w:val="auto"/>
                      <w:sz w:val="21"/>
                      <w:szCs w:val="21"/>
                      <w:highlight w:val="none"/>
                      <w:lang w:val="en-US" w:eastAsia="zh-CN"/>
                    </w:rPr>
                    <w:t>浓度</w:t>
                  </w:r>
                </w:p>
                <w:p w14:paraId="356D6927">
                  <w:pPr>
                    <w:keepNext w:val="0"/>
                    <w:keepLines w:val="0"/>
                    <w:pageBreakBefore w:val="0"/>
                    <w:widowControl w:val="0"/>
                    <w:kinsoku/>
                    <w:wordWrap/>
                    <w:overflowPunct/>
                    <w:topLinePunct w:val="0"/>
                    <w:autoSpaceDE/>
                    <w:autoSpaceDN/>
                    <w:bidi w:val="0"/>
                    <w:adjustRightInd/>
                    <w:snapToGrid/>
                    <w:spacing w:beforeAutospacing="0" w:afterAutospacing="0" w:line="312" w:lineRule="exact"/>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mg/m</w:t>
                  </w:r>
                  <w:r>
                    <w:rPr>
                      <w:rFonts w:hint="default" w:ascii="Times New Roman" w:hAnsi="Times New Roman" w:eastAsia="仿宋" w:cs="Times New Roman"/>
                      <w:b/>
                      <w:bCs/>
                      <w:color w:val="auto"/>
                      <w:sz w:val="21"/>
                      <w:szCs w:val="21"/>
                      <w:highlight w:val="none"/>
                      <w:vertAlign w:val="superscript"/>
                      <w:lang w:val="en-US" w:eastAsia="zh-CN"/>
                    </w:rPr>
                    <w:t>3</w:t>
                  </w:r>
                  <w:r>
                    <w:rPr>
                      <w:rFonts w:hint="eastAsia" w:ascii="Times New Roman" w:hAnsi="Times New Roman" w:eastAsia="仿宋" w:cs="Times New Roman"/>
                      <w:b/>
                      <w:bCs/>
                      <w:color w:val="auto"/>
                      <w:sz w:val="21"/>
                      <w:szCs w:val="21"/>
                      <w:highlight w:val="none"/>
                      <w:lang w:val="en-US" w:eastAsia="zh-CN"/>
                    </w:rPr>
                    <w:t>)</w:t>
                  </w:r>
                </w:p>
              </w:tc>
            </w:tr>
            <w:tr w14:paraId="6A0E50C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6" w:hRule="atLeast"/>
                <w:jc w:val="center"/>
              </w:trPr>
              <w:tc>
                <w:tcPr>
                  <w:tcW w:w="254" w:type="pct"/>
                  <w:tcBorders>
                    <w:tl2br w:val="nil"/>
                    <w:tr2bl w:val="nil"/>
                  </w:tcBorders>
                  <w:noWrap w:val="0"/>
                  <w:vAlign w:val="center"/>
                </w:tcPr>
                <w:p w14:paraId="50EC9A12">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default" w:eastAsia="仿宋" w:cs="Times New Roman"/>
                      <w:color w:val="auto"/>
                      <w:sz w:val="21"/>
                      <w:szCs w:val="21"/>
                      <w:highlight w:val="none"/>
                      <w:lang w:val="en-US" w:eastAsia="zh-CN"/>
                    </w:rPr>
                    <w:t>油烟</w:t>
                  </w:r>
                </w:p>
              </w:tc>
              <w:tc>
                <w:tcPr>
                  <w:tcW w:w="331" w:type="pct"/>
                  <w:tcBorders>
                    <w:tl2br w:val="nil"/>
                    <w:tr2bl w:val="nil"/>
                  </w:tcBorders>
                  <w:noWrap w:val="0"/>
                  <w:vAlign w:val="center"/>
                </w:tcPr>
                <w:p w14:paraId="52908B4D">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default" w:eastAsia="仿宋" w:cs="Times New Roman"/>
                      <w:color w:val="auto"/>
                      <w:sz w:val="21"/>
                      <w:szCs w:val="21"/>
                      <w:highlight w:val="none"/>
                      <w:lang w:val="en-US" w:eastAsia="zh-CN"/>
                    </w:rPr>
                    <w:t>有组织</w:t>
                  </w:r>
                </w:p>
              </w:tc>
              <w:tc>
                <w:tcPr>
                  <w:tcW w:w="446" w:type="pct"/>
                  <w:tcBorders>
                    <w:tl2br w:val="nil"/>
                    <w:tr2bl w:val="nil"/>
                  </w:tcBorders>
                  <w:noWrap w:val="0"/>
                  <w:vAlign w:val="center"/>
                </w:tcPr>
                <w:p w14:paraId="2C7A3F35">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0.198</w:t>
                  </w:r>
                </w:p>
              </w:tc>
              <w:tc>
                <w:tcPr>
                  <w:tcW w:w="472" w:type="pct"/>
                  <w:tcBorders>
                    <w:tl2br w:val="nil"/>
                    <w:tr2bl w:val="nil"/>
                  </w:tcBorders>
                  <w:noWrap w:val="0"/>
                  <w:vAlign w:val="center"/>
                </w:tcPr>
                <w:p w14:paraId="71F9031C">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0.09</w:t>
                  </w:r>
                </w:p>
              </w:tc>
              <w:tc>
                <w:tcPr>
                  <w:tcW w:w="595" w:type="pct"/>
                  <w:tcBorders>
                    <w:tl2br w:val="nil"/>
                    <w:tr2bl w:val="nil"/>
                  </w:tcBorders>
                  <w:noWrap w:val="0"/>
                  <w:vAlign w:val="center"/>
                </w:tcPr>
                <w:p w14:paraId="36F42617">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2.13</w:t>
                  </w:r>
                </w:p>
              </w:tc>
              <w:tc>
                <w:tcPr>
                  <w:tcW w:w="961" w:type="pct"/>
                  <w:tcBorders>
                    <w:tl2br w:val="nil"/>
                    <w:tr2bl w:val="nil"/>
                  </w:tcBorders>
                  <w:noWrap w:val="0"/>
                  <w:vAlign w:val="center"/>
                </w:tcPr>
                <w:p w14:paraId="58CA1E47">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通过1套大型油烟机处理</w:t>
                  </w:r>
                </w:p>
              </w:tc>
              <w:tc>
                <w:tcPr>
                  <w:tcW w:w="426" w:type="pct"/>
                  <w:tcBorders>
                    <w:tl2br w:val="nil"/>
                    <w:tr2bl w:val="nil"/>
                  </w:tcBorders>
                  <w:noWrap w:val="0"/>
                  <w:vAlign w:val="center"/>
                </w:tcPr>
                <w:p w14:paraId="4B3F84F2">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85%</w:t>
                  </w:r>
                </w:p>
              </w:tc>
              <w:tc>
                <w:tcPr>
                  <w:tcW w:w="438" w:type="pct"/>
                  <w:tcBorders>
                    <w:tl2br w:val="nil"/>
                    <w:tr2bl w:val="nil"/>
                  </w:tcBorders>
                  <w:noWrap w:val="0"/>
                  <w:vAlign w:val="center"/>
                </w:tcPr>
                <w:p w14:paraId="72AFC694">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0.0297</w:t>
                  </w:r>
                </w:p>
              </w:tc>
              <w:tc>
                <w:tcPr>
                  <w:tcW w:w="494" w:type="pct"/>
                  <w:tcBorders>
                    <w:tl2br w:val="nil"/>
                    <w:tr2bl w:val="nil"/>
                  </w:tcBorders>
                  <w:noWrap w:val="0"/>
                  <w:vAlign w:val="center"/>
                </w:tcPr>
                <w:p w14:paraId="0C921D6C">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0.0136</w:t>
                  </w:r>
                </w:p>
              </w:tc>
              <w:tc>
                <w:tcPr>
                  <w:tcW w:w="579" w:type="pct"/>
                  <w:tcBorders>
                    <w:tl2br w:val="nil"/>
                    <w:tr2bl w:val="nil"/>
                  </w:tcBorders>
                  <w:noWrap w:val="0"/>
                  <w:vAlign w:val="center"/>
                </w:tcPr>
                <w:p w14:paraId="63D550CE">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0.645</w:t>
                  </w:r>
                </w:p>
              </w:tc>
            </w:tr>
          </w:tbl>
          <w:p w14:paraId="78F8F17C">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（3）食堂燃天然气废气</w:t>
            </w:r>
          </w:p>
          <w:p w14:paraId="6E6304D3">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扩建项目不新增锅炉，因此本项目天然气废气仅用于食堂。参考原有项目食堂消耗天然气用量，本项目天然气消耗量约0.625万m</w:t>
            </w:r>
            <w:r>
              <w:rPr>
                <w:rFonts w:hint="eastAsia" w:eastAsia="仿宋" w:cs="Times New Roman"/>
                <w:color w:val="auto"/>
                <w:kern w:val="0"/>
                <w:sz w:val="24"/>
                <w:szCs w:val="24"/>
                <w:highlight w:val="none"/>
                <w:vertAlign w:val="superscript"/>
                <w:lang w:val="en-US" w:eastAsia="zh-CN"/>
              </w:rPr>
              <w:t>3</w:t>
            </w:r>
            <w:r>
              <w:rPr>
                <w:rFonts w:hint="eastAsia" w:eastAsia="仿宋" w:cs="Times New Roman"/>
                <w:color w:val="auto"/>
                <w:kern w:val="0"/>
                <w:sz w:val="24"/>
                <w:szCs w:val="24"/>
                <w:highlight w:val="none"/>
                <w:lang w:val="en-US" w:eastAsia="zh-CN"/>
              </w:rPr>
              <w:t>/a。本项目食堂天然气废气量较少，通过无组织排放。</w:t>
            </w:r>
          </w:p>
          <w:p w14:paraId="5B5D09F8">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燃气污染物排放量计算参考《环境保护使用数据手册》</w:t>
            </w:r>
            <w:r>
              <w:rPr>
                <w:rFonts w:hint="eastAsia" w:eastAsia="仿宋" w:cs="Times New Roman"/>
                <w:color w:val="auto"/>
                <w:kern w:val="2"/>
                <w:sz w:val="24"/>
                <w:szCs w:val="24"/>
                <w:highlight w:val="none"/>
                <w:lang w:val="en-US" w:eastAsia="zh-CN" w:bidi="ar-SA"/>
              </w:rPr>
              <w:t>（</w:t>
            </w:r>
            <w:r>
              <w:rPr>
                <w:rFonts w:hint="eastAsia" w:ascii="Times New Roman" w:hAnsi="Times New Roman" w:eastAsia="仿宋" w:cs="Times New Roman"/>
                <w:color w:val="auto"/>
                <w:kern w:val="2"/>
                <w:sz w:val="24"/>
                <w:szCs w:val="24"/>
                <w:highlight w:val="none"/>
                <w:lang w:val="en-US" w:eastAsia="zh-CN" w:bidi="ar-SA"/>
              </w:rPr>
              <w:t>胡名操，机械工业出版社，1994</w:t>
            </w:r>
            <w:r>
              <w:rPr>
                <w:rFonts w:hint="eastAsia" w:eastAsia="仿宋" w:cs="Times New Roman"/>
                <w:color w:val="auto"/>
                <w:kern w:val="2"/>
                <w:sz w:val="24"/>
                <w:szCs w:val="24"/>
                <w:highlight w:val="none"/>
                <w:lang w:val="en-US" w:eastAsia="zh-CN" w:bidi="ar-SA"/>
              </w:rPr>
              <w:t>）</w:t>
            </w:r>
            <w:r>
              <w:rPr>
                <w:rFonts w:hint="eastAsia" w:ascii="Times New Roman" w:hAnsi="Times New Roman" w:eastAsia="仿宋" w:cs="Times New Roman"/>
                <w:color w:val="auto"/>
                <w:kern w:val="2"/>
                <w:sz w:val="24"/>
                <w:szCs w:val="24"/>
                <w:highlight w:val="none"/>
                <w:lang w:val="en-US" w:eastAsia="zh-CN" w:bidi="ar-SA"/>
              </w:rPr>
              <w:t>并结合《第一次全国污染源普查工业污染源产排污系数手册》，燃烧1万m</w:t>
            </w:r>
            <w:r>
              <w:rPr>
                <w:rFonts w:hint="eastAsia" w:ascii="Times New Roman" w:hAnsi="Times New Roman" w:eastAsia="仿宋" w:cs="Times New Roman"/>
                <w:color w:val="auto"/>
                <w:kern w:val="2"/>
                <w:sz w:val="24"/>
                <w:szCs w:val="24"/>
                <w:highlight w:val="none"/>
                <w:vertAlign w:val="superscript"/>
                <w:lang w:val="en-US" w:eastAsia="zh-CN" w:bidi="ar-SA"/>
              </w:rPr>
              <w:t>3</w:t>
            </w:r>
            <w:r>
              <w:rPr>
                <w:rFonts w:hint="eastAsia" w:ascii="Times New Roman" w:hAnsi="Times New Roman" w:eastAsia="仿宋" w:cs="Times New Roman"/>
                <w:color w:val="auto"/>
                <w:kern w:val="2"/>
                <w:sz w:val="24"/>
                <w:szCs w:val="24"/>
                <w:highlight w:val="none"/>
                <w:lang w:val="en-US" w:eastAsia="zh-CN" w:bidi="ar-SA"/>
              </w:rPr>
              <w:t>天然气，烟尘、SO</w:t>
            </w:r>
            <w:r>
              <w:rPr>
                <w:rFonts w:hint="eastAsia" w:ascii="Times New Roman" w:hAnsi="Times New Roman" w:eastAsia="仿宋" w:cs="Times New Roman"/>
                <w:color w:val="auto"/>
                <w:kern w:val="2"/>
                <w:sz w:val="24"/>
                <w:szCs w:val="24"/>
                <w:highlight w:val="none"/>
                <w:vertAlign w:val="subscript"/>
                <w:lang w:val="en-US" w:eastAsia="zh-CN" w:bidi="ar-SA"/>
              </w:rPr>
              <w:t>2</w:t>
            </w:r>
            <w:r>
              <w:rPr>
                <w:rFonts w:hint="eastAsia" w:ascii="Times New Roman" w:hAnsi="Times New Roman" w:eastAsia="仿宋" w:cs="Times New Roman"/>
                <w:color w:val="auto"/>
                <w:kern w:val="2"/>
                <w:sz w:val="24"/>
                <w:szCs w:val="24"/>
                <w:highlight w:val="none"/>
                <w:lang w:val="en-US" w:eastAsia="zh-CN" w:bidi="ar-SA"/>
              </w:rPr>
              <w:t>、</w:t>
            </w:r>
            <w:r>
              <w:rPr>
                <w:rFonts w:hint="eastAsia" w:eastAsia="仿宋" w:cs="Times New Roman"/>
                <w:color w:val="auto"/>
                <w:kern w:val="2"/>
                <w:sz w:val="24"/>
                <w:szCs w:val="24"/>
                <w:highlight w:val="none"/>
                <w:lang w:val="en-US" w:eastAsia="zh-CN" w:bidi="ar-SA"/>
              </w:rPr>
              <w:t>NO</w:t>
            </w:r>
            <w:r>
              <w:rPr>
                <w:rFonts w:hint="eastAsia" w:eastAsia="仿宋" w:cs="Times New Roman"/>
                <w:color w:val="auto"/>
                <w:kern w:val="2"/>
                <w:sz w:val="24"/>
                <w:szCs w:val="24"/>
                <w:highlight w:val="none"/>
                <w:vertAlign w:val="subscript"/>
                <w:lang w:val="en-US" w:eastAsia="zh-CN" w:bidi="ar-SA"/>
              </w:rPr>
              <w:t>x</w:t>
            </w:r>
            <w:r>
              <w:rPr>
                <w:rFonts w:hint="eastAsia" w:eastAsia="仿宋" w:cs="Times New Roman"/>
                <w:color w:val="auto"/>
                <w:kern w:val="2"/>
                <w:sz w:val="24"/>
                <w:szCs w:val="24"/>
                <w:highlight w:val="none"/>
                <w:lang w:val="en-US" w:eastAsia="zh-CN" w:bidi="ar-SA"/>
              </w:rPr>
              <w:t>的产生量分别为2.4kg、1.0kg、18.71kg。故本项目燃天然气废气污染物产生量见表4-4，全院天然气废气产排情况见表4-5。</w:t>
            </w:r>
          </w:p>
          <w:p w14:paraId="6E0A2D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0"/>
                <w:sz w:val="22"/>
                <w:szCs w:val="22"/>
                <w:highlight w:val="none"/>
                <w:lang w:val="en-US" w:eastAsia="zh-CN" w:bidi="ar-SA"/>
              </w:rPr>
            </w:pPr>
            <w:r>
              <w:rPr>
                <w:rFonts w:hint="eastAsia" w:ascii="Times New Roman" w:hAnsi="Times New Roman" w:eastAsia="仿宋" w:cs="Times New Roman"/>
                <w:b/>
                <w:bCs/>
                <w:color w:val="auto"/>
                <w:kern w:val="0"/>
                <w:sz w:val="22"/>
                <w:szCs w:val="22"/>
                <w:highlight w:val="none"/>
                <w:lang w:val="en-US" w:eastAsia="zh-CN" w:bidi="ar-SA"/>
              </w:rPr>
              <w:t>表4-4  扩建工程项目燃天然气废气</w:t>
            </w:r>
            <w:r>
              <w:rPr>
                <w:rFonts w:hint="default" w:ascii="Times New Roman" w:hAnsi="Times New Roman" w:eastAsia="仿宋" w:cs="Times New Roman"/>
                <w:b/>
                <w:bCs/>
                <w:color w:val="auto"/>
                <w:kern w:val="0"/>
                <w:sz w:val="22"/>
                <w:szCs w:val="22"/>
                <w:highlight w:val="none"/>
                <w:lang w:val="en-US" w:eastAsia="zh-CN" w:bidi="ar-SA"/>
              </w:rPr>
              <w:t>产排情况</w:t>
            </w:r>
            <w:r>
              <w:rPr>
                <w:rFonts w:hint="eastAsia" w:ascii="Times New Roman" w:hAnsi="Times New Roman" w:eastAsia="仿宋" w:cs="Times New Roman"/>
                <w:b/>
                <w:bCs/>
                <w:color w:val="auto"/>
                <w:kern w:val="0"/>
                <w:sz w:val="22"/>
                <w:szCs w:val="22"/>
                <w:highlight w:val="none"/>
                <w:lang w:val="en-US" w:eastAsia="zh-CN" w:bidi="ar-SA"/>
              </w:rPr>
              <w:t>一览</w:t>
            </w:r>
            <w:r>
              <w:rPr>
                <w:rFonts w:hint="default" w:ascii="Times New Roman" w:hAnsi="Times New Roman" w:eastAsia="仿宋" w:cs="Times New Roman"/>
                <w:b/>
                <w:bCs/>
                <w:color w:val="auto"/>
                <w:kern w:val="0"/>
                <w:sz w:val="22"/>
                <w:szCs w:val="22"/>
                <w:highlight w:val="none"/>
                <w:lang w:val="en-US" w:eastAsia="zh-CN" w:bidi="ar-SA"/>
              </w:rPr>
              <w:t>表</w:t>
            </w:r>
          </w:p>
          <w:tbl>
            <w:tblPr>
              <w:tblStyle w:val="31"/>
              <w:tblW w:w="499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04"/>
              <w:gridCol w:w="419"/>
              <w:gridCol w:w="988"/>
              <w:gridCol w:w="1233"/>
              <w:gridCol w:w="1201"/>
              <w:gridCol w:w="1201"/>
              <w:gridCol w:w="1346"/>
              <w:gridCol w:w="1531"/>
            </w:tblGrid>
            <w:tr w14:paraId="70A947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06" w:hRule="atLeast"/>
                <w:jc w:val="center"/>
              </w:trPr>
              <w:tc>
                <w:tcPr>
                  <w:tcW w:w="494" w:type="pct"/>
                  <w:gridSpan w:val="2"/>
                  <w:tcBorders>
                    <w:tl2br w:val="nil"/>
                    <w:tr2bl w:val="nil"/>
                  </w:tcBorders>
                  <w:noWrap w:val="0"/>
                  <w:vAlign w:val="center"/>
                </w:tcPr>
                <w:p w14:paraId="7C8E928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废气源</w:t>
                  </w:r>
                </w:p>
              </w:tc>
              <w:tc>
                <w:tcPr>
                  <w:tcW w:w="593" w:type="pct"/>
                  <w:tcBorders>
                    <w:tl2br w:val="nil"/>
                    <w:tr2bl w:val="nil"/>
                  </w:tcBorders>
                  <w:noWrap w:val="0"/>
                  <w:vAlign w:val="center"/>
                </w:tcPr>
                <w:p w14:paraId="1ADFCCD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污染物名称</w:t>
                  </w:r>
                </w:p>
              </w:tc>
              <w:tc>
                <w:tcPr>
                  <w:tcW w:w="740" w:type="pct"/>
                  <w:tcBorders>
                    <w:tl2br w:val="nil"/>
                    <w:tr2bl w:val="nil"/>
                  </w:tcBorders>
                  <w:noWrap w:val="0"/>
                  <w:vAlign w:val="center"/>
                </w:tcPr>
                <w:p w14:paraId="51AD291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产生量</w:t>
                  </w:r>
                </w:p>
                <w:p w14:paraId="5A5E28A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t/a</w:t>
                  </w:r>
                  <w:r>
                    <w:rPr>
                      <w:rFonts w:hint="eastAsia" w:ascii="Times New Roman" w:hAnsi="Times New Roman" w:eastAsia="仿宋" w:cs="Times New Roman"/>
                      <w:b/>
                      <w:bCs/>
                      <w:color w:val="auto"/>
                      <w:sz w:val="21"/>
                      <w:szCs w:val="21"/>
                      <w:highlight w:val="none"/>
                      <w:lang w:val="en-US" w:eastAsia="zh-CN"/>
                    </w:rPr>
                    <w:t>)</w:t>
                  </w:r>
                </w:p>
              </w:tc>
              <w:tc>
                <w:tcPr>
                  <w:tcW w:w="721" w:type="pct"/>
                  <w:tcBorders>
                    <w:tl2br w:val="nil"/>
                    <w:tr2bl w:val="nil"/>
                  </w:tcBorders>
                  <w:noWrap w:val="0"/>
                  <w:vAlign w:val="center"/>
                </w:tcPr>
                <w:p w14:paraId="214042C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产生速率</w:t>
                  </w: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kg/h</w:t>
                  </w:r>
                  <w:r>
                    <w:rPr>
                      <w:rFonts w:hint="eastAsia" w:ascii="Times New Roman" w:hAnsi="Times New Roman" w:eastAsia="仿宋" w:cs="Times New Roman"/>
                      <w:b/>
                      <w:bCs/>
                      <w:color w:val="auto"/>
                      <w:sz w:val="21"/>
                      <w:szCs w:val="21"/>
                      <w:highlight w:val="none"/>
                      <w:lang w:val="en-US" w:eastAsia="zh-CN"/>
                    </w:rPr>
                    <w:t>)</w:t>
                  </w:r>
                </w:p>
              </w:tc>
              <w:tc>
                <w:tcPr>
                  <w:tcW w:w="721" w:type="pct"/>
                  <w:tcBorders>
                    <w:tl2br w:val="nil"/>
                    <w:tr2bl w:val="nil"/>
                  </w:tcBorders>
                  <w:noWrap w:val="0"/>
                  <w:vAlign w:val="center"/>
                </w:tcPr>
                <w:p w14:paraId="74CD2D6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治理措施</w:t>
                  </w:r>
                </w:p>
              </w:tc>
              <w:tc>
                <w:tcPr>
                  <w:tcW w:w="808" w:type="pct"/>
                  <w:tcBorders>
                    <w:tl2br w:val="nil"/>
                    <w:tr2bl w:val="nil"/>
                  </w:tcBorders>
                  <w:noWrap w:val="0"/>
                  <w:vAlign w:val="center"/>
                </w:tcPr>
                <w:p w14:paraId="4B7DDE7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排放</w:t>
                  </w:r>
                  <w:r>
                    <w:rPr>
                      <w:rFonts w:hint="default" w:ascii="Times New Roman" w:hAnsi="Times New Roman" w:eastAsia="仿宋" w:cs="Times New Roman"/>
                      <w:b/>
                      <w:bCs/>
                      <w:color w:val="auto"/>
                      <w:sz w:val="21"/>
                      <w:szCs w:val="21"/>
                      <w:highlight w:val="none"/>
                      <w:lang w:val="en-US" w:eastAsia="zh-CN"/>
                    </w:rPr>
                    <w:t>量</w:t>
                  </w:r>
                </w:p>
                <w:p w14:paraId="0C56B09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t/a</w:t>
                  </w:r>
                  <w:r>
                    <w:rPr>
                      <w:rFonts w:hint="eastAsia" w:ascii="Times New Roman" w:hAnsi="Times New Roman" w:eastAsia="仿宋" w:cs="Times New Roman"/>
                      <w:b/>
                      <w:bCs/>
                      <w:color w:val="auto"/>
                      <w:sz w:val="21"/>
                      <w:szCs w:val="21"/>
                      <w:highlight w:val="none"/>
                      <w:lang w:val="en-US" w:eastAsia="zh-CN"/>
                    </w:rPr>
                    <w:t>)</w:t>
                  </w:r>
                </w:p>
              </w:tc>
              <w:tc>
                <w:tcPr>
                  <w:tcW w:w="919" w:type="pct"/>
                  <w:tcBorders>
                    <w:tl2br w:val="nil"/>
                    <w:tr2bl w:val="nil"/>
                  </w:tcBorders>
                  <w:noWrap w:val="0"/>
                  <w:vAlign w:val="center"/>
                </w:tcPr>
                <w:p w14:paraId="06A96E1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排放</w:t>
                  </w:r>
                  <w:r>
                    <w:rPr>
                      <w:rFonts w:hint="default" w:ascii="Times New Roman" w:hAnsi="Times New Roman" w:eastAsia="仿宋" w:cs="Times New Roman"/>
                      <w:b/>
                      <w:bCs/>
                      <w:color w:val="auto"/>
                      <w:sz w:val="21"/>
                      <w:szCs w:val="21"/>
                      <w:highlight w:val="none"/>
                      <w:lang w:val="en-US" w:eastAsia="zh-CN"/>
                    </w:rPr>
                    <w:t>速率</w:t>
                  </w:r>
                </w:p>
                <w:p w14:paraId="68BF056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kg/h</w:t>
                  </w:r>
                  <w:r>
                    <w:rPr>
                      <w:rFonts w:hint="eastAsia" w:ascii="Times New Roman" w:hAnsi="Times New Roman" w:eastAsia="仿宋" w:cs="Times New Roman"/>
                      <w:b/>
                      <w:bCs/>
                      <w:color w:val="auto"/>
                      <w:sz w:val="21"/>
                      <w:szCs w:val="21"/>
                      <w:highlight w:val="none"/>
                      <w:lang w:val="en-US" w:eastAsia="zh-CN"/>
                    </w:rPr>
                    <w:t>)</w:t>
                  </w:r>
                </w:p>
              </w:tc>
            </w:tr>
            <w:tr w14:paraId="26931D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6" w:hRule="atLeast"/>
                <w:jc w:val="center"/>
              </w:trPr>
              <w:tc>
                <w:tcPr>
                  <w:tcW w:w="242" w:type="pct"/>
                  <w:vMerge w:val="restart"/>
                  <w:tcBorders>
                    <w:tl2br w:val="nil"/>
                    <w:tr2bl w:val="nil"/>
                  </w:tcBorders>
                  <w:noWrap w:val="0"/>
                  <w:vAlign w:val="center"/>
                </w:tcPr>
                <w:p w14:paraId="5262BBF4">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食堂燃气</w:t>
                  </w:r>
                </w:p>
              </w:tc>
              <w:tc>
                <w:tcPr>
                  <w:tcW w:w="251" w:type="pct"/>
                  <w:vMerge w:val="restart"/>
                  <w:tcBorders>
                    <w:tl2br w:val="nil"/>
                    <w:tr2bl w:val="nil"/>
                  </w:tcBorders>
                  <w:noWrap w:val="0"/>
                  <w:vAlign w:val="center"/>
                </w:tcPr>
                <w:p w14:paraId="2C75CA03">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无</w:t>
                  </w:r>
                  <w:r>
                    <w:rPr>
                      <w:rFonts w:hint="default" w:eastAsia="仿宋" w:cs="Times New Roman"/>
                      <w:color w:val="auto"/>
                      <w:sz w:val="21"/>
                      <w:szCs w:val="21"/>
                      <w:highlight w:val="none"/>
                      <w:lang w:val="en-US" w:eastAsia="zh-CN"/>
                    </w:rPr>
                    <w:t>组织</w:t>
                  </w:r>
                </w:p>
              </w:tc>
              <w:tc>
                <w:tcPr>
                  <w:tcW w:w="593" w:type="pct"/>
                  <w:tcBorders>
                    <w:tl2br w:val="nil"/>
                    <w:tr2bl w:val="nil"/>
                  </w:tcBorders>
                  <w:noWrap w:val="0"/>
                  <w:vAlign w:val="center"/>
                </w:tcPr>
                <w:p w14:paraId="1A59F27E">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SO</w:t>
                  </w:r>
                  <w:r>
                    <w:rPr>
                      <w:rFonts w:hint="eastAsia" w:eastAsia="仿宋" w:cs="Times New Roman"/>
                      <w:color w:val="auto"/>
                      <w:sz w:val="21"/>
                      <w:szCs w:val="21"/>
                      <w:highlight w:val="none"/>
                      <w:vertAlign w:val="subscript"/>
                      <w:lang w:val="en-US" w:eastAsia="zh-CN"/>
                    </w:rPr>
                    <w:t>2</w:t>
                  </w:r>
                </w:p>
              </w:tc>
              <w:tc>
                <w:tcPr>
                  <w:tcW w:w="740" w:type="pct"/>
                  <w:tcBorders>
                    <w:tl2br w:val="nil"/>
                    <w:tr2bl w:val="nil"/>
                  </w:tcBorders>
                  <w:noWrap w:val="0"/>
                  <w:vAlign w:val="center"/>
                </w:tcPr>
                <w:p w14:paraId="72192A57">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0.000625</w:t>
                  </w:r>
                </w:p>
              </w:tc>
              <w:tc>
                <w:tcPr>
                  <w:tcW w:w="721" w:type="pct"/>
                  <w:tcBorders>
                    <w:tl2br w:val="nil"/>
                    <w:tr2bl w:val="nil"/>
                  </w:tcBorders>
                  <w:noWrap w:val="0"/>
                  <w:vAlign w:val="center"/>
                </w:tcPr>
                <w:p w14:paraId="6F1AB74D">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0.00007</w:t>
                  </w:r>
                </w:p>
              </w:tc>
              <w:tc>
                <w:tcPr>
                  <w:tcW w:w="721" w:type="pct"/>
                  <w:vMerge w:val="restart"/>
                  <w:tcBorders>
                    <w:tl2br w:val="nil"/>
                    <w:tr2bl w:val="nil"/>
                  </w:tcBorders>
                  <w:noWrap w:val="0"/>
                  <w:vAlign w:val="center"/>
                </w:tcPr>
                <w:p w14:paraId="12C86FDA">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无组织排放</w:t>
                  </w:r>
                </w:p>
              </w:tc>
              <w:tc>
                <w:tcPr>
                  <w:tcW w:w="808" w:type="pct"/>
                  <w:tcBorders>
                    <w:tl2br w:val="nil"/>
                    <w:tr2bl w:val="nil"/>
                  </w:tcBorders>
                  <w:noWrap w:val="0"/>
                  <w:vAlign w:val="center"/>
                </w:tcPr>
                <w:p w14:paraId="0E79002A">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0.000625</w:t>
                  </w:r>
                </w:p>
              </w:tc>
              <w:tc>
                <w:tcPr>
                  <w:tcW w:w="919" w:type="pct"/>
                  <w:tcBorders>
                    <w:tl2br w:val="nil"/>
                    <w:tr2bl w:val="nil"/>
                  </w:tcBorders>
                  <w:noWrap w:val="0"/>
                  <w:vAlign w:val="center"/>
                </w:tcPr>
                <w:p w14:paraId="2E2978A0">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0.00007</w:t>
                  </w:r>
                </w:p>
              </w:tc>
            </w:tr>
            <w:tr w14:paraId="6C210AA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6" w:hRule="atLeast"/>
                <w:jc w:val="center"/>
              </w:trPr>
              <w:tc>
                <w:tcPr>
                  <w:tcW w:w="242" w:type="pct"/>
                  <w:vMerge w:val="continue"/>
                  <w:tcBorders>
                    <w:tl2br w:val="nil"/>
                    <w:tr2bl w:val="nil"/>
                  </w:tcBorders>
                  <w:noWrap w:val="0"/>
                  <w:vAlign w:val="center"/>
                </w:tcPr>
                <w:p w14:paraId="10BDC527">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p>
              </w:tc>
              <w:tc>
                <w:tcPr>
                  <w:tcW w:w="251" w:type="pct"/>
                  <w:vMerge w:val="continue"/>
                  <w:tcBorders>
                    <w:tl2br w:val="nil"/>
                    <w:tr2bl w:val="nil"/>
                  </w:tcBorders>
                  <w:noWrap w:val="0"/>
                  <w:vAlign w:val="center"/>
                </w:tcPr>
                <w:p w14:paraId="22CAC4B4">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p>
              </w:tc>
              <w:tc>
                <w:tcPr>
                  <w:tcW w:w="593" w:type="pct"/>
                  <w:tcBorders>
                    <w:tl2br w:val="nil"/>
                    <w:tr2bl w:val="nil"/>
                  </w:tcBorders>
                  <w:noWrap w:val="0"/>
                  <w:vAlign w:val="center"/>
                </w:tcPr>
                <w:p w14:paraId="10A40E6F">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NO</w:t>
                  </w:r>
                  <w:r>
                    <w:rPr>
                      <w:rFonts w:hint="eastAsia" w:eastAsia="仿宋" w:cs="Times New Roman"/>
                      <w:color w:val="auto"/>
                      <w:sz w:val="21"/>
                      <w:szCs w:val="21"/>
                      <w:highlight w:val="none"/>
                      <w:vertAlign w:val="subscript"/>
                      <w:lang w:val="en-US" w:eastAsia="zh-CN"/>
                    </w:rPr>
                    <w:t>x</w:t>
                  </w:r>
                </w:p>
              </w:tc>
              <w:tc>
                <w:tcPr>
                  <w:tcW w:w="740" w:type="pct"/>
                  <w:tcBorders>
                    <w:tl2br w:val="nil"/>
                    <w:tr2bl w:val="nil"/>
                  </w:tcBorders>
                  <w:noWrap w:val="0"/>
                  <w:vAlign w:val="center"/>
                </w:tcPr>
                <w:p w14:paraId="0810F84C">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0.01169</w:t>
                  </w:r>
                </w:p>
              </w:tc>
              <w:tc>
                <w:tcPr>
                  <w:tcW w:w="721" w:type="pct"/>
                  <w:tcBorders>
                    <w:tl2br w:val="nil"/>
                    <w:tr2bl w:val="nil"/>
                  </w:tcBorders>
                  <w:noWrap w:val="0"/>
                  <w:vAlign w:val="center"/>
                </w:tcPr>
                <w:p w14:paraId="4C81BFEB">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0.0013</w:t>
                  </w:r>
                </w:p>
              </w:tc>
              <w:tc>
                <w:tcPr>
                  <w:tcW w:w="721" w:type="pct"/>
                  <w:vMerge w:val="continue"/>
                  <w:tcBorders>
                    <w:tl2br w:val="nil"/>
                    <w:tr2bl w:val="nil"/>
                  </w:tcBorders>
                  <w:noWrap w:val="0"/>
                  <w:vAlign w:val="center"/>
                </w:tcPr>
                <w:p w14:paraId="53DAC5A8">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p>
              </w:tc>
              <w:tc>
                <w:tcPr>
                  <w:tcW w:w="808" w:type="pct"/>
                  <w:tcBorders>
                    <w:tl2br w:val="nil"/>
                    <w:tr2bl w:val="nil"/>
                  </w:tcBorders>
                  <w:noWrap w:val="0"/>
                  <w:vAlign w:val="center"/>
                </w:tcPr>
                <w:p w14:paraId="16D28FE6">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0.01169</w:t>
                  </w:r>
                </w:p>
              </w:tc>
              <w:tc>
                <w:tcPr>
                  <w:tcW w:w="919" w:type="pct"/>
                  <w:tcBorders>
                    <w:tl2br w:val="nil"/>
                    <w:tr2bl w:val="nil"/>
                  </w:tcBorders>
                  <w:noWrap w:val="0"/>
                  <w:vAlign w:val="center"/>
                </w:tcPr>
                <w:p w14:paraId="096FA385">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0.0013</w:t>
                  </w:r>
                </w:p>
              </w:tc>
            </w:tr>
            <w:tr w14:paraId="603A88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6" w:hRule="atLeast"/>
                <w:jc w:val="center"/>
              </w:trPr>
              <w:tc>
                <w:tcPr>
                  <w:tcW w:w="242" w:type="pct"/>
                  <w:vMerge w:val="continue"/>
                  <w:tcBorders>
                    <w:tl2br w:val="nil"/>
                    <w:tr2bl w:val="nil"/>
                  </w:tcBorders>
                  <w:noWrap w:val="0"/>
                  <w:vAlign w:val="center"/>
                </w:tcPr>
                <w:p w14:paraId="67EAD191">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p>
              </w:tc>
              <w:tc>
                <w:tcPr>
                  <w:tcW w:w="251" w:type="pct"/>
                  <w:vMerge w:val="continue"/>
                  <w:tcBorders>
                    <w:tl2br w:val="nil"/>
                    <w:tr2bl w:val="nil"/>
                  </w:tcBorders>
                  <w:noWrap w:val="0"/>
                  <w:vAlign w:val="center"/>
                </w:tcPr>
                <w:p w14:paraId="79EC3764">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p>
              </w:tc>
              <w:tc>
                <w:tcPr>
                  <w:tcW w:w="593" w:type="pct"/>
                  <w:tcBorders>
                    <w:tl2br w:val="nil"/>
                    <w:tr2bl w:val="nil"/>
                  </w:tcBorders>
                  <w:noWrap w:val="0"/>
                  <w:vAlign w:val="center"/>
                </w:tcPr>
                <w:p w14:paraId="7BE25F9A">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烟尘</w:t>
                  </w:r>
                </w:p>
              </w:tc>
              <w:tc>
                <w:tcPr>
                  <w:tcW w:w="740" w:type="pct"/>
                  <w:tcBorders>
                    <w:tl2br w:val="nil"/>
                    <w:tr2bl w:val="nil"/>
                  </w:tcBorders>
                  <w:noWrap w:val="0"/>
                  <w:vAlign w:val="center"/>
                </w:tcPr>
                <w:p w14:paraId="64A852FA">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0.0015</w:t>
                  </w:r>
                </w:p>
              </w:tc>
              <w:tc>
                <w:tcPr>
                  <w:tcW w:w="721" w:type="pct"/>
                  <w:tcBorders>
                    <w:tl2br w:val="nil"/>
                    <w:tr2bl w:val="nil"/>
                  </w:tcBorders>
                  <w:noWrap w:val="0"/>
                  <w:vAlign w:val="center"/>
                </w:tcPr>
                <w:p w14:paraId="589E2F8D">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0.00017</w:t>
                  </w:r>
                </w:p>
              </w:tc>
              <w:tc>
                <w:tcPr>
                  <w:tcW w:w="721" w:type="pct"/>
                  <w:vMerge w:val="continue"/>
                  <w:tcBorders>
                    <w:tl2br w:val="nil"/>
                    <w:tr2bl w:val="nil"/>
                  </w:tcBorders>
                  <w:noWrap w:val="0"/>
                  <w:vAlign w:val="center"/>
                </w:tcPr>
                <w:p w14:paraId="3F08C028">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p>
              </w:tc>
              <w:tc>
                <w:tcPr>
                  <w:tcW w:w="808" w:type="pct"/>
                  <w:tcBorders>
                    <w:tl2br w:val="nil"/>
                    <w:tr2bl w:val="nil"/>
                  </w:tcBorders>
                  <w:noWrap w:val="0"/>
                  <w:vAlign w:val="center"/>
                </w:tcPr>
                <w:p w14:paraId="331C0AA8">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0.0015</w:t>
                  </w:r>
                </w:p>
              </w:tc>
              <w:tc>
                <w:tcPr>
                  <w:tcW w:w="919" w:type="pct"/>
                  <w:tcBorders>
                    <w:tl2br w:val="nil"/>
                    <w:tr2bl w:val="nil"/>
                  </w:tcBorders>
                  <w:noWrap w:val="0"/>
                  <w:vAlign w:val="center"/>
                </w:tcPr>
                <w:p w14:paraId="1826B9DE">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0.00017</w:t>
                  </w:r>
                </w:p>
              </w:tc>
            </w:tr>
          </w:tbl>
          <w:p w14:paraId="7AE764E5">
            <w:pPr>
              <w:pStyle w:val="38"/>
              <w:ind w:left="0" w:leftChars="0" w:firstLine="0" w:firstLineChars="0"/>
              <w:jc w:val="center"/>
              <w:rPr>
                <w:rFonts w:hint="eastAsia" w:ascii="Times New Roman" w:hAnsi="Times New Roman" w:eastAsia="仿宋" w:cs="Times New Roman"/>
                <w:b/>
                <w:bCs/>
                <w:color w:val="auto"/>
                <w:kern w:val="0"/>
                <w:sz w:val="22"/>
                <w:szCs w:val="22"/>
                <w:highlight w:val="none"/>
                <w:lang w:val="en-US" w:eastAsia="zh-CN" w:bidi="ar-SA"/>
              </w:rPr>
            </w:pPr>
            <w:r>
              <w:rPr>
                <w:rFonts w:hint="eastAsia" w:ascii="Times New Roman" w:hAnsi="Times New Roman" w:eastAsia="仿宋" w:cs="Times New Roman"/>
                <w:b/>
                <w:bCs/>
                <w:color w:val="auto"/>
                <w:kern w:val="0"/>
                <w:sz w:val="22"/>
                <w:szCs w:val="22"/>
                <w:highlight w:val="none"/>
                <w:lang w:val="en-US" w:eastAsia="zh-CN" w:bidi="ar-SA"/>
              </w:rPr>
              <w:t>表4-5  全院燃天然气废气</w:t>
            </w:r>
            <w:r>
              <w:rPr>
                <w:rFonts w:hint="default" w:ascii="Times New Roman" w:hAnsi="Times New Roman" w:eastAsia="仿宋" w:cs="Times New Roman"/>
                <w:b/>
                <w:bCs/>
                <w:color w:val="auto"/>
                <w:kern w:val="0"/>
                <w:sz w:val="22"/>
                <w:szCs w:val="22"/>
                <w:highlight w:val="none"/>
                <w:lang w:val="en-US" w:eastAsia="zh-CN" w:bidi="ar-SA"/>
              </w:rPr>
              <w:t>产排情况</w:t>
            </w:r>
            <w:r>
              <w:rPr>
                <w:rFonts w:hint="eastAsia" w:ascii="Times New Roman" w:hAnsi="Times New Roman" w:eastAsia="仿宋" w:cs="Times New Roman"/>
                <w:b/>
                <w:bCs/>
                <w:color w:val="auto"/>
                <w:kern w:val="0"/>
                <w:sz w:val="22"/>
                <w:szCs w:val="22"/>
                <w:highlight w:val="none"/>
                <w:lang w:val="en-US" w:eastAsia="zh-CN" w:bidi="ar-SA"/>
              </w:rPr>
              <w:t>一览</w:t>
            </w:r>
            <w:r>
              <w:rPr>
                <w:rFonts w:hint="default" w:ascii="Times New Roman" w:hAnsi="Times New Roman" w:eastAsia="仿宋" w:cs="Times New Roman"/>
                <w:b/>
                <w:bCs/>
                <w:color w:val="auto"/>
                <w:kern w:val="0"/>
                <w:sz w:val="22"/>
                <w:szCs w:val="22"/>
                <w:highlight w:val="none"/>
                <w:lang w:val="en-US" w:eastAsia="zh-CN" w:bidi="ar-SA"/>
              </w:rPr>
              <w:t>表</w:t>
            </w:r>
          </w:p>
          <w:tbl>
            <w:tblPr>
              <w:tblStyle w:val="31"/>
              <w:tblW w:w="499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60"/>
              <w:gridCol w:w="461"/>
              <w:gridCol w:w="636"/>
              <w:gridCol w:w="1086"/>
              <w:gridCol w:w="815"/>
              <w:gridCol w:w="1016"/>
              <w:gridCol w:w="1211"/>
              <w:gridCol w:w="806"/>
              <w:gridCol w:w="815"/>
              <w:gridCol w:w="1017"/>
            </w:tblGrid>
            <w:tr w14:paraId="517A03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06" w:hRule="atLeast"/>
                <w:jc w:val="center"/>
              </w:trPr>
              <w:tc>
                <w:tcPr>
                  <w:tcW w:w="553" w:type="pct"/>
                  <w:gridSpan w:val="2"/>
                  <w:tcBorders>
                    <w:tl2br w:val="nil"/>
                    <w:tr2bl w:val="nil"/>
                  </w:tcBorders>
                  <w:noWrap w:val="0"/>
                  <w:vAlign w:val="center"/>
                </w:tcPr>
                <w:p w14:paraId="02F583E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废气源</w:t>
                  </w:r>
                </w:p>
              </w:tc>
              <w:tc>
                <w:tcPr>
                  <w:tcW w:w="382" w:type="pct"/>
                  <w:tcBorders>
                    <w:tl2br w:val="nil"/>
                    <w:tr2bl w:val="nil"/>
                  </w:tcBorders>
                  <w:noWrap w:val="0"/>
                  <w:vAlign w:val="center"/>
                </w:tcPr>
                <w:p w14:paraId="46858F4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污染物名称</w:t>
                  </w:r>
                </w:p>
              </w:tc>
              <w:tc>
                <w:tcPr>
                  <w:tcW w:w="652" w:type="pct"/>
                  <w:tcBorders>
                    <w:tl2br w:val="nil"/>
                    <w:tr2bl w:val="nil"/>
                  </w:tcBorders>
                  <w:noWrap w:val="0"/>
                  <w:vAlign w:val="center"/>
                </w:tcPr>
                <w:p w14:paraId="1F73288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产生量</w:t>
                  </w:r>
                </w:p>
                <w:p w14:paraId="3BB9E0A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t/a</w:t>
                  </w:r>
                  <w:r>
                    <w:rPr>
                      <w:rFonts w:hint="eastAsia" w:ascii="Times New Roman" w:hAnsi="Times New Roman" w:eastAsia="仿宋" w:cs="Times New Roman"/>
                      <w:b/>
                      <w:bCs/>
                      <w:color w:val="auto"/>
                      <w:sz w:val="21"/>
                      <w:szCs w:val="21"/>
                      <w:highlight w:val="none"/>
                      <w:lang w:val="en-US" w:eastAsia="zh-CN"/>
                    </w:rPr>
                    <w:t>)</w:t>
                  </w:r>
                </w:p>
              </w:tc>
              <w:tc>
                <w:tcPr>
                  <w:tcW w:w="489" w:type="pct"/>
                  <w:tcBorders>
                    <w:tl2br w:val="nil"/>
                    <w:tr2bl w:val="nil"/>
                  </w:tcBorders>
                  <w:noWrap w:val="0"/>
                  <w:vAlign w:val="center"/>
                </w:tcPr>
                <w:p w14:paraId="4BB126B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产生速率</w:t>
                  </w:r>
                </w:p>
                <w:p w14:paraId="078EE21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kg/h</w:t>
                  </w:r>
                  <w:r>
                    <w:rPr>
                      <w:rFonts w:hint="eastAsia" w:ascii="Times New Roman" w:hAnsi="Times New Roman" w:eastAsia="仿宋" w:cs="Times New Roman"/>
                      <w:b/>
                      <w:bCs/>
                      <w:color w:val="auto"/>
                      <w:sz w:val="21"/>
                      <w:szCs w:val="21"/>
                      <w:highlight w:val="none"/>
                      <w:lang w:val="en-US" w:eastAsia="zh-CN"/>
                    </w:rPr>
                    <w:t>)</w:t>
                  </w:r>
                </w:p>
              </w:tc>
              <w:tc>
                <w:tcPr>
                  <w:tcW w:w="610" w:type="pct"/>
                  <w:tcBorders>
                    <w:tl2br w:val="nil"/>
                    <w:tr2bl w:val="nil"/>
                  </w:tcBorders>
                  <w:noWrap w:val="0"/>
                  <w:vAlign w:val="center"/>
                </w:tcPr>
                <w:p w14:paraId="4CCD109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产生浓度</w:t>
                  </w:r>
                </w:p>
                <w:p w14:paraId="0C2B34F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mg/m</w:t>
                  </w:r>
                  <w:r>
                    <w:rPr>
                      <w:rFonts w:hint="default" w:ascii="Times New Roman" w:hAnsi="Times New Roman" w:eastAsia="仿宋" w:cs="Times New Roman"/>
                      <w:b/>
                      <w:bCs/>
                      <w:color w:val="auto"/>
                      <w:sz w:val="21"/>
                      <w:szCs w:val="21"/>
                      <w:highlight w:val="none"/>
                      <w:vertAlign w:val="superscript"/>
                      <w:lang w:val="en-US" w:eastAsia="zh-CN"/>
                    </w:rPr>
                    <w:t>3</w:t>
                  </w:r>
                  <w:r>
                    <w:rPr>
                      <w:rFonts w:hint="eastAsia" w:ascii="Times New Roman" w:hAnsi="Times New Roman" w:eastAsia="仿宋" w:cs="Times New Roman"/>
                      <w:b/>
                      <w:bCs/>
                      <w:color w:val="auto"/>
                      <w:sz w:val="21"/>
                      <w:szCs w:val="21"/>
                      <w:highlight w:val="none"/>
                      <w:lang w:val="en-US" w:eastAsia="zh-CN"/>
                    </w:rPr>
                    <w:t>)</w:t>
                  </w:r>
                </w:p>
              </w:tc>
              <w:tc>
                <w:tcPr>
                  <w:tcW w:w="727" w:type="pct"/>
                  <w:tcBorders>
                    <w:tl2br w:val="nil"/>
                    <w:tr2bl w:val="nil"/>
                  </w:tcBorders>
                  <w:noWrap w:val="0"/>
                  <w:vAlign w:val="center"/>
                </w:tcPr>
                <w:p w14:paraId="329C91F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治理措施</w:t>
                  </w:r>
                </w:p>
              </w:tc>
              <w:tc>
                <w:tcPr>
                  <w:tcW w:w="484" w:type="pct"/>
                  <w:tcBorders>
                    <w:tl2br w:val="nil"/>
                    <w:tr2bl w:val="nil"/>
                  </w:tcBorders>
                  <w:noWrap w:val="0"/>
                  <w:vAlign w:val="center"/>
                </w:tcPr>
                <w:p w14:paraId="4F3B3E9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排放</w:t>
                  </w:r>
                  <w:r>
                    <w:rPr>
                      <w:rFonts w:hint="default" w:ascii="Times New Roman" w:hAnsi="Times New Roman" w:eastAsia="仿宋" w:cs="Times New Roman"/>
                      <w:b/>
                      <w:bCs/>
                      <w:color w:val="auto"/>
                      <w:sz w:val="21"/>
                      <w:szCs w:val="21"/>
                      <w:highlight w:val="none"/>
                      <w:lang w:val="en-US" w:eastAsia="zh-CN"/>
                    </w:rPr>
                    <w:t>量</w:t>
                  </w:r>
                </w:p>
                <w:p w14:paraId="1876D62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t/a</w:t>
                  </w:r>
                  <w:r>
                    <w:rPr>
                      <w:rFonts w:hint="eastAsia" w:ascii="Times New Roman" w:hAnsi="Times New Roman" w:eastAsia="仿宋" w:cs="Times New Roman"/>
                      <w:b/>
                      <w:bCs/>
                      <w:color w:val="auto"/>
                      <w:sz w:val="21"/>
                      <w:szCs w:val="21"/>
                      <w:highlight w:val="none"/>
                      <w:lang w:val="en-US" w:eastAsia="zh-CN"/>
                    </w:rPr>
                    <w:t>)</w:t>
                  </w:r>
                </w:p>
              </w:tc>
              <w:tc>
                <w:tcPr>
                  <w:tcW w:w="489" w:type="pct"/>
                  <w:tcBorders>
                    <w:tl2br w:val="nil"/>
                    <w:tr2bl w:val="nil"/>
                  </w:tcBorders>
                  <w:noWrap w:val="0"/>
                  <w:vAlign w:val="center"/>
                </w:tcPr>
                <w:p w14:paraId="44B27A9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排放</w:t>
                  </w:r>
                </w:p>
                <w:p w14:paraId="59B4B79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速率</w:t>
                  </w:r>
                </w:p>
                <w:p w14:paraId="1B6B8BE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kg/h</w:t>
                  </w:r>
                  <w:r>
                    <w:rPr>
                      <w:rFonts w:hint="eastAsia" w:ascii="Times New Roman" w:hAnsi="Times New Roman" w:eastAsia="仿宋" w:cs="Times New Roman"/>
                      <w:b/>
                      <w:bCs/>
                      <w:color w:val="auto"/>
                      <w:sz w:val="21"/>
                      <w:szCs w:val="21"/>
                      <w:highlight w:val="none"/>
                      <w:lang w:val="en-US" w:eastAsia="zh-CN"/>
                    </w:rPr>
                    <w:t>)</w:t>
                  </w:r>
                </w:p>
              </w:tc>
              <w:tc>
                <w:tcPr>
                  <w:tcW w:w="610" w:type="pct"/>
                  <w:tcBorders>
                    <w:tl2br w:val="nil"/>
                    <w:tr2bl w:val="nil"/>
                  </w:tcBorders>
                  <w:noWrap w:val="0"/>
                  <w:vAlign w:val="center"/>
                </w:tcPr>
                <w:p w14:paraId="5D8A9C6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排放</w:t>
                  </w:r>
                  <w:r>
                    <w:rPr>
                      <w:rFonts w:hint="default" w:ascii="Times New Roman" w:hAnsi="Times New Roman" w:eastAsia="仿宋" w:cs="Times New Roman"/>
                      <w:b/>
                      <w:bCs/>
                      <w:color w:val="auto"/>
                      <w:sz w:val="21"/>
                      <w:szCs w:val="21"/>
                      <w:highlight w:val="none"/>
                      <w:lang w:val="en-US" w:eastAsia="zh-CN"/>
                    </w:rPr>
                    <w:t>浓度</w:t>
                  </w:r>
                </w:p>
                <w:p w14:paraId="465A0F0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lang w:val="en-US" w:eastAsia="zh-CN"/>
                    </w:rPr>
                    <w:t>mg/m</w:t>
                  </w:r>
                  <w:r>
                    <w:rPr>
                      <w:rFonts w:hint="default" w:ascii="Times New Roman" w:hAnsi="Times New Roman" w:eastAsia="仿宋" w:cs="Times New Roman"/>
                      <w:b/>
                      <w:bCs/>
                      <w:color w:val="auto"/>
                      <w:sz w:val="21"/>
                      <w:szCs w:val="21"/>
                      <w:highlight w:val="none"/>
                      <w:vertAlign w:val="superscript"/>
                      <w:lang w:val="en-US" w:eastAsia="zh-CN"/>
                    </w:rPr>
                    <w:t>3</w:t>
                  </w:r>
                  <w:r>
                    <w:rPr>
                      <w:rFonts w:hint="eastAsia" w:ascii="Times New Roman" w:hAnsi="Times New Roman" w:eastAsia="仿宋" w:cs="Times New Roman"/>
                      <w:b/>
                      <w:bCs/>
                      <w:color w:val="auto"/>
                      <w:sz w:val="21"/>
                      <w:szCs w:val="21"/>
                      <w:highlight w:val="none"/>
                      <w:lang w:val="en-US" w:eastAsia="zh-CN"/>
                    </w:rPr>
                    <w:t>)</w:t>
                  </w:r>
                </w:p>
              </w:tc>
            </w:tr>
            <w:tr w14:paraId="7814D5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6" w:hRule="atLeast"/>
                <w:jc w:val="center"/>
              </w:trPr>
              <w:tc>
                <w:tcPr>
                  <w:tcW w:w="276" w:type="pct"/>
                  <w:vMerge w:val="restart"/>
                  <w:tcBorders>
                    <w:tl2br w:val="nil"/>
                    <w:tr2bl w:val="nil"/>
                  </w:tcBorders>
                  <w:noWrap w:val="0"/>
                  <w:vAlign w:val="center"/>
                </w:tcPr>
                <w:p w14:paraId="7CFBCF0F">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燃气锅炉</w:t>
                  </w:r>
                </w:p>
              </w:tc>
              <w:tc>
                <w:tcPr>
                  <w:tcW w:w="276" w:type="pct"/>
                  <w:vMerge w:val="restart"/>
                  <w:tcBorders>
                    <w:tl2br w:val="nil"/>
                    <w:tr2bl w:val="nil"/>
                  </w:tcBorders>
                  <w:noWrap w:val="0"/>
                  <w:vAlign w:val="center"/>
                </w:tcPr>
                <w:p w14:paraId="0E420492">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default" w:eastAsia="仿宋" w:cs="Times New Roman"/>
                      <w:color w:val="auto"/>
                      <w:sz w:val="21"/>
                      <w:szCs w:val="21"/>
                      <w:highlight w:val="none"/>
                      <w:lang w:val="en-US" w:eastAsia="zh-CN"/>
                    </w:rPr>
                    <w:t>有组织</w:t>
                  </w:r>
                </w:p>
              </w:tc>
              <w:tc>
                <w:tcPr>
                  <w:tcW w:w="382" w:type="pct"/>
                  <w:tcBorders>
                    <w:tl2br w:val="nil"/>
                    <w:tr2bl w:val="nil"/>
                  </w:tcBorders>
                  <w:noWrap w:val="0"/>
                  <w:vAlign w:val="center"/>
                </w:tcPr>
                <w:p w14:paraId="17634FD1">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SO</w:t>
                  </w:r>
                  <w:r>
                    <w:rPr>
                      <w:rFonts w:hint="eastAsia" w:eastAsia="仿宋" w:cs="Times New Roman"/>
                      <w:color w:val="auto"/>
                      <w:sz w:val="21"/>
                      <w:szCs w:val="21"/>
                      <w:highlight w:val="none"/>
                      <w:vertAlign w:val="subscript"/>
                      <w:lang w:val="en-US" w:eastAsia="zh-CN"/>
                    </w:rPr>
                    <w:t>2</w:t>
                  </w:r>
                </w:p>
              </w:tc>
              <w:tc>
                <w:tcPr>
                  <w:tcW w:w="652" w:type="pct"/>
                  <w:tcBorders>
                    <w:tl2br w:val="nil"/>
                    <w:tr2bl w:val="nil"/>
                  </w:tcBorders>
                  <w:noWrap w:val="0"/>
                  <w:vAlign w:val="center"/>
                </w:tcPr>
                <w:p w14:paraId="0878BF65">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0.115</w:t>
                  </w:r>
                </w:p>
              </w:tc>
              <w:tc>
                <w:tcPr>
                  <w:tcW w:w="489" w:type="pct"/>
                  <w:tcBorders>
                    <w:tl2br w:val="nil"/>
                    <w:tr2bl w:val="nil"/>
                  </w:tcBorders>
                  <w:noWrap w:val="0"/>
                  <w:vAlign w:val="center"/>
                </w:tcPr>
                <w:p w14:paraId="6CDFB4AB">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0.013</w:t>
                  </w:r>
                </w:p>
              </w:tc>
              <w:tc>
                <w:tcPr>
                  <w:tcW w:w="610" w:type="pct"/>
                  <w:tcBorders>
                    <w:tl2br w:val="nil"/>
                    <w:tr2bl w:val="nil"/>
                  </w:tcBorders>
                  <w:noWrap w:val="0"/>
                  <w:vAlign w:val="center"/>
                </w:tcPr>
                <w:p w14:paraId="1EF1375C">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6.56</w:t>
                  </w:r>
                </w:p>
              </w:tc>
              <w:tc>
                <w:tcPr>
                  <w:tcW w:w="727" w:type="pct"/>
                  <w:vMerge w:val="restart"/>
                  <w:tcBorders>
                    <w:tl2br w:val="nil"/>
                    <w:tr2bl w:val="nil"/>
                  </w:tcBorders>
                  <w:noWrap w:val="0"/>
                  <w:vAlign w:val="center"/>
                </w:tcPr>
                <w:p w14:paraId="47AF34E1">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3根10米高锅炉排气筒排放</w:t>
                  </w:r>
                </w:p>
              </w:tc>
              <w:tc>
                <w:tcPr>
                  <w:tcW w:w="484" w:type="pct"/>
                  <w:tcBorders>
                    <w:tl2br w:val="nil"/>
                    <w:tr2bl w:val="nil"/>
                  </w:tcBorders>
                  <w:noWrap w:val="0"/>
                  <w:vAlign w:val="center"/>
                </w:tcPr>
                <w:p w14:paraId="669DEC1C">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0.115</w:t>
                  </w:r>
                </w:p>
              </w:tc>
              <w:tc>
                <w:tcPr>
                  <w:tcW w:w="489" w:type="pct"/>
                  <w:tcBorders>
                    <w:tl2br w:val="nil"/>
                    <w:tr2bl w:val="nil"/>
                  </w:tcBorders>
                  <w:noWrap w:val="0"/>
                  <w:vAlign w:val="center"/>
                </w:tcPr>
                <w:p w14:paraId="550A1377">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0.013</w:t>
                  </w:r>
                </w:p>
              </w:tc>
              <w:tc>
                <w:tcPr>
                  <w:tcW w:w="610" w:type="pct"/>
                  <w:tcBorders>
                    <w:tl2br w:val="nil"/>
                    <w:tr2bl w:val="nil"/>
                  </w:tcBorders>
                  <w:noWrap w:val="0"/>
                  <w:vAlign w:val="center"/>
                </w:tcPr>
                <w:p w14:paraId="06F05195">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6.56</w:t>
                  </w:r>
                </w:p>
              </w:tc>
            </w:tr>
            <w:tr w14:paraId="687800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6" w:hRule="atLeast"/>
                <w:jc w:val="center"/>
              </w:trPr>
              <w:tc>
                <w:tcPr>
                  <w:tcW w:w="276" w:type="pct"/>
                  <w:vMerge w:val="continue"/>
                  <w:tcBorders>
                    <w:tl2br w:val="nil"/>
                    <w:tr2bl w:val="nil"/>
                  </w:tcBorders>
                  <w:noWrap w:val="0"/>
                  <w:vAlign w:val="center"/>
                </w:tcPr>
                <w:p w14:paraId="352344F8">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p>
              </w:tc>
              <w:tc>
                <w:tcPr>
                  <w:tcW w:w="276" w:type="pct"/>
                  <w:vMerge w:val="continue"/>
                  <w:tcBorders>
                    <w:tl2br w:val="nil"/>
                    <w:tr2bl w:val="nil"/>
                  </w:tcBorders>
                  <w:noWrap w:val="0"/>
                  <w:vAlign w:val="center"/>
                </w:tcPr>
                <w:p w14:paraId="3F44CB33">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p>
              </w:tc>
              <w:tc>
                <w:tcPr>
                  <w:tcW w:w="382" w:type="pct"/>
                  <w:tcBorders>
                    <w:tl2br w:val="nil"/>
                    <w:tr2bl w:val="nil"/>
                  </w:tcBorders>
                  <w:noWrap w:val="0"/>
                  <w:vAlign w:val="center"/>
                </w:tcPr>
                <w:p w14:paraId="5A76D790">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NO</w:t>
                  </w:r>
                  <w:r>
                    <w:rPr>
                      <w:rFonts w:hint="eastAsia" w:eastAsia="仿宋" w:cs="Times New Roman"/>
                      <w:color w:val="auto"/>
                      <w:sz w:val="21"/>
                      <w:szCs w:val="21"/>
                      <w:highlight w:val="none"/>
                      <w:vertAlign w:val="subscript"/>
                      <w:lang w:val="en-US" w:eastAsia="zh-CN"/>
                    </w:rPr>
                    <w:t>x</w:t>
                  </w:r>
                </w:p>
              </w:tc>
              <w:tc>
                <w:tcPr>
                  <w:tcW w:w="652" w:type="pct"/>
                  <w:tcBorders>
                    <w:tl2br w:val="nil"/>
                    <w:tr2bl w:val="nil"/>
                  </w:tcBorders>
                  <w:noWrap w:val="0"/>
                  <w:vAlign w:val="center"/>
                </w:tcPr>
                <w:p w14:paraId="2C3C34D8">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2.146</w:t>
                  </w:r>
                </w:p>
              </w:tc>
              <w:tc>
                <w:tcPr>
                  <w:tcW w:w="489" w:type="pct"/>
                  <w:tcBorders>
                    <w:tl2br w:val="nil"/>
                    <w:tr2bl w:val="nil"/>
                  </w:tcBorders>
                  <w:noWrap w:val="0"/>
                  <w:vAlign w:val="center"/>
                </w:tcPr>
                <w:p w14:paraId="2FE853DF">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0.245</w:t>
                  </w:r>
                </w:p>
              </w:tc>
              <w:tc>
                <w:tcPr>
                  <w:tcW w:w="610" w:type="pct"/>
                  <w:tcBorders>
                    <w:tl2br w:val="nil"/>
                    <w:tr2bl w:val="nil"/>
                  </w:tcBorders>
                  <w:noWrap w:val="0"/>
                  <w:vAlign w:val="center"/>
                </w:tcPr>
                <w:p w14:paraId="52E4354A">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122.49</w:t>
                  </w:r>
                </w:p>
              </w:tc>
              <w:tc>
                <w:tcPr>
                  <w:tcW w:w="727" w:type="pct"/>
                  <w:vMerge w:val="continue"/>
                  <w:tcBorders>
                    <w:tl2br w:val="nil"/>
                    <w:tr2bl w:val="nil"/>
                  </w:tcBorders>
                  <w:noWrap w:val="0"/>
                  <w:vAlign w:val="center"/>
                </w:tcPr>
                <w:p w14:paraId="6C0B1DF2">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p>
              </w:tc>
              <w:tc>
                <w:tcPr>
                  <w:tcW w:w="484" w:type="pct"/>
                  <w:tcBorders>
                    <w:tl2br w:val="nil"/>
                    <w:tr2bl w:val="nil"/>
                  </w:tcBorders>
                  <w:noWrap w:val="0"/>
                  <w:vAlign w:val="center"/>
                </w:tcPr>
                <w:p w14:paraId="58315C52">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2.146</w:t>
                  </w:r>
                </w:p>
              </w:tc>
              <w:tc>
                <w:tcPr>
                  <w:tcW w:w="489" w:type="pct"/>
                  <w:tcBorders>
                    <w:tl2br w:val="nil"/>
                    <w:tr2bl w:val="nil"/>
                  </w:tcBorders>
                  <w:noWrap w:val="0"/>
                  <w:vAlign w:val="center"/>
                </w:tcPr>
                <w:p w14:paraId="1ECBE846">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0.245</w:t>
                  </w:r>
                </w:p>
              </w:tc>
              <w:tc>
                <w:tcPr>
                  <w:tcW w:w="610" w:type="pct"/>
                  <w:tcBorders>
                    <w:tl2br w:val="nil"/>
                    <w:tr2bl w:val="nil"/>
                  </w:tcBorders>
                  <w:noWrap w:val="0"/>
                  <w:vAlign w:val="center"/>
                </w:tcPr>
                <w:p w14:paraId="4DDB4C77">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122.49</w:t>
                  </w:r>
                </w:p>
              </w:tc>
            </w:tr>
            <w:tr w14:paraId="5A9A89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6" w:hRule="atLeast"/>
                <w:jc w:val="center"/>
              </w:trPr>
              <w:tc>
                <w:tcPr>
                  <w:tcW w:w="276" w:type="pct"/>
                  <w:vMerge w:val="continue"/>
                  <w:tcBorders>
                    <w:tl2br w:val="nil"/>
                    <w:tr2bl w:val="nil"/>
                  </w:tcBorders>
                  <w:noWrap w:val="0"/>
                  <w:vAlign w:val="center"/>
                </w:tcPr>
                <w:p w14:paraId="33B9D370">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p>
              </w:tc>
              <w:tc>
                <w:tcPr>
                  <w:tcW w:w="276" w:type="pct"/>
                  <w:vMerge w:val="continue"/>
                  <w:tcBorders>
                    <w:tl2br w:val="nil"/>
                    <w:tr2bl w:val="nil"/>
                  </w:tcBorders>
                  <w:noWrap w:val="0"/>
                  <w:vAlign w:val="center"/>
                </w:tcPr>
                <w:p w14:paraId="369FCC2C">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p>
              </w:tc>
              <w:tc>
                <w:tcPr>
                  <w:tcW w:w="382" w:type="pct"/>
                  <w:tcBorders>
                    <w:tl2br w:val="nil"/>
                    <w:tr2bl w:val="nil"/>
                  </w:tcBorders>
                  <w:noWrap w:val="0"/>
                  <w:vAlign w:val="center"/>
                </w:tcPr>
                <w:p w14:paraId="495628EE">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烟尘</w:t>
                  </w:r>
                </w:p>
              </w:tc>
              <w:tc>
                <w:tcPr>
                  <w:tcW w:w="652" w:type="pct"/>
                  <w:tcBorders>
                    <w:tl2br w:val="nil"/>
                    <w:tr2bl w:val="nil"/>
                  </w:tcBorders>
                  <w:noWrap w:val="0"/>
                  <w:vAlign w:val="center"/>
                </w:tcPr>
                <w:p w14:paraId="28708CAA">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0.276</w:t>
                  </w:r>
                </w:p>
              </w:tc>
              <w:tc>
                <w:tcPr>
                  <w:tcW w:w="489" w:type="pct"/>
                  <w:tcBorders>
                    <w:tl2br w:val="nil"/>
                    <w:tr2bl w:val="nil"/>
                  </w:tcBorders>
                  <w:noWrap w:val="0"/>
                  <w:vAlign w:val="center"/>
                </w:tcPr>
                <w:p w14:paraId="1030BD8B">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0.032</w:t>
                  </w:r>
                </w:p>
              </w:tc>
              <w:tc>
                <w:tcPr>
                  <w:tcW w:w="610" w:type="pct"/>
                  <w:tcBorders>
                    <w:tl2br w:val="nil"/>
                    <w:tr2bl w:val="nil"/>
                  </w:tcBorders>
                  <w:noWrap w:val="0"/>
                  <w:vAlign w:val="center"/>
                </w:tcPr>
                <w:p w14:paraId="2E0C407B">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15.75</w:t>
                  </w:r>
                </w:p>
              </w:tc>
              <w:tc>
                <w:tcPr>
                  <w:tcW w:w="727" w:type="pct"/>
                  <w:vMerge w:val="continue"/>
                  <w:tcBorders>
                    <w:tl2br w:val="nil"/>
                    <w:tr2bl w:val="nil"/>
                  </w:tcBorders>
                  <w:noWrap w:val="0"/>
                  <w:vAlign w:val="center"/>
                </w:tcPr>
                <w:p w14:paraId="6FB36449">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p>
              </w:tc>
              <w:tc>
                <w:tcPr>
                  <w:tcW w:w="484" w:type="pct"/>
                  <w:tcBorders>
                    <w:tl2br w:val="nil"/>
                    <w:tr2bl w:val="nil"/>
                  </w:tcBorders>
                  <w:noWrap w:val="0"/>
                  <w:vAlign w:val="center"/>
                </w:tcPr>
                <w:p w14:paraId="56846917">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0.276</w:t>
                  </w:r>
                </w:p>
              </w:tc>
              <w:tc>
                <w:tcPr>
                  <w:tcW w:w="489" w:type="pct"/>
                  <w:tcBorders>
                    <w:tl2br w:val="nil"/>
                    <w:tr2bl w:val="nil"/>
                  </w:tcBorders>
                  <w:noWrap w:val="0"/>
                  <w:vAlign w:val="center"/>
                </w:tcPr>
                <w:p w14:paraId="3FCE919F">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0.032</w:t>
                  </w:r>
                </w:p>
              </w:tc>
              <w:tc>
                <w:tcPr>
                  <w:tcW w:w="610" w:type="pct"/>
                  <w:tcBorders>
                    <w:tl2br w:val="nil"/>
                    <w:tr2bl w:val="nil"/>
                  </w:tcBorders>
                  <w:noWrap w:val="0"/>
                  <w:vAlign w:val="center"/>
                </w:tcPr>
                <w:p w14:paraId="3C2B3DCA">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15.75</w:t>
                  </w:r>
                </w:p>
              </w:tc>
            </w:tr>
            <w:tr w14:paraId="2CB10F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276" w:type="pct"/>
                  <w:vMerge w:val="restart"/>
                  <w:tcBorders>
                    <w:tl2br w:val="nil"/>
                    <w:tr2bl w:val="nil"/>
                  </w:tcBorders>
                  <w:noWrap w:val="0"/>
                  <w:vAlign w:val="center"/>
                </w:tcPr>
                <w:p w14:paraId="0048B602">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食堂燃气</w:t>
                  </w:r>
                </w:p>
              </w:tc>
              <w:tc>
                <w:tcPr>
                  <w:tcW w:w="276" w:type="pct"/>
                  <w:vMerge w:val="restart"/>
                  <w:tcBorders>
                    <w:tl2br w:val="nil"/>
                    <w:tr2bl w:val="nil"/>
                  </w:tcBorders>
                  <w:noWrap w:val="0"/>
                  <w:vAlign w:val="center"/>
                </w:tcPr>
                <w:p w14:paraId="6CF332AD">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无组织</w:t>
                  </w:r>
                </w:p>
              </w:tc>
              <w:tc>
                <w:tcPr>
                  <w:tcW w:w="382" w:type="pct"/>
                  <w:tcBorders>
                    <w:tl2br w:val="nil"/>
                    <w:tr2bl w:val="nil"/>
                  </w:tcBorders>
                  <w:noWrap w:val="0"/>
                  <w:vAlign w:val="center"/>
                </w:tcPr>
                <w:p w14:paraId="494DC214">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SO</w:t>
                  </w:r>
                  <w:r>
                    <w:rPr>
                      <w:rFonts w:hint="eastAsia" w:eastAsia="仿宋" w:cs="Times New Roman"/>
                      <w:color w:val="auto"/>
                      <w:sz w:val="21"/>
                      <w:szCs w:val="21"/>
                      <w:highlight w:val="none"/>
                      <w:vertAlign w:val="subscript"/>
                      <w:lang w:val="en-US" w:eastAsia="zh-CN"/>
                    </w:rPr>
                    <w:t>2</w:t>
                  </w:r>
                </w:p>
              </w:tc>
              <w:tc>
                <w:tcPr>
                  <w:tcW w:w="652" w:type="pct"/>
                  <w:tcBorders>
                    <w:tl2br w:val="nil"/>
                    <w:tr2bl w:val="nil"/>
                  </w:tcBorders>
                  <w:noWrap w:val="0"/>
                  <w:vAlign w:val="center"/>
                </w:tcPr>
                <w:p w14:paraId="1A42684B">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0.001525</w:t>
                  </w:r>
                </w:p>
              </w:tc>
              <w:tc>
                <w:tcPr>
                  <w:tcW w:w="489" w:type="pct"/>
                  <w:tcBorders>
                    <w:tl2br w:val="nil"/>
                    <w:tr2bl w:val="nil"/>
                  </w:tcBorders>
                  <w:noWrap w:val="0"/>
                  <w:vAlign w:val="center"/>
                </w:tcPr>
                <w:p w14:paraId="41A2C5E5">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0.000174</w:t>
                  </w:r>
                </w:p>
              </w:tc>
              <w:tc>
                <w:tcPr>
                  <w:tcW w:w="610" w:type="pct"/>
                  <w:tcBorders>
                    <w:tl2br w:val="nil"/>
                    <w:tr2bl w:val="nil"/>
                  </w:tcBorders>
                  <w:noWrap w:val="0"/>
                  <w:vAlign w:val="center"/>
                </w:tcPr>
                <w:p w14:paraId="32FD6209">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727" w:type="pct"/>
                  <w:vMerge w:val="restart"/>
                  <w:tcBorders>
                    <w:tl2br w:val="nil"/>
                    <w:tr2bl w:val="nil"/>
                  </w:tcBorders>
                  <w:noWrap w:val="0"/>
                  <w:vAlign w:val="center"/>
                </w:tcPr>
                <w:p w14:paraId="1033F106">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无组织排放</w:t>
                  </w:r>
                </w:p>
              </w:tc>
              <w:tc>
                <w:tcPr>
                  <w:tcW w:w="484" w:type="pct"/>
                  <w:tcBorders>
                    <w:tl2br w:val="nil"/>
                    <w:tr2bl w:val="nil"/>
                  </w:tcBorders>
                  <w:noWrap w:val="0"/>
                  <w:vAlign w:val="center"/>
                </w:tcPr>
                <w:p w14:paraId="7B61B5D5">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0.001525</w:t>
                  </w:r>
                </w:p>
              </w:tc>
              <w:tc>
                <w:tcPr>
                  <w:tcW w:w="489" w:type="pct"/>
                  <w:tcBorders>
                    <w:tl2br w:val="nil"/>
                    <w:tr2bl w:val="nil"/>
                  </w:tcBorders>
                  <w:noWrap w:val="0"/>
                  <w:vAlign w:val="center"/>
                </w:tcPr>
                <w:p w14:paraId="79C80D03">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0.000174</w:t>
                  </w:r>
                </w:p>
              </w:tc>
              <w:tc>
                <w:tcPr>
                  <w:tcW w:w="610" w:type="pct"/>
                  <w:tcBorders>
                    <w:tl2br w:val="nil"/>
                    <w:tr2bl w:val="nil"/>
                  </w:tcBorders>
                  <w:noWrap w:val="0"/>
                  <w:vAlign w:val="center"/>
                </w:tcPr>
                <w:p w14:paraId="1E974F8E">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r w14:paraId="2A65B6D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276" w:type="pct"/>
                  <w:vMerge w:val="continue"/>
                  <w:tcBorders>
                    <w:tl2br w:val="nil"/>
                    <w:tr2bl w:val="nil"/>
                  </w:tcBorders>
                  <w:noWrap w:val="0"/>
                  <w:vAlign w:val="center"/>
                </w:tcPr>
                <w:p w14:paraId="6D3FB394">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color w:val="auto"/>
                    </w:rPr>
                  </w:pPr>
                </w:p>
              </w:tc>
              <w:tc>
                <w:tcPr>
                  <w:tcW w:w="276" w:type="pct"/>
                  <w:vMerge w:val="continue"/>
                  <w:tcBorders>
                    <w:tl2br w:val="nil"/>
                    <w:tr2bl w:val="nil"/>
                  </w:tcBorders>
                  <w:noWrap w:val="0"/>
                  <w:vAlign w:val="center"/>
                </w:tcPr>
                <w:p w14:paraId="7C21DCEC">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color w:val="auto"/>
                    </w:rPr>
                  </w:pPr>
                </w:p>
              </w:tc>
              <w:tc>
                <w:tcPr>
                  <w:tcW w:w="382" w:type="pct"/>
                  <w:tcBorders>
                    <w:tl2br w:val="nil"/>
                    <w:tr2bl w:val="nil"/>
                  </w:tcBorders>
                  <w:noWrap w:val="0"/>
                  <w:vAlign w:val="center"/>
                </w:tcPr>
                <w:p w14:paraId="1E0C00AA">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NO</w:t>
                  </w:r>
                  <w:r>
                    <w:rPr>
                      <w:rFonts w:hint="eastAsia" w:eastAsia="仿宋" w:cs="Times New Roman"/>
                      <w:color w:val="auto"/>
                      <w:sz w:val="21"/>
                      <w:szCs w:val="21"/>
                      <w:highlight w:val="none"/>
                      <w:vertAlign w:val="subscript"/>
                      <w:lang w:val="en-US" w:eastAsia="zh-CN"/>
                    </w:rPr>
                    <w:t>x</w:t>
                  </w:r>
                </w:p>
              </w:tc>
              <w:tc>
                <w:tcPr>
                  <w:tcW w:w="652" w:type="pct"/>
                  <w:tcBorders>
                    <w:tl2br w:val="nil"/>
                    <w:tr2bl w:val="nil"/>
                  </w:tcBorders>
                  <w:noWrap w:val="0"/>
                  <w:vAlign w:val="center"/>
                </w:tcPr>
                <w:p w14:paraId="23E0D7DE">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0.02853</w:t>
                  </w:r>
                </w:p>
              </w:tc>
              <w:tc>
                <w:tcPr>
                  <w:tcW w:w="489" w:type="pct"/>
                  <w:tcBorders>
                    <w:tl2br w:val="nil"/>
                    <w:tr2bl w:val="nil"/>
                  </w:tcBorders>
                  <w:noWrap w:val="0"/>
                  <w:vAlign w:val="center"/>
                </w:tcPr>
                <w:p w14:paraId="79485E97">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0.00325</w:t>
                  </w:r>
                </w:p>
              </w:tc>
              <w:tc>
                <w:tcPr>
                  <w:tcW w:w="610" w:type="pct"/>
                  <w:tcBorders>
                    <w:tl2br w:val="nil"/>
                    <w:tr2bl w:val="nil"/>
                  </w:tcBorders>
                  <w:noWrap w:val="0"/>
                  <w:vAlign w:val="center"/>
                </w:tcPr>
                <w:p w14:paraId="1F256F7E">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727" w:type="pct"/>
                  <w:vMerge w:val="continue"/>
                  <w:tcBorders>
                    <w:tl2br w:val="nil"/>
                    <w:tr2bl w:val="nil"/>
                  </w:tcBorders>
                  <w:noWrap w:val="0"/>
                  <w:vAlign w:val="center"/>
                </w:tcPr>
                <w:p w14:paraId="450FF343">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p>
              </w:tc>
              <w:tc>
                <w:tcPr>
                  <w:tcW w:w="484" w:type="pct"/>
                  <w:tcBorders>
                    <w:tl2br w:val="nil"/>
                    <w:tr2bl w:val="nil"/>
                  </w:tcBorders>
                  <w:noWrap w:val="0"/>
                  <w:vAlign w:val="center"/>
                </w:tcPr>
                <w:p w14:paraId="775D9932">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0.02853</w:t>
                  </w:r>
                </w:p>
              </w:tc>
              <w:tc>
                <w:tcPr>
                  <w:tcW w:w="489" w:type="pct"/>
                  <w:tcBorders>
                    <w:tl2br w:val="nil"/>
                    <w:tr2bl w:val="nil"/>
                  </w:tcBorders>
                  <w:noWrap w:val="0"/>
                  <w:vAlign w:val="center"/>
                </w:tcPr>
                <w:p w14:paraId="6B6DF303">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0.00325</w:t>
                  </w:r>
                </w:p>
              </w:tc>
              <w:tc>
                <w:tcPr>
                  <w:tcW w:w="610" w:type="pct"/>
                  <w:tcBorders>
                    <w:tl2br w:val="nil"/>
                    <w:tr2bl w:val="nil"/>
                  </w:tcBorders>
                  <w:noWrap w:val="0"/>
                  <w:vAlign w:val="center"/>
                </w:tcPr>
                <w:p w14:paraId="5A758B92">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r w14:paraId="776B59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276" w:type="pct"/>
                  <w:vMerge w:val="continue"/>
                  <w:tcBorders>
                    <w:tl2br w:val="nil"/>
                    <w:tr2bl w:val="nil"/>
                  </w:tcBorders>
                  <w:noWrap w:val="0"/>
                  <w:vAlign w:val="center"/>
                </w:tcPr>
                <w:p w14:paraId="3DF362E1">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p>
              </w:tc>
              <w:tc>
                <w:tcPr>
                  <w:tcW w:w="276" w:type="pct"/>
                  <w:vMerge w:val="continue"/>
                  <w:tcBorders>
                    <w:tl2br w:val="nil"/>
                    <w:tr2bl w:val="nil"/>
                  </w:tcBorders>
                  <w:noWrap w:val="0"/>
                  <w:vAlign w:val="center"/>
                </w:tcPr>
                <w:p w14:paraId="2B94EFD9">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p>
              </w:tc>
              <w:tc>
                <w:tcPr>
                  <w:tcW w:w="382" w:type="pct"/>
                  <w:tcBorders>
                    <w:tl2br w:val="nil"/>
                    <w:tr2bl w:val="nil"/>
                  </w:tcBorders>
                  <w:noWrap w:val="0"/>
                  <w:vAlign w:val="center"/>
                </w:tcPr>
                <w:p w14:paraId="6A4460DB">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烟尘</w:t>
                  </w:r>
                </w:p>
              </w:tc>
              <w:tc>
                <w:tcPr>
                  <w:tcW w:w="652" w:type="pct"/>
                  <w:tcBorders>
                    <w:tl2br w:val="nil"/>
                    <w:tr2bl w:val="nil"/>
                  </w:tcBorders>
                  <w:noWrap w:val="0"/>
                  <w:vAlign w:val="center"/>
                </w:tcPr>
                <w:p w14:paraId="28D81BAB">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0.00366</w:t>
                  </w:r>
                </w:p>
              </w:tc>
              <w:tc>
                <w:tcPr>
                  <w:tcW w:w="489" w:type="pct"/>
                  <w:tcBorders>
                    <w:tl2br w:val="nil"/>
                    <w:tr2bl w:val="nil"/>
                  </w:tcBorders>
                  <w:noWrap w:val="0"/>
                  <w:vAlign w:val="center"/>
                </w:tcPr>
                <w:p w14:paraId="5211662C">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0.000417</w:t>
                  </w:r>
                </w:p>
              </w:tc>
              <w:tc>
                <w:tcPr>
                  <w:tcW w:w="610" w:type="pct"/>
                  <w:tcBorders>
                    <w:tl2br w:val="nil"/>
                    <w:tr2bl w:val="nil"/>
                  </w:tcBorders>
                  <w:noWrap w:val="0"/>
                  <w:vAlign w:val="center"/>
                </w:tcPr>
                <w:p w14:paraId="7380C78C">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727" w:type="pct"/>
                  <w:vMerge w:val="continue"/>
                  <w:tcBorders>
                    <w:tl2br w:val="nil"/>
                    <w:tr2bl w:val="nil"/>
                  </w:tcBorders>
                  <w:noWrap w:val="0"/>
                  <w:vAlign w:val="center"/>
                </w:tcPr>
                <w:p w14:paraId="674DF8B5">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p>
              </w:tc>
              <w:tc>
                <w:tcPr>
                  <w:tcW w:w="484" w:type="pct"/>
                  <w:tcBorders>
                    <w:tl2br w:val="nil"/>
                    <w:tr2bl w:val="nil"/>
                  </w:tcBorders>
                  <w:noWrap w:val="0"/>
                  <w:vAlign w:val="center"/>
                </w:tcPr>
                <w:p w14:paraId="5CD4EBD2">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0.00366</w:t>
                  </w:r>
                </w:p>
              </w:tc>
              <w:tc>
                <w:tcPr>
                  <w:tcW w:w="489" w:type="pct"/>
                  <w:tcBorders>
                    <w:tl2br w:val="nil"/>
                    <w:tr2bl w:val="nil"/>
                  </w:tcBorders>
                  <w:noWrap w:val="0"/>
                  <w:vAlign w:val="center"/>
                </w:tcPr>
                <w:p w14:paraId="33468727">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0.000417</w:t>
                  </w:r>
                </w:p>
              </w:tc>
              <w:tc>
                <w:tcPr>
                  <w:tcW w:w="610" w:type="pct"/>
                  <w:tcBorders>
                    <w:tl2br w:val="nil"/>
                    <w:tr2bl w:val="nil"/>
                  </w:tcBorders>
                  <w:noWrap w:val="0"/>
                  <w:vAlign w:val="center"/>
                </w:tcPr>
                <w:p w14:paraId="30F95643">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bl>
          <w:p w14:paraId="2744E588">
            <w:pPr>
              <w:keepNext w:val="0"/>
              <w:keepLines w:val="0"/>
              <w:pageBreakBefore w:val="0"/>
              <w:widowControl w:val="0"/>
              <w:kinsoku/>
              <w:wordWrap/>
              <w:overflowPunct/>
              <w:topLinePunct w:val="0"/>
              <w:autoSpaceDE w:val="0"/>
              <w:autoSpaceDN w:val="0"/>
              <w:bidi w:val="0"/>
              <w:snapToGrid/>
              <w:spacing w:line="360" w:lineRule="auto"/>
              <w:textAlignment w:val="auto"/>
              <w:rPr>
                <w:rFonts w:hint="default" w:ascii="Times New Roman" w:hAnsi="Times New Roman" w:eastAsia="仿宋" w:cs="Times New Roman"/>
                <w:color w:val="auto"/>
                <w:kern w:val="0"/>
                <w:sz w:val="24"/>
                <w:szCs w:val="24"/>
                <w:highlight w:val="none"/>
                <w:lang w:val="en-US"/>
              </w:rPr>
            </w:pPr>
            <w:r>
              <w:rPr>
                <w:rFonts w:hint="eastAsia" w:ascii="Times New Roman" w:hAnsi="Times New Roman" w:eastAsia="仿宋" w:cs="Times New Roman"/>
                <w:color w:val="auto"/>
                <w:kern w:val="0"/>
                <w:sz w:val="24"/>
                <w:szCs w:val="24"/>
                <w:highlight w:val="none"/>
                <w:lang w:eastAsia="zh-CN"/>
              </w:rPr>
              <w:t>（</w:t>
            </w:r>
            <w:r>
              <w:rPr>
                <w:rFonts w:hint="eastAsia" w:eastAsia="仿宋" w:cs="Times New Roman"/>
                <w:color w:val="auto"/>
                <w:kern w:val="0"/>
                <w:sz w:val="24"/>
                <w:szCs w:val="24"/>
                <w:highlight w:val="none"/>
                <w:lang w:val="en-US" w:eastAsia="zh-CN"/>
              </w:rPr>
              <w:t>二</w:t>
            </w:r>
            <w:r>
              <w:rPr>
                <w:rFonts w:hint="eastAsia" w:ascii="Times New Roman" w:hAnsi="Times New Roman" w:eastAsia="仿宋" w:cs="Times New Roman"/>
                <w:color w:val="auto"/>
                <w:kern w:val="0"/>
                <w:sz w:val="24"/>
                <w:szCs w:val="24"/>
                <w:highlight w:val="none"/>
                <w:lang w:eastAsia="zh-CN"/>
              </w:rPr>
              <w:t>）</w:t>
            </w:r>
            <w:r>
              <w:rPr>
                <w:rFonts w:hint="default" w:ascii="Times New Roman" w:hAnsi="Times New Roman" w:eastAsia="仿宋" w:cs="Times New Roman"/>
                <w:color w:val="auto"/>
                <w:sz w:val="24"/>
                <w:szCs w:val="24"/>
                <w:highlight w:val="none"/>
              </w:rPr>
              <w:t>污染防治措施及排放情况</w:t>
            </w:r>
          </w:p>
          <w:p w14:paraId="5F2DF996">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（1）防治措施</w:t>
            </w:r>
          </w:p>
          <w:p w14:paraId="1F2F5523">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为防止病毒从医院水处理构筑物表面挥发到大气中而造成病毒的二次传播污染，将水处理池加盖板密闭起来，盖板上预留进、出气口，把处于自由扩散状态的气体组织起来，通过水喷淋、活性炭等过程集中除臭处理。</w:t>
            </w:r>
          </w:p>
          <w:p w14:paraId="1A1B19D1">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1）污水处理站废气处理技术可行性分析</w:t>
            </w:r>
          </w:p>
          <w:p w14:paraId="63854494">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①废气处理工艺流程</w:t>
            </w:r>
          </w:p>
          <w:p w14:paraId="3C6CA0EE">
            <w:pPr>
              <w:spacing w:line="360" w:lineRule="auto"/>
              <w:jc w:val="center"/>
              <w:rPr>
                <w:rFonts w:hint="default" w:ascii="Times New Roman" w:hAnsi="Times New Roman" w:eastAsia="仿宋" w:cs="Times New Roman"/>
                <w:color w:val="auto"/>
                <w:kern w:val="2"/>
                <w:sz w:val="24"/>
                <w:szCs w:val="24"/>
                <w:highlight w:val="none"/>
                <w:lang w:val="en-US" w:eastAsia="zh-CN" w:bidi="ar-SA"/>
              </w:rPr>
            </w:pPr>
            <w:r>
              <w:rPr>
                <w:rFonts w:hint="eastAsia" w:cs="Times New Roman"/>
                <w:bCs/>
                <w:color w:val="FF0000"/>
                <w:sz w:val="24"/>
                <w:lang w:val="en-US" w:eastAsia="zh-CN"/>
              </w:rPr>
              <w:object>
                <v:shape id="_x0000_i1029" o:spt="75" type="#_x0000_t75" style="height:35.5pt;width:425.65pt;" o:ole="t" filled="f" o:preferrelative="t" stroked="f" coordsize="21600,21600">
                  <v:path/>
                  <v:fill on="f" focussize="0,0"/>
                  <v:stroke on="f"/>
                  <v:imagedata r:id="rId20" o:title=""/>
                  <o:lock v:ext="edit" aspectratio="f"/>
                  <w10:wrap type="none"/>
                  <w10:anchorlock/>
                </v:shape>
                <o:OLEObject Type="Embed" ProgID="Visio.Drawing.15" ShapeID="_x0000_i1029" DrawAspect="Content" ObjectID="_1468075729" r:id="rId24">
                  <o:LockedField>false</o:LockedField>
                </o:OLEObject>
              </w:object>
            </w:r>
            <w:r>
              <w:rPr>
                <w:rFonts w:hint="eastAsia" w:ascii="Times New Roman" w:hAnsi="Times New Roman" w:eastAsia="仿宋" w:cs="Times New Roman"/>
                <w:b/>
                <w:bCs/>
                <w:color w:val="auto"/>
                <w:kern w:val="2"/>
                <w:sz w:val="22"/>
                <w:szCs w:val="22"/>
                <w:highlight w:val="none"/>
                <w:lang w:val="en-US" w:eastAsia="zh-CN" w:bidi="ar-SA"/>
              </w:rPr>
              <w:t>图4-1 废气处理工艺流程图</w:t>
            </w:r>
          </w:p>
          <w:p w14:paraId="4BA50888">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本项目利用</w:t>
            </w:r>
            <w:r>
              <w:rPr>
                <w:rFonts w:hint="eastAsia" w:eastAsia="仿宋" w:cs="Times New Roman"/>
                <w:color w:val="auto"/>
                <w:kern w:val="2"/>
                <w:sz w:val="24"/>
                <w:szCs w:val="24"/>
                <w:highlight w:val="none"/>
                <w:lang w:val="en-US" w:eastAsia="zh-CN" w:bidi="ar-SA"/>
              </w:rPr>
              <w:t>水喷淋</w:t>
            </w:r>
            <w:r>
              <w:rPr>
                <w:rFonts w:hint="default" w:ascii="Times New Roman" w:hAnsi="Times New Roman" w:eastAsia="仿宋" w:cs="Times New Roman"/>
                <w:color w:val="auto"/>
                <w:kern w:val="2"/>
                <w:sz w:val="24"/>
                <w:szCs w:val="24"/>
                <w:highlight w:val="none"/>
                <w:lang w:val="en-US" w:eastAsia="zh-CN" w:bidi="ar-SA"/>
              </w:rPr>
              <w:t>+活性炭吸附组合工艺处理恶臭废气，为保证废气处理效率，生物除臭装置内的喷淋液需三个月进行更换，活性炭吸附装置内填充的活性炭也需三个月进行更换。更换下来的废喷淋液、废活性炭委托有资质单位处置，有资质处置单位运走废喷淋液、废活性炭前需在院内暂存，暂存必须符合危险废物暂存要求，废喷淋液、废活性炭须存放在密闭的桶（袋）内，并且暂存场所应做好防雨、防渗措施，避免对环境产生二次污染。因此，本项目针对污水处理站废气的治理措施技术稳定可靠可行。</w:t>
            </w:r>
          </w:p>
          <w:p w14:paraId="6EDDA25D">
            <w:pPr>
              <w:pStyle w:val="38"/>
              <w:numPr>
                <w:ilvl w:val="0"/>
                <w:numId w:val="0"/>
              </w:numPr>
              <w:ind w:firstLine="480" w:firstLineChars="0"/>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2）其他废气防治措施</w:t>
            </w:r>
          </w:p>
          <w:p w14:paraId="1137AD35">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（1）</w:t>
            </w:r>
            <w:r>
              <w:rPr>
                <w:rFonts w:hint="default" w:ascii="Times New Roman" w:hAnsi="Times New Roman" w:eastAsia="仿宋" w:cs="Times New Roman"/>
                <w:color w:val="auto"/>
                <w:kern w:val="2"/>
                <w:sz w:val="24"/>
                <w:szCs w:val="24"/>
                <w:highlight w:val="none"/>
                <w:lang w:val="en-US" w:eastAsia="zh-CN" w:bidi="ar-SA"/>
              </w:rPr>
              <w:t>本项目食堂等使用电和天然气等清洁能源，从源头控制污染物排放量；</w:t>
            </w:r>
          </w:p>
          <w:p w14:paraId="78AE51D5">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color w:val="auto"/>
                <w:kern w:val="2"/>
                <w:sz w:val="24"/>
                <w:szCs w:val="24"/>
                <w:highlight w:val="none"/>
                <w:lang w:val="en-US" w:eastAsia="zh-CN" w:bidi="ar-SA"/>
              </w:rPr>
              <w:t>（2）</w:t>
            </w:r>
            <w:r>
              <w:rPr>
                <w:rFonts w:hint="default" w:ascii="Times New Roman" w:hAnsi="Times New Roman" w:eastAsia="仿宋" w:cs="Times New Roman"/>
                <w:color w:val="auto"/>
                <w:kern w:val="2"/>
                <w:sz w:val="24"/>
                <w:szCs w:val="24"/>
                <w:highlight w:val="none"/>
                <w:lang w:val="en-US" w:eastAsia="zh-CN" w:bidi="ar-SA"/>
              </w:rPr>
              <w:t>食堂应配备油烟净化装置，设计油烟去除率不低于8</w:t>
            </w:r>
            <w:r>
              <w:rPr>
                <w:rFonts w:hint="eastAsia" w:ascii="Times New Roman" w:hAnsi="Times New Roman" w:eastAsia="仿宋" w:cs="Times New Roman"/>
                <w:color w:val="auto"/>
                <w:kern w:val="2"/>
                <w:sz w:val="24"/>
                <w:szCs w:val="24"/>
                <w:highlight w:val="none"/>
                <w:lang w:val="en-US" w:eastAsia="zh-CN" w:bidi="ar-SA"/>
              </w:rPr>
              <w:t>5</w:t>
            </w:r>
            <w:r>
              <w:rPr>
                <w:rFonts w:hint="default" w:ascii="Times New Roman" w:hAnsi="Times New Roman" w:eastAsia="仿宋" w:cs="Times New Roman"/>
                <w:color w:val="auto"/>
                <w:kern w:val="2"/>
                <w:sz w:val="24"/>
                <w:szCs w:val="24"/>
                <w:highlight w:val="none"/>
                <w:lang w:val="en-US" w:eastAsia="zh-CN" w:bidi="ar-SA"/>
              </w:rPr>
              <w:t>%，以满足《饮食业油烟排放标准》油烟去除率及油烟排放浓度要求；</w:t>
            </w:r>
          </w:p>
          <w:p w14:paraId="157F1D22">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（3）</w:t>
            </w:r>
            <w:r>
              <w:rPr>
                <w:rFonts w:hint="default" w:ascii="Times New Roman" w:hAnsi="Times New Roman" w:eastAsia="仿宋" w:cs="Times New Roman"/>
                <w:color w:val="auto"/>
                <w:kern w:val="2"/>
                <w:sz w:val="24"/>
                <w:szCs w:val="24"/>
                <w:highlight w:val="none"/>
                <w:lang w:val="en-US" w:eastAsia="zh-CN" w:bidi="ar-SA"/>
              </w:rPr>
              <w:t>地下室排风系统出风口设置在较空旷区域，避开人行通道、医疗大楼门窗等，防止从地下车库内排出的废气对地面局部区域造成污染。</w:t>
            </w:r>
          </w:p>
          <w:p w14:paraId="3DF04C98">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（4）</w:t>
            </w:r>
            <w:r>
              <w:rPr>
                <w:rFonts w:hint="default" w:ascii="Times New Roman" w:hAnsi="Times New Roman" w:eastAsia="仿宋" w:cs="Times New Roman"/>
                <w:color w:val="auto"/>
                <w:kern w:val="2"/>
                <w:sz w:val="24"/>
                <w:szCs w:val="24"/>
                <w:highlight w:val="none"/>
                <w:lang w:val="en-US" w:eastAsia="zh-CN" w:bidi="ar-SA"/>
              </w:rPr>
              <w:t>垃圾收集点应及时清运，防止垃圾腐坏变质产生恶臭。</w:t>
            </w:r>
          </w:p>
          <w:p w14:paraId="7FA98080">
            <w:pPr>
              <w:spacing w:line="360" w:lineRule="auto"/>
              <w:rPr>
                <w:rFonts w:hint="eastAsia" w:ascii="Times New Roman" w:hAnsi="Times New Roman"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（三）</w:t>
            </w:r>
            <w:r>
              <w:rPr>
                <w:rFonts w:hint="eastAsia" w:ascii="Times New Roman" w:hAnsi="Times New Roman" w:eastAsia="仿宋" w:cs="Times New Roman"/>
                <w:color w:val="auto"/>
                <w:kern w:val="2"/>
                <w:sz w:val="24"/>
                <w:szCs w:val="24"/>
                <w:highlight w:val="none"/>
                <w:lang w:val="en-US" w:eastAsia="zh-CN" w:bidi="ar-SA"/>
              </w:rPr>
              <w:t>污染物排放情况</w:t>
            </w:r>
          </w:p>
          <w:p w14:paraId="39D66A24">
            <w:pPr>
              <w:spacing w:line="360" w:lineRule="auto"/>
              <w:ind w:firstLine="480" w:firstLineChars="200"/>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采取上述措施后，本项目氨、硫化氢、臭气浓度有组织排放标准可达《恶臭污染物排放标准》（GB14554-93）表2中标准</w:t>
            </w:r>
            <w:r>
              <w:rPr>
                <w:rFonts w:hint="eastAsia" w:eastAsia="仿宋" w:cs="Times New Roman"/>
                <w:color w:val="auto"/>
                <w:kern w:val="2"/>
                <w:sz w:val="24"/>
                <w:szCs w:val="24"/>
                <w:highlight w:val="none"/>
                <w:lang w:val="en-US" w:eastAsia="zh-CN" w:bidi="ar-SA"/>
              </w:rPr>
              <w:t>；</w:t>
            </w:r>
            <w:r>
              <w:rPr>
                <w:rFonts w:hint="default" w:ascii="Times New Roman" w:hAnsi="Times New Roman" w:eastAsia="仿宋" w:cs="Times New Roman"/>
                <w:color w:val="auto"/>
                <w:kern w:val="2"/>
                <w:sz w:val="24"/>
                <w:szCs w:val="24"/>
                <w:highlight w:val="none"/>
                <w:lang w:val="en-US" w:eastAsia="zh-CN" w:bidi="ar-SA"/>
              </w:rPr>
              <w:t>食堂油烟的排放标准可达《饮食业油烟排放标准（试行）》（GB18483-2001）中的标准要求</w:t>
            </w:r>
            <w:r>
              <w:rPr>
                <w:rFonts w:hint="eastAsia" w:eastAsia="仿宋" w:cs="Times New Roman"/>
                <w:color w:val="auto"/>
                <w:kern w:val="2"/>
                <w:sz w:val="24"/>
                <w:szCs w:val="24"/>
                <w:highlight w:val="none"/>
                <w:lang w:val="en-US" w:eastAsia="zh-CN" w:bidi="ar-SA"/>
              </w:rPr>
              <w:t>；食堂</w:t>
            </w:r>
            <w:r>
              <w:rPr>
                <w:rFonts w:hint="eastAsia" w:eastAsia="仿宋" w:cs="Times New Roman"/>
                <w:color w:val="auto"/>
                <w:sz w:val="24"/>
                <w:szCs w:val="24"/>
                <w:highlight w:val="none"/>
                <w:lang w:val="en-US" w:eastAsia="zh-CN"/>
              </w:rPr>
              <w:t>燃天然气废气的</w:t>
            </w:r>
            <w:r>
              <w:rPr>
                <w:rFonts w:hint="default" w:ascii="Times New Roman" w:hAnsi="Times New Roman" w:eastAsia="仿宋" w:cs="Times New Roman"/>
                <w:color w:val="auto"/>
                <w:kern w:val="2"/>
                <w:sz w:val="24"/>
                <w:szCs w:val="24"/>
                <w:highlight w:val="none"/>
                <w:lang w:val="en-US" w:eastAsia="zh-CN" w:bidi="ar-SA"/>
              </w:rPr>
              <w:t>排放标准可达</w:t>
            </w:r>
            <w:r>
              <w:rPr>
                <w:rFonts w:hint="eastAsia" w:eastAsia="仿宋" w:cs="Times New Roman"/>
                <w:color w:val="auto"/>
                <w:kern w:val="2"/>
                <w:sz w:val="24"/>
                <w:szCs w:val="24"/>
                <w:highlight w:val="none"/>
                <w:lang w:val="en-US" w:eastAsia="zh-CN" w:bidi="ar-SA"/>
              </w:rPr>
              <w:t>《大气污染物综合排放标准》（DB32/4041-2021）表3表准</w:t>
            </w:r>
            <w:r>
              <w:rPr>
                <w:rFonts w:hint="default" w:ascii="Times New Roman" w:hAnsi="Times New Roman" w:eastAsia="仿宋" w:cs="Times New Roman"/>
                <w:color w:val="auto"/>
                <w:kern w:val="2"/>
                <w:sz w:val="24"/>
                <w:szCs w:val="24"/>
                <w:highlight w:val="none"/>
                <w:lang w:val="en-US" w:eastAsia="zh-CN" w:bidi="ar-SA"/>
              </w:rPr>
              <w:t>。</w:t>
            </w:r>
          </w:p>
          <w:p w14:paraId="33A4A4CE">
            <w:pPr>
              <w:pStyle w:val="38"/>
              <w:widowControl w:val="0"/>
              <w:numPr>
                <w:ilvl w:val="0"/>
                <w:numId w:val="0"/>
              </w:numPr>
              <w:autoSpaceDE w:val="0"/>
              <w:autoSpaceDN w:val="0"/>
              <w:adjustRightInd w:val="0"/>
              <w:jc w:val="both"/>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w:t>
            </w:r>
            <w:r>
              <w:rPr>
                <w:rFonts w:hint="eastAsia" w:ascii="Times New Roman" w:eastAsia="仿宋" w:cs="Times New Roman"/>
                <w:color w:val="auto"/>
                <w:kern w:val="0"/>
                <w:sz w:val="24"/>
                <w:szCs w:val="24"/>
                <w:highlight w:val="none"/>
                <w:lang w:val="en-US" w:eastAsia="zh-CN" w:bidi="ar-SA"/>
              </w:rPr>
              <w:t>四</w:t>
            </w:r>
            <w:r>
              <w:rPr>
                <w:rFonts w:hint="eastAsia" w:ascii="Times New Roman" w:hAnsi="Times New Roman" w:eastAsia="仿宋" w:cs="Times New Roman"/>
                <w:color w:val="auto"/>
                <w:kern w:val="0"/>
                <w:sz w:val="24"/>
                <w:szCs w:val="24"/>
                <w:highlight w:val="none"/>
                <w:lang w:val="en-US" w:eastAsia="zh-CN" w:bidi="ar-SA"/>
              </w:rPr>
              <w:t>）监测计划</w:t>
            </w:r>
          </w:p>
          <w:p w14:paraId="6A4642C2">
            <w:pPr>
              <w:spacing w:line="360" w:lineRule="auto"/>
              <w:ind w:firstLine="480" w:firstLineChars="200"/>
              <w:rPr>
                <w:rFonts w:hint="default"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根据《排污许可证申请与核发技术规范 医疗机构》（HJ 1105-2020），需对污水处理站废气排放口或周界布设监测点位进行监测。</w:t>
            </w:r>
          </w:p>
          <w:p w14:paraId="61C9B89F">
            <w:pPr>
              <w:pStyle w:val="38"/>
              <w:ind w:left="0" w:leftChars="0" w:firstLine="0" w:firstLineChars="0"/>
              <w:jc w:val="center"/>
              <w:rPr>
                <w:rFonts w:hint="default" w:ascii="Times New Roman" w:hAnsi="Times New Roman" w:eastAsia="仿宋" w:cs="Times New Roman"/>
                <w:b/>
                <w:bCs/>
                <w:color w:val="auto"/>
                <w:kern w:val="0"/>
                <w:sz w:val="22"/>
                <w:szCs w:val="22"/>
                <w:highlight w:val="none"/>
                <w:lang w:val="en-US" w:eastAsia="zh-CN" w:bidi="ar-SA"/>
              </w:rPr>
            </w:pPr>
            <w:r>
              <w:rPr>
                <w:rFonts w:hint="default" w:ascii="Times New Roman" w:hAnsi="Times New Roman" w:eastAsia="仿宋" w:cs="Times New Roman"/>
                <w:b/>
                <w:bCs/>
                <w:color w:val="auto"/>
                <w:kern w:val="0"/>
                <w:sz w:val="22"/>
                <w:szCs w:val="22"/>
                <w:highlight w:val="none"/>
                <w:lang w:val="en-US" w:eastAsia="zh-CN" w:bidi="ar-SA"/>
              </w:rPr>
              <w:t>表4-</w:t>
            </w:r>
            <w:r>
              <w:rPr>
                <w:rFonts w:hint="eastAsia" w:ascii="Times New Roman" w:hAnsi="Times New Roman" w:eastAsia="仿宋" w:cs="Times New Roman"/>
                <w:b/>
                <w:bCs/>
                <w:color w:val="auto"/>
                <w:kern w:val="0"/>
                <w:sz w:val="22"/>
                <w:szCs w:val="22"/>
                <w:highlight w:val="none"/>
                <w:lang w:val="en-US" w:eastAsia="zh-CN" w:bidi="ar-SA"/>
              </w:rPr>
              <w:t>6</w:t>
            </w:r>
            <w:r>
              <w:rPr>
                <w:rFonts w:hint="default" w:ascii="Times New Roman" w:hAnsi="Times New Roman" w:eastAsia="仿宋" w:cs="Times New Roman"/>
                <w:b/>
                <w:bCs/>
                <w:color w:val="auto"/>
                <w:kern w:val="0"/>
                <w:sz w:val="22"/>
                <w:szCs w:val="22"/>
                <w:highlight w:val="none"/>
                <w:lang w:val="en-US" w:eastAsia="zh-CN" w:bidi="ar-SA"/>
              </w:rPr>
              <w:t xml:space="preserve">  </w:t>
            </w:r>
            <w:r>
              <w:rPr>
                <w:rFonts w:hint="eastAsia" w:ascii="Times New Roman" w:hAnsi="Times New Roman" w:eastAsia="仿宋" w:cs="Times New Roman"/>
                <w:b/>
                <w:bCs/>
                <w:color w:val="auto"/>
                <w:kern w:val="0"/>
                <w:sz w:val="22"/>
                <w:szCs w:val="22"/>
                <w:highlight w:val="none"/>
                <w:lang w:val="en-US" w:eastAsia="zh-CN" w:bidi="ar-SA"/>
              </w:rPr>
              <w:t>废气监测计划一览表</w:t>
            </w:r>
          </w:p>
          <w:tbl>
            <w:tblPr>
              <w:tblStyle w:val="32"/>
              <w:tblW w:w="8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2082"/>
              <w:gridCol w:w="2082"/>
              <w:gridCol w:w="2082"/>
            </w:tblGrid>
            <w:tr w14:paraId="0148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dxa"/>
                </w:tcPr>
                <w:p w14:paraId="3153D56F">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污染物种类</w:t>
                  </w:r>
                </w:p>
              </w:tc>
              <w:tc>
                <w:tcPr>
                  <w:tcW w:w="2082" w:type="dxa"/>
                </w:tcPr>
                <w:p w14:paraId="44EC02D7">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监测点位置</w:t>
                  </w:r>
                </w:p>
              </w:tc>
              <w:tc>
                <w:tcPr>
                  <w:tcW w:w="2082" w:type="dxa"/>
                </w:tcPr>
                <w:p w14:paraId="251F9E00">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监测项目</w:t>
                  </w:r>
                </w:p>
              </w:tc>
              <w:tc>
                <w:tcPr>
                  <w:tcW w:w="2082" w:type="dxa"/>
                </w:tcPr>
                <w:p w14:paraId="65F2829B">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监测频率</w:t>
                  </w:r>
                </w:p>
              </w:tc>
            </w:tr>
            <w:tr w14:paraId="5223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dxa"/>
                  <w:vAlign w:val="center"/>
                </w:tcPr>
                <w:p w14:paraId="25E7294C">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有组织废气</w:t>
                  </w:r>
                </w:p>
              </w:tc>
              <w:tc>
                <w:tcPr>
                  <w:tcW w:w="2082" w:type="dxa"/>
                  <w:vAlign w:val="center"/>
                </w:tcPr>
                <w:p w14:paraId="67D2198A">
                  <w:pPr>
                    <w:keepNext w:val="0"/>
                    <w:keepLines w:val="0"/>
                    <w:pageBreakBefore w:val="0"/>
                    <w:widowControl/>
                    <w:kinsoku/>
                    <w:wordWrap/>
                    <w:overflowPunct/>
                    <w:bidi w:val="0"/>
                    <w:snapToGrid w:val="0"/>
                    <w:jc w:val="center"/>
                    <w:textAlignment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污水处理站排气筒</w:t>
                  </w:r>
                </w:p>
              </w:tc>
              <w:tc>
                <w:tcPr>
                  <w:tcW w:w="2082" w:type="dxa"/>
                  <w:vAlign w:val="center"/>
                </w:tcPr>
                <w:p w14:paraId="7500DD40">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NH</w:t>
                  </w:r>
                  <w:r>
                    <w:rPr>
                      <w:rFonts w:hint="default" w:ascii="Times New Roman" w:hAnsi="Times New Roman" w:eastAsia="仿宋" w:cs="Times New Roman"/>
                      <w:color w:val="auto"/>
                      <w:sz w:val="21"/>
                      <w:szCs w:val="21"/>
                      <w:highlight w:val="none"/>
                      <w:vertAlign w:val="subscript"/>
                      <w:lang w:val="en-US" w:eastAsia="zh-CN"/>
                    </w:rPr>
                    <w:t>3</w:t>
                  </w:r>
                  <w:r>
                    <w:rPr>
                      <w:rFonts w:hint="eastAsia"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H</w:t>
                  </w:r>
                  <w:r>
                    <w:rPr>
                      <w:rFonts w:hint="default" w:ascii="Times New Roman" w:hAnsi="Times New Roman" w:eastAsia="仿宋" w:cs="Times New Roman"/>
                      <w:color w:val="auto"/>
                      <w:sz w:val="21"/>
                      <w:szCs w:val="21"/>
                      <w:highlight w:val="none"/>
                      <w:vertAlign w:val="subscript"/>
                      <w:lang w:val="en-US" w:eastAsia="zh-CN"/>
                    </w:rPr>
                    <w:t>2</w:t>
                  </w:r>
                  <w:r>
                    <w:rPr>
                      <w:rFonts w:hint="default" w:ascii="Times New Roman" w:hAnsi="Times New Roman" w:eastAsia="仿宋" w:cs="Times New Roman"/>
                      <w:color w:val="auto"/>
                      <w:sz w:val="21"/>
                      <w:szCs w:val="21"/>
                      <w:highlight w:val="none"/>
                      <w:lang w:val="en-US" w:eastAsia="zh-CN"/>
                    </w:rPr>
                    <w:t>S</w:t>
                  </w:r>
                  <w:r>
                    <w:rPr>
                      <w:rFonts w:hint="eastAsia" w:eastAsia="仿宋" w:cs="Times New Roman"/>
                      <w:color w:val="auto"/>
                      <w:sz w:val="21"/>
                      <w:szCs w:val="21"/>
                      <w:highlight w:val="none"/>
                      <w:lang w:val="en-US" w:eastAsia="zh-CN"/>
                    </w:rPr>
                    <w:t>、臭气浓度</w:t>
                  </w:r>
                </w:p>
              </w:tc>
              <w:tc>
                <w:tcPr>
                  <w:tcW w:w="2082" w:type="dxa"/>
                  <w:vAlign w:val="center"/>
                </w:tcPr>
                <w:p w14:paraId="7832E15A">
                  <w:pPr>
                    <w:pStyle w:val="38"/>
                    <w:widowControl w:val="0"/>
                    <w:numPr>
                      <w:ilvl w:val="0"/>
                      <w:numId w:val="0"/>
                    </w:numPr>
                    <w:autoSpaceDE w:val="0"/>
                    <w:autoSpaceDN w:val="0"/>
                    <w:adjustRightInd w:val="0"/>
                    <w:jc w:val="center"/>
                    <w:rPr>
                      <w:rFonts w:hint="default" w:ascii="Times New Roman" w:hAnsi="Times New Roman" w:eastAsia="仿宋" w:cs="Times New Roman"/>
                      <w:color w:val="auto"/>
                      <w:kern w:val="0"/>
                      <w:sz w:val="24"/>
                      <w:szCs w:val="24"/>
                      <w:highlight w:val="none"/>
                      <w:vertAlign w:val="baseline"/>
                      <w:lang w:val="en-US" w:eastAsia="zh-CN" w:bidi="ar-SA"/>
                    </w:rPr>
                  </w:pPr>
                  <w:r>
                    <w:rPr>
                      <w:rFonts w:hint="eastAsia" w:ascii="Times New Roman" w:eastAsia="仿宋" w:cs="Times New Roman"/>
                      <w:color w:val="auto"/>
                      <w:kern w:val="0"/>
                      <w:sz w:val="21"/>
                      <w:szCs w:val="21"/>
                      <w:highlight w:val="none"/>
                      <w:vertAlign w:val="baseline"/>
                      <w:lang w:val="en-US" w:eastAsia="zh-CN" w:bidi="ar-SA"/>
                    </w:rPr>
                    <w:t>每季度检测一次</w:t>
                  </w:r>
                </w:p>
              </w:tc>
            </w:tr>
            <w:tr w14:paraId="21D0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dxa"/>
                  <w:vMerge w:val="restart"/>
                  <w:vAlign w:val="center"/>
                </w:tcPr>
                <w:p w14:paraId="45A746C7">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无组织废气</w:t>
                  </w:r>
                </w:p>
              </w:tc>
              <w:tc>
                <w:tcPr>
                  <w:tcW w:w="2082" w:type="dxa"/>
                  <w:vMerge w:val="restart"/>
                  <w:vAlign w:val="center"/>
                </w:tcPr>
                <w:p w14:paraId="4E00D58E">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厂界四周</w:t>
                  </w:r>
                </w:p>
              </w:tc>
              <w:tc>
                <w:tcPr>
                  <w:tcW w:w="2082" w:type="dxa"/>
                  <w:vAlign w:val="center"/>
                </w:tcPr>
                <w:p w14:paraId="14367BA8">
                  <w:pPr>
                    <w:keepNext w:val="0"/>
                    <w:keepLines w:val="0"/>
                    <w:pageBreakBefore w:val="0"/>
                    <w:widowControl/>
                    <w:kinsoku/>
                    <w:wordWrap/>
                    <w:overflowPunct/>
                    <w:bidi w:val="0"/>
                    <w:snapToGrid w:val="0"/>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SO</w:t>
                  </w:r>
                  <w:r>
                    <w:rPr>
                      <w:rFonts w:hint="eastAsia" w:eastAsia="仿宋" w:cs="Times New Roman"/>
                      <w:color w:val="auto"/>
                      <w:sz w:val="21"/>
                      <w:szCs w:val="21"/>
                      <w:highlight w:val="none"/>
                      <w:vertAlign w:val="subscript"/>
                      <w:lang w:val="en-US" w:eastAsia="zh-CN"/>
                    </w:rPr>
                    <w:t>2</w:t>
                  </w:r>
                  <w:r>
                    <w:rPr>
                      <w:rFonts w:hint="eastAsia" w:eastAsia="仿宋" w:cs="Times New Roman"/>
                      <w:color w:val="auto"/>
                      <w:sz w:val="21"/>
                      <w:szCs w:val="21"/>
                      <w:highlight w:val="none"/>
                      <w:lang w:val="en-US" w:eastAsia="zh-CN"/>
                    </w:rPr>
                    <w:t>、NO</w:t>
                  </w:r>
                  <w:r>
                    <w:rPr>
                      <w:rFonts w:hint="eastAsia" w:eastAsia="仿宋" w:cs="Times New Roman"/>
                      <w:color w:val="auto"/>
                      <w:sz w:val="21"/>
                      <w:szCs w:val="21"/>
                      <w:highlight w:val="none"/>
                      <w:vertAlign w:val="subscript"/>
                      <w:lang w:val="en-US" w:eastAsia="zh-CN"/>
                    </w:rPr>
                    <w:t>x</w:t>
                  </w:r>
                  <w:r>
                    <w:rPr>
                      <w:rFonts w:hint="eastAsia" w:eastAsia="仿宋" w:cs="Times New Roman"/>
                      <w:color w:val="auto"/>
                      <w:sz w:val="21"/>
                      <w:szCs w:val="21"/>
                      <w:highlight w:val="none"/>
                      <w:lang w:val="en-US" w:eastAsia="zh-CN"/>
                    </w:rPr>
                    <w:t>、烟尘</w:t>
                  </w:r>
                </w:p>
              </w:tc>
              <w:tc>
                <w:tcPr>
                  <w:tcW w:w="2082" w:type="dxa"/>
                </w:tcPr>
                <w:p w14:paraId="77EDD4C5">
                  <w:pPr>
                    <w:pStyle w:val="38"/>
                    <w:widowControl w:val="0"/>
                    <w:numPr>
                      <w:ilvl w:val="0"/>
                      <w:numId w:val="0"/>
                    </w:numPr>
                    <w:autoSpaceDE w:val="0"/>
                    <w:autoSpaceDN w:val="0"/>
                    <w:adjustRightInd w:val="0"/>
                    <w:jc w:val="center"/>
                    <w:rPr>
                      <w:rFonts w:hint="eastAsia" w:ascii="Times New Roman" w:eastAsia="仿宋" w:cs="Times New Roman"/>
                      <w:color w:val="auto"/>
                      <w:kern w:val="0"/>
                      <w:sz w:val="21"/>
                      <w:szCs w:val="21"/>
                      <w:highlight w:val="none"/>
                      <w:vertAlign w:val="baseline"/>
                      <w:lang w:val="en-US" w:eastAsia="zh-CN" w:bidi="ar-SA"/>
                    </w:rPr>
                  </w:pPr>
                  <w:r>
                    <w:rPr>
                      <w:rFonts w:hint="eastAsia" w:ascii="Times New Roman" w:eastAsia="仿宋" w:cs="Times New Roman"/>
                      <w:color w:val="auto"/>
                      <w:kern w:val="0"/>
                      <w:sz w:val="21"/>
                      <w:szCs w:val="21"/>
                      <w:highlight w:val="none"/>
                      <w:vertAlign w:val="baseline"/>
                      <w:lang w:val="en-US" w:eastAsia="zh-CN" w:bidi="ar-SA"/>
                    </w:rPr>
                    <w:t>每年检测一次</w:t>
                  </w:r>
                </w:p>
              </w:tc>
            </w:tr>
            <w:tr w14:paraId="5BA6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dxa"/>
                  <w:vMerge w:val="continue"/>
                  <w:vAlign w:val="center"/>
                </w:tcPr>
                <w:p w14:paraId="2EB0C3AD">
                  <w:pPr>
                    <w:keepNext w:val="0"/>
                    <w:keepLines w:val="0"/>
                    <w:pageBreakBefore w:val="0"/>
                    <w:widowControl/>
                    <w:kinsoku/>
                    <w:wordWrap/>
                    <w:overflowPunct/>
                    <w:bidi w:val="0"/>
                    <w:snapToGrid w:val="0"/>
                    <w:jc w:val="center"/>
                    <w:textAlignment w:val="center"/>
                    <w:rPr>
                      <w:rFonts w:hint="eastAsia" w:eastAsia="仿宋" w:cs="Times New Roman"/>
                      <w:color w:val="auto"/>
                      <w:sz w:val="21"/>
                      <w:szCs w:val="21"/>
                      <w:highlight w:val="none"/>
                      <w:lang w:val="en-US" w:eastAsia="zh-CN"/>
                    </w:rPr>
                  </w:pPr>
                </w:p>
              </w:tc>
              <w:tc>
                <w:tcPr>
                  <w:tcW w:w="2082" w:type="dxa"/>
                  <w:vMerge w:val="continue"/>
                  <w:vAlign w:val="center"/>
                </w:tcPr>
                <w:p w14:paraId="6B867ED7">
                  <w:pPr>
                    <w:keepNext w:val="0"/>
                    <w:keepLines w:val="0"/>
                    <w:pageBreakBefore w:val="0"/>
                    <w:widowControl/>
                    <w:kinsoku/>
                    <w:wordWrap/>
                    <w:overflowPunct/>
                    <w:bidi w:val="0"/>
                    <w:snapToGrid w:val="0"/>
                    <w:jc w:val="center"/>
                    <w:textAlignment w:val="center"/>
                    <w:rPr>
                      <w:rFonts w:hint="eastAsia" w:eastAsia="仿宋" w:cs="Times New Roman"/>
                      <w:color w:val="auto"/>
                      <w:sz w:val="21"/>
                      <w:szCs w:val="21"/>
                      <w:highlight w:val="none"/>
                      <w:lang w:val="en-US" w:eastAsia="zh-CN"/>
                    </w:rPr>
                  </w:pPr>
                </w:p>
              </w:tc>
              <w:tc>
                <w:tcPr>
                  <w:tcW w:w="2082" w:type="dxa"/>
                  <w:vAlign w:val="center"/>
                </w:tcPr>
                <w:p w14:paraId="05588412">
                  <w:pPr>
                    <w:keepNext w:val="0"/>
                    <w:keepLines w:val="0"/>
                    <w:pageBreakBefore w:val="0"/>
                    <w:widowControl/>
                    <w:kinsoku/>
                    <w:wordWrap/>
                    <w:overflowPunct/>
                    <w:bidi w:val="0"/>
                    <w:snapToGrid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NH</w:t>
                  </w:r>
                  <w:r>
                    <w:rPr>
                      <w:rFonts w:hint="default" w:ascii="Times New Roman" w:hAnsi="Times New Roman" w:eastAsia="仿宋" w:cs="Times New Roman"/>
                      <w:color w:val="auto"/>
                      <w:sz w:val="21"/>
                      <w:szCs w:val="21"/>
                      <w:highlight w:val="none"/>
                      <w:vertAlign w:val="subscript"/>
                      <w:lang w:val="en-US" w:eastAsia="zh-CN"/>
                    </w:rPr>
                    <w:t>3</w:t>
                  </w:r>
                  <w:r>
                    <w:rPr>
                      <w:rFonts w:hint="eastAsia"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H</w:t>
                  </w:r>
                  <w:r>
                    <w:rPr>
                      <w:rFonts w:hint="default" w:ascii="Times New Roman" w:hAnsi="Times New Roman" w:eastAsia="仿宋" w:cs="Times New Roman"/>
                      <w:color w:val="auto"/>
                      <w:sz w:val="21"/>
                      <w:szCs w:val="21"/>
                      <w:highlight w:val="none"/>
                      <w:vertAlign w:val="subscript"/>
                      <w:lang w:val="en-US" w:eastAsia="zh-CN"/>
                    </w:rPr>
                    <w:t>2</w:t>
                  </w:r>
                  <w:r>
                    <w:rPr>
                      <w:rFonts w:hint="default" w:ascii="Times New Roman" w:hAnsi="Times New Roman" w:eastAsia="仿宋" w:cs="Times New Roman"/>
                      <w:color w:val="auto"/>
                      <w:sz w:val="21"/>
                      <w:szCs w:val="21"/>
                      <w:highlight w:val="none"/>
                      <w:lang w:val="en-US" w:eastAsia="zh-CN"/>
                    </w:rPr>
                    <w:t>S</w:t>
                  </w:r>
                  <w:r>
                    <w:rPr>
                      <w:rFonts w:hint="eastAsia" w:eastAsia="仿宋" w:cs="Times New Roman"/>
                      <w:color w:val="auto"/>
                      <w:sz w:val="21"/>
                      <w:szCs w:val="21"/>
                      <w:highlight w:val="none"/>
                      <w:lang w:val="en-US" w:eastAsia="zh-CN"/>
                    </w:rPr>
                    <w:t>、臭气浓度</w:t>
                  </w:r>
                </w:p>
              </w:tc>
              <w:tc>
                <w:tcPr>
                  <w:tcW w:w="2082" w:type="dxa"/>
                </w:tcPr>
                <w:p w14:paraId="71F22190">
                  <w:pPr>
                    <w:pStyle w:val="38"/>
                    <w:widowControl w:val="0"/>
                    <w:numPr>
                      <w:ilvl w:val="0"/>
                      <w:numId w:val="0"/>
                    </w:numPr>
                    <w:autoSpaceDE w:val="0"/>
                    <w:autoSpaceDN w:val="0"/>
                    <w:adjustRightInd w:val="0"/>
                    <w:jc w:val="center"/>
                    <w:rPr>
                      <w:rFonts w:hint="eastAsia" w:ascii="Times New Roman" w:eastAsia="仿宋" w:cs="Times New Roman"/>
                      <w:color w:val="auto"/>
                      <w:kern w:val="0"/>
                      <w:sz w:val="21"/>
                      <w:szCs w:val="21"/>
                      <w:highlight w:val="none"/>
                      <w:vertAlign w:val="baseline"/>
                      <w:lang w:val="en-US" w:eastAsia="zh-CN" w:bidi="ar-SA"/>
                    </w:rPr>
                  </w:pPr>
                  <w:r>
                    <w:rPr>
                      <w:rFonts w:hint="eastAsia" w:ascii="Times New Roman" w:eastAsia="仿宋" w:cs="Times New Roman"/>
                      <w:color w:val="auto"/>
                      <w:kern w:val="0"/>
                      <w:sz w:val="21"/>
                      <w:szCs w:val="21"/>
                      <w:highlight w:val="none"/>
                      <w:vertAlign w:val="baseline"/>
                      <w:lang w:val="en-US" w:eastAsia="zh-CN" w:bidi="ar-SA"/>
                    </w:rPr>
                    <w:t>每季度检测一次</w:t>
                  </w:r>
                </w:p>
              </w:tc>
            </w:tr>
          </w:tbl>
          <w:p w14:paraId="30CEF906">
            <w:pPr>
              <w:keepNext w:val="0"/>
              <w:keepLines w:val="0"/>
              <w:pageBreakBefore w:val="0"/>
              <w:widowControl w:val="0"/>
              <w:kinsoku/>
              <w:wordWrap/>
              <w:overflowPunct/>
              <w:topLinePunct w:val="0"/>
              <w:autoSpaceDE w:val="0"/>
              <w:autoSpaceDN w:val="0"/>
              <w:bidi w:val="0"/>
              <w:snapToGrid/>
              <w:spacing w:line="360" w:lineRule="auto"/>
              <w:textAlignment w:val="auto"/>
              <w:rPr>
                <w:rFonts w:hint="default" w:ascii="Times New Roman" w:hAnsi="Times New Roman" w:eastAsia="仿宋" w:cs="Times New Roman"/>
                <w:b/>
                <w:bCs/>
                <w:color w:val="auto"/>
                <w:kern w:val="0"/>
                <w:sz w:val="24"/>
                <w:szCs w:val="24"/>
                <w:highlight w:val="none"/>
              </w:rPr>
            </w:pPr>
            <w:r>
              <w:rPr>
                <w:rFonts w:hint="eastAsia" w:ascii="Times New Roman" w:hAnsi="Times New Roman" w:eastAsia="仿宋" w:cs="Times New Roman"/>
                <w:b/>
                <w:bCs/>
                <w:color w:val="auto"/>
                <w:kern w:val="0"/>
                <w:sz w:val="24"/>
                <w:szCs w:val="24"/>
                <w:highlight w:val="none"/>
                <w:lang w:val="en-US" w:eastAsia="zh-CN"/>
              </w:rPr>
              <w:t>二</w:t>
            </w:r>
            <w:r>
              <w:rPr>
                <w:rFonts w:hint="default" w:ascii="Times New Roman" w:hAnsi="Times New Roman" w:eastAsia="仿宋" w:cs="Times New Roman"/>
                <w:b/>
                <w:bCs/>
                <w:color w:val="auto"/>
                <w:kern w:val="0"/>
                <w:sz w:val="24"/>
                <w:szCs w:val="24"/>
                <w:highlight w:val="none"/>
              </w:rPr>
              <w:t>、废水</w:t>
            </w:r>
          </w:p>
          <w:p w14:paraId="4F56D6E0">
            <w:pPr>
              <w:keepNext w:val="0"/>
              <w:keepLines w:val="0"/>
              <w:pageBreakBefore w:val="0"/>
              <w:widowControl w:val="0"/>
              <w:kinsoku/>
              <w:wordWrap/>
              <w:overflowPunct/>
              <w:topLinePunct w:val="0"/>
              <w:autoSpaceDE w:val="0"/>
              <w:autoSpaceDN w:val="0"/>
              <w:bidi w:val="0"/>
              <w:snapToGrid/>
              <w:spacing w:line="360" w:lineRule="auto"/>
              <w:textAlignment w:val="auto"/>
              <w:rPr>
                <w:rFonts w:hint="default" w:ascii="Times New Roman" w:hAnsi="Times New Roman" w:eastAsia="仿宋" w:cs="Times New Roman"/>
                <w:color w:val="auto"/>
                <w:kern w:val="0"/>
                <w:sz w:val="24"/>
                <w:szCs w:val="24"/>
                <w:highlight w:val="none"/>
                <w:lang w:val="en-US"/>
              </w:rPr>
            </w:pPr>
            <w:bookmarkStart w:id="7" w:name="_Hlk64882870"/>
            <w:r>
              <w:rPr>
                <w:rFonts w:hint="eastAsia" w:ascii="Times New Roman" w:hAnsi="Times New Roman" w:eastAsia="仿宋" w:cs="Times New Roman"/>
                <w:color w:val="auto"/>
                <w:kern w:val="0"/>
                <w:sz w:val="24"/>
                <w:szCs w:val="24"/>
                <w:highlight w:val="none"/>
                <w:lang w:eastAsia="zh-CN"/>
              </w:rPr>
              <w:t>（</w:t>
            </w:r>
            <w:r>
              <w:rPr>
                <w:rFonts w:hint="eastAsia" w:eastAsia="仿宋" w:cs="Times New Roman"/>
                <w:color w:val="auto"/>
                <w:kern w:val="0"/>
                <w:sz w:val="24"/>
                <w:szCs w:val="24"/>
                <w:highlight w:val="none"/>
                <w:lang w:val="en-US" w:eastAsia="zh-CN"/>
              </w:rPr>
              <w:t>一</w:t>
            </w:r>
            <w:r>
              <w:rPr>
                <w:rFonts w:hint="eastAsia" w:ascii="Times New Roman" w:hAnsi="Times New Roman" w:eastAsia="仿宋" w:cs="Times New Roman"/>
                <w:color w:val="auto"/>
                <w:kern w:val="0"/>
                <w:sz w:val="24"/>
                <w:szCs w:val="24"/>
                <w:highlight w:val="none"/>
                <w:lang w:eastAsia="zh-CN"/>
              </w:rPr>
              <w:t>）</w:t>
            </w:r>
            <w:r>
              <w:rPr>
                <w:rFonts w:hint="eastAsia" w:ascii="Times New Roman" w:hAnsi="Times New Roman" w:eastAsia="仿宋" w:cs="Times New Roman"/>
                <w:color w:val="auto"/>
                <w:kern w:val="0"/>
                <w:sz w:val="24"/>
                <w:szCs w:val="24"/>
                <w:highlight w:val="none"/>
                <w:lang w:val="en-US" w:eastAsia="zh-CN"/>
              </w:rPr>
              <w:t>污染物产生情况</w:t>
            </w:r>
          </w:p>
          <w:p w14:paraId="29D33016">
            <w:pPr>
              <w:spacing w:line="360" w:lineRule="auto"/>
              <w:ind w:firstLine="480" w:firstLineChars="200"/>
              <w:rPr>
                <w:rFonts w:hint="eastAsia"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根据本项目工艺特点，</w:t>
            </w:r>
            <w:r>
              <w:rPr>
                <w:rFonts w:hint="eastAsia" w:ascii="Times New Roman" w:hAnsi="Times New Roman" w:eastAsia="仿宋" w:cs="Times New Roman"/>
                <w:color w:val="auto"/>
                <w:kern w:val="2"/>
                <w:sz w:val="24"/>
                <w:szCs w:val="24"/>
                <w:highlight w:val="none"/>
                <w:lang w:val="en-US" w:eastAsia="zh-CN" w:bidi="ar-SA"/>
              </w:rPr>
              <w:t>本扩建工程项目运营期产生的废水主要包括</w:t>
            </w:r>
            <w:r>
              <w:rPr>
                <w:rFonts w:hint="eastAsia" w:eastAsia="仿宋" w:cs="Times New Roman"/>
                <w:color w:val="auto"/>
                <w:kern w:val="2"/>
                <w:sz w:val="24"/>
                <w:szCs w:val="24"/>
                <w:highlight w:val="none"/>
                <w:lang w:val="en-US" w:eastAsia="zh-CN" w:bidi="ar-SA"/>
              </w:rPr>
              <w:t>医疗废水、食堂废水、生活污水</w:t>
            </w:r>
            <w:r>
              <w:rPr>
                <w:rFonts w:hint="eastAsia" w:ascii="Times New Roman" w:hAnsi="Times New Roman" w:eastAsia="仿宋" w:cs="Times New Roman"/>
                <w:color w:val="auto"/>
                <w:kern w:val="2"/>
                <w:sz w:val="24"/>
                <w:szCs w:val="24"/>
                <w:highlight w:val="none"/>
                <w:lang w:val="en-US" w:eastAsia="zh-CN" w:bidi="ar-SA"/>
              </w:rPr>
              <w:t>。</w:t>
            </w:r>
          </w:p>
          <w:p w14:paraId="1F7781F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1）医疗废水</w:t>
            </w:r>
          </w:p>
          <w:p w14:paraId="66DED4D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本项目医疗废水主要来自诊疗室、手术室、化验室、病房等处排出的诊疗、拖地消毒、生活及冲厕废水；</w:t>
            </w:r>
            <w:r>
              <w:rPr>
                <w:rFonts w:hint="eastAsia" w:eastAsia="仿宋" w:cs="Times New Roman"/>
                <w:color w:val="FF0000"/>
                <w:kern w:val="0"/>
                <w:sz w:val="24"/>
                <w:szCs w:val="24"/>
                <w:highlight w:val="none"/>
                <w:lang w:val="en-US" w:eastAsia="zh-CN"/>
              </w:rPr>
              <w:t>本项目牙科诊疗为急诊，仅作急诊外伤处理，不涉及氟化物的使用，无含氟废水产生。</w:t>
            </w:r>
          </w:p>
          <w:p w14:paraId="3E4778B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医疗医疗废水所含污染物主要为pH、COD、SS、NH</w:t>
            </w:r>
            <w:r>
              <w:rPr>
                <w:rFonts w:hint="eastAsia" w:eastAsia="仿宋" w:cs="Times New Roman"/>
                <w:color w:val="auto"/>
                <w:kern w:val="0"/>
                <w:sz w:val="24"/>
                <w:szCs w:val="24"/>
                <w:highlight w:val="none"/>
                <w:vertAlign w:val="subscript"/>
                <w:lang w:val="en-US" w:eastAsia="zh-CN"/>
              </w:rPr>
              <w:t>3</w:t>
            </w:r>
            <w:r>
              <w:rPr>
                <w:rFonts w:hint="eastAsia" w:eastAsia="仿宋" w:cs="Times New Roman"/>
                <w:color w:val="auto"/>
                <w:kern w:val="0"/>
                <w:sz w:val="24"/>
                <w:szCs w:val="24"/>
                <w:highlight w:val="none"/>
                <w:lang w:val="en-US" w:eastAsia="zh-CN"/>
              </w:rPr>
              <w:t>-N和粪大肠菌群等，各污染因子的源强参照《医院污水处理工程技术规范》（HJ2029-2013）表1中的“医院污水水质指标参考数据”。</w:t>
            </w:r>
          </w:p>
          <w:p w14:paraId="5B007F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一般医疗废水水质特征是：</w:t>
            </w:r>
          </w:p>
          <w:p w14:paraId="7A3FE82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①含有大量的病原体，如病菌、病毒和寄生虫卵等，包括粪大肠菌群、大肠菌群、伤寒杆菌、痢疾杆菌、肠道病毒、肝炎病毒等。</w:t>
            </w:r>
          </w:p>
          <w:p w14:paraId="05D6BA6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②含有消毒剂、药剂、试剂等多种化学物质。</w:t>
            </w:r>
          </w:p>
          <w:p w14:paraId="6A724A9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④污染因子主要以pH、COD、SS、氨氮、TP、粪大肠菌群数等计。</w:t>
            </w:r>
          </w:p>
          <w:p w14:paraId="78A9B12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参考《医院污水处理技术指南》（环发[2003]197号），确定本项目医疗废水水质源强见表4-7。</w:t>
            </w:r>
          </w:p>
          <w:p w14:paraId="7A84E2EF">
            <w:pPr>
              <w:pStyle w:val="38"/>
              <w:ind w:left="0" w:leftChars="0" w:firstLine="0" w:firstLineChars="0"/>
              <w:jc w:val="center"/>
              <w:rPr>
                <w:rFonts w:hint="default" w:ascii="Times New Roman" w:hAnsi="Times New Roman" w:eastAsia="仿宋" w:cs="Times New Roman"/>
                <w:b/>
                <w:bCs/>
                <w:color w:val="auto"/>
                <w:kern w:val="0"/>
                <w:sz w:val="22"/>
                <w:szCs w:val="22"/>
                <w:highlight w:val="none"/>
                <w:lang w:val="en-US" w:eastAsia="zh-CN" w:bidi="ar-SA"/>
              </w:rPr>
            </w:pPr>
            <w:r>
              <w:rPr>
                <w:rFonts w:hint="eastAsia" w:ascii="Times New Roman" w:hAnsi="Times New Roman" w:eastAsia="仿宋" w:cs="Times New Roman"/>
                <w:b/>
                <w:bCs/>
                <w:color w:val="auto"/>
                <w:kern w:val="0"/>
                <w:sz w:val="22"/>
                <w:szCs w:val="22"/>
                <w:highlight w:val="none"/>
                <w:lang w:val="en-US" w:eastAsia="zh-CN" w:bidi="ar-SA"/>
              </w:rPr>
              <w:t>表4-7 废水水质情况一览表</w:t>
            </w:r>
          </w:p>
          <w:tbl>
            <w:tblPr>
              <w:tblStyle w:val="32"/>
              <w:tblW w:w="8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453"/>
              <w:gridCol w:w="1514"/>
              <w:gridCol w:w="1388"/>
              <w:gridCol w:w="1388"/>
              <w:gridCol w:w="1388"/>
            </w:tblGrid>
            <w:tr w14:paraId="7F29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14:paraId="1EBD8E4B">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污染物</w:t>
                  </w:r>
                </w:p>
              </w:tc>
              <w:tc>
                <w:tcPr>
                  <w:tcW w:w="1453" w:type="dxa"/>
                  <w:vAlign w:val="top"/>
                </w:tcPr>
                <w:p w14:paraId="0B546606">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COD</w:t>
                  </w:r>
                  <w:r>
                    <w:rPr>
                      <w:rFonts w:hint="eastAsia" w:eastAsia="仿宋" w:cs="Times New Roman"/>
                      <w:b/>
                      <w:bCs/>
                      <w:color w:val="auto"/>
                      <w:sz w:val="21"/>
                      <w:szCs w:val="21"/>
                      <w:highlight w:val="none"/>
                      <w:lang w:val="en-US" w:eastAsia="zh-CN"/>
                    </w:rPr>
                    <w:t>（mg/L）</w:t>
                  </w:r>
                </w:p>
              </w:tc>
              <w:tc>
                <w:tcPr>
                  <w:tcW w:w="1514" w:type="dxa"/>
                </w:tcPr>
                <w:p w14:paraId="7526467E">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BOD</w:t>
                  </w:r>
                  <w:r>
                    <w:rPr>
                      <w:rFonts w:hint="eastAsia" w:eastAsia="仿宋" w:cs="Times New Roman"/>
                      <w:b/>
                      <w:bCs/>
                      <w:color w:val="auto"/>
                      <w:sz w:val="21"/>
                      <w:szCs w:val="21"/>
                      <w:highlight w:val="none"/>
                      <w:vertAlign w:val="subscript"/>
                      <w:lang w:val="en-US" w:eastAsia="zh-CN"/>
                    </w:rPr>
                    <w:t>5</w:t>
                  </w:r>
                  <w:r>
                    <w:rPr>
                      <w:rFonts w:hint="eastAsia" w:eastAsia="仿宋" w:cs="Times New Roman"/>
                      <w:b/>
                      <w:bCs/>
                      <w:color w:val="auto"/>
                      <w:sz w:val="21"/>
                      <w:szCs w:val="21"/>
                      <w:highlight w:val="none"/>
                      <w:lang w:val="en-US" w:eastAsia="zh-CN"/>
                    </w:rPr>
                    <w:t>（mg/L）</w:t>
                  </w:r>
                </w:p>
              </w:tc>
              <w:tc>
                <w:tcPr>
                  <w:tcW w:w="1388" w:type="dxa"/>
                </w:tcPr>
                <w:p w14:paraId="0C1025AE">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SS</w:t>
                  </w:r>
                  <w:r>
                    <w:rPr>
                      <w:rFonts w:hint="eastAsia" w:eastAsia="仿宋" w:cs="Times New Roman"/>
                      <w:b/>
                      <w:bCs/>
                      <w:color w:val="auto"/>
                      <w:sz w:val="21"/>
                      <w:szCs w:val="21"/>
                      <w:highlight w:val="none"/>
                      <w:lang w:val="en-US" w:eastAsia="zh-CN"/>
                    </w:rPr>
                    <w:t>（mg/L）</w:t>
                  </w:r>
                </w:p>
              </w:tc>
              <w:tc>
                <w:tcPr>
                  <w:tcW w:w="1388" w:type="dxa"/>
                </w:tcPr>
                <w:p w14:paraId="50CB5F5E">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氨氮</w:t>
                  </w:r>
                  <w:r>
                    <w:rPr>
                      <w:rFonts w:hint="eastAsia" w:eastAsia="仿宋" w:cs="Times New Roman"/>
                      <w:b/>
                      <w:bCs/>
                      <w:color w:val="auto"/>
                      <w:sz w:val="21"/>
                      <w:szCs w:val="21"/>
                      <w:highlight w:val="none"/>
                      <w:lang w:val="en-US" w:eastAsia="zh-CN"/>
                    </w:rPr>
                    <w:t>（mg/L）</w:t>
                  </w:r>
                </w:p>
              </w:tc>
              <w:tc>
                <w:tcPr>
                  <w:tcW w:w="1388" w:type="dxa"/>
                </w:tcPr>
                <w:p w14:paraId="12B5297A">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粪大肠杆菌</w:t>
                  </w:r>
                </w:p>
              </w:tc>
            </w:tr>
            <w:tr w14:paraId="146F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tcPr>
                <w:p w14:paraId="588018EE">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产生浓度</w:t>
                  </w:r>
                </w:p>
              </w:tc>
              <w:tc>
                <w:tcPr>
                  <w:tcW w:w="1453" w:type="dxa"/>
                  <w:vAlign w:val="top"/>
                </w:tcPr>
                <w:p w14:paraId="56CEC9CF">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250</w:t>
                  </w:r>
                </w:p>
              </w:tc>
              <w:tc>
                <w:tcPr>
                  <w:tcW w:w="1514" w:type="dxa"/>
                </w:tcPr>
                <w:p w14:paraId="0B172B9E">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100</w:t>
                  </w:r>
                </w:p>
              </w:tc>
              <w:tc>
                <w:tcPr>
                  <w:tcW w:w="1388" w:type="dxa"/>
                </w:tcPr>
                <w:p w14:paraId="041A4D6B">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80</w:t>
                  </w:r>
                </w:p>
              </w:tc>
              <w:tc>
                <w:tcPr>
                  <w:tcW w:w="1388" w:type="dxa"/>
                </w:tcPr>
                <w:p w14:paraId="45722F29">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30</w:t>
                  </w:r>
                </w:p>
              </w:tc>
              <w:tc>
                <w:tcPr>
                  <w:tcW w:w="1388" w:type="dxa"/>
                </w:tcPr>
                <w:p w14:paraId="172EA035">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1.6×10</w:t>
                  </w:r>
                  <w:r>
                    <w:rPr>
                      <w:rFonts w:hint="eastAsia" w:eastAsia="仿宋" w:cs="Times New Roman"/>
                      <w:color w:val="auto"/>
                      <w:sz w:val="21"/>
                      <w:szCs w:val="21"/>
                      <w:highlight w:val="none"/>
                      <w:vertAlign w:val="superscript"/>
                      <w:lang w:val="en-US" w:eastAsia="zh-CN"/>
                    </w:rPr>
                    <w:t>8</w:t>
                  </w:r>
                  <w:r>
                    <w:rPr>
                      <w:rFonts w:hint="eastAsia" w:eastAsia="仿宋" w:cs="Times New Roman"/>
                      <w:color w:val="auto"/>
                      <w:sz w:val="21"/>
                      <w:szCs w:val="21"/>
                      <w:highlight w:val="none"/>
                      <w:lang w:val="en-US" w:eastAsia="zh-CN"/>
                    </w:rPr>
                    <w:t>个/L</w:t>
                  </w:r>
                </w:p>
              </w:tc>
            </w:tr>
          </w:tbl>
          <w:p w14:paraId="1F3A7898">
            <w:pPr>
              <w:spacing w:line="360" w:lineRule="auto"/>
              <w:ind w:firstLine="480" w:firstLineChars="200"/>
              <w:rPr>
                <w:rFonts w:hint="default"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1）病房区医疗废水</w:t>
            </w:r>
          </w:p>
          <w:p w14:paraId="5585560A">
            <w:pPr>
              <w:spacing w:line="360" w:lineRule="auto"/>
              <w:ind w:firstLine="480" w:firstLineChars="200"/>
              <w:rPr>
                <w:rFonts w:hint="default"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根据《常州市工业和城市生活用水定额》（2016年版），医院病房区医疗用水标准为每天400L/床，本项目设200张床位，则病房区医疗用水量为80t/d，排放系数以0.8计，则病房区废水量约64t/d。</w:t>
            </w:r>
          </w:p>
          <w:p w14:paraId="3D2BF07B">
            <w:pPr>
              <w:spacing w:line="360" w:lineRule="auto"/>
              <w:ind w:firstLine="480" w:firstLineChars="200"/>
              <w:rPr>
                <w:rFonts w:hint="default"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2）门诊医疗废水</w:t>
            </w:r>
          </w:p>
          <w:p w14:paraId="5C8ECBD8">
            <w:pPr>
              <w:spacing w:line="360" w:lineRule="auto"/>
              <w:ind w:firstLine="480" w:firstLineChars="200"/>
              <w:rPr>
                <w:rFonts w:hint="default"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根据《建筑给排水设计规范》（GN50015-2010），急诊部每病人每次用水量为10-15L，本评价取每病人15L/次，项目急诊病人约685人次/d，则门诊病人用水量为10.28t/d，排放系数以0.8计，则门诊医疗废水量约8.22t/d。</w:t>
            </w:r>
          </w:p>
          <w:p w14:paraId="7B832FDA">
            <w:pPr>
              <w:spacing w:line="360" w:lineRule="auto"/>
              <w:ind w:firstLine="480" w:firstLineChars="200"/>
              <w:rPr>
                <w:rFonts w:hint="eastAsia"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②生活废水</w:t>
            </w:r>
          </w:p>
          <w:p w14:paraId="085BFB0E">
            <w:pPr>
              <w:spacing w:line="360" w:lineRule="auto"/>
              <w:ind w:firstLine="480" w:firstLineChars="200"/>
              <w:rPr>
                <w:rFonts w:hint="default"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1）</w:t>
            </w:r>
            <w:r>
              <w:rPr>
                <w:rFonts w:hint="default" w:eastAsia="仿宋" w:cs="Times New Roman"/>
                <w:color w:val="auto"/>
                <w:kern w:val="2"/>
                <w:sz w:val="24"/>
                <w:szCs w:val="24"/>
                <w:highlight w:val="none"/>
                <w:lang w:val="en-US" w:eastAsia="zh-CN" w:bidi="ar-SA"/>
              </w:rPr>
              <w:t>医务人员生活污水</w:t>
            </w:r>
          </w:p>
          <w:p w14:paraId="5E820E51">
            <w:pPr>
              <w:spacing w:line="360" w:lineRule="auto"/>
              <w:ind w:firstLine="480" w:firstLineChars="200"/>
              <w:rPr>
                <w:rFonts w:hint="default" w:eastAsia="仿宋" w:cs="Times New Roman"/>
                <w:color w:val="auto"/>
                <w:kern w:val="2"/>
                <w:sz w:val="24"/>
                <w:szCs w:val="24"/>
                <w:highlight w:val="none"/>
                <w:lang w:val="en-US" w:eastAsia="zh-CN" w:bidi="ar-SA"/>
              </w:rPr>
            </w:pPr>
            <w:r>
              <w:rPr>
                <w:rFonts w:hint="default" w:eastAsia="仿宋" w:cs="Times New Roman"/>
                <w:color w:val="auto"/>
                <w:kern w:val="2"/>
                <w:sz w:val="24"/>
                <w:szCs w:val="24"/>
                <w:highlight w:val="none"/>
                <w:lang w:val="en-US" w:eastAsia="zh-CN" w:bidi="ar-SA"/>
              </w:rPr>
              <w:t>根据《建筑给排水设计规范》（GN50015-2010），员工生活用水按人均</w:t>
            </w:r>
            <w:r>
              <w:rPr>
                <w:rFonts w:hint="eastAsia" w:eastAsia="仿宋" w:cs="Times New Roman"/>
                <w:color w:val="auto"/>
                <w:kern w:val="2"/>
                <w:sz w:val="24"/>
                <w:szCs w:val="24"/>
                <w:highlight w:val="none"/>
                <w:lang w:val="en-US" w:eastAsia="zh-CN" w:bidi="ar-SA"/>
              </w:rPr>
              <w:t>120</w:t>
            </w:r>
            <w:r>
              <w:rPr>
                <w:rFonts w:hint="default" w:eastAsia="仿宋" w:cs="Times New Roman"/>
                <w:color w:val="auto"/>
                <w:kern w:val="2"/>
                <w:sz w:val="24"/>
                <w:szCs w:val="24"/>
                <w:highlight w:val="none"/>
                <w:lang w:val="en-US" w:eastAsia="zh-CN" w:bidi="ar-SA"/>
              </w:rPr>
              <w:t>L/d计，本项目医务人员</w:t>
            </w:r>
            <w:r>
              <w:rPr>
                <w:rFonts w:hint="eastAsia" w:eastAsia="仿宋" w:cs="Times New Roman"/>
                <w:color w:val="auto"/>
                <w:kern w:val="2"/>
                <w:sz w:val="24"/>
                <w:szCs w:val="24"/>
                <w:highlight w:val="none"/>
                <w:lang w:val="en-US" w:eastAsia="zh-CN" w:bidi="ar-SA"/>
              </w:rPr>
              <w:t>534</w:t>
            </w:r>
            <w:r>
              <w:rPr>
                <w:rFonts w:hint="default" w:eastAsia="仿宋" w:cs="Times New Roman"/>
                <w:color w:val="auto"/>
                <w:kern w:val="2"/>
                <w:sz w:val="24"/>
                <w:szCs w:val="24"/>
                <w:highlight w:val="none"/>
                <w:lang w:val="en-US" w:eastAsia="zh-CN" w:bidi="ar-SA"/>
              </w:rPr>
              <w:t>人，则生活用水量为</w:t>
            </w:r>
            <w:r>
              <w:rPr>
                <w:rFonts w:hint="eastAsia" w:eastAsia="仿宋" w:cs="Times New Roman"/>
                <w:color w:val="auto"/>
                <w:kern w:val="2"/>
                <w:sz w:val="24"/>
                <w:szCs w:val="24"/>
                <w:highlight w:val="none"/>
                <w:lang w:val="en-US" w:eastAsia="zh-CN" w:bidi="ar-SA"/>
              </w:rPr>
              <w:t>64.08</w:t>
            </w:r>
            <w:r>
              <w:rPr>
                <w:rFonts w:hint="default" w:eastAsia="仿宋" w:cs="Times New Roman"/>
                <w:color w:val="auto"/>
                <w:kern w:val="2"/>
                <w:sz w:val="24"/>
                <w:szCs w:val="24"/>
                <w:highlight w:val="none"/>
                <w:lang w:val="en-US" w:eastAsia="zh-CN" w:bidi="ar-SA"/>
              </w:rPr>
              <w:t>t/d，排放系数以0.8计，则生活污水量为</w:t>
            </w:r>
            <w:r>
              <w:rPr>
                <w:rFonts w:hint="eastAsia" w:eastAsia="仿宋" w:cs="Times New Roman"/>
                <w:color w:val="auto"/>
                <w:kern w:val="2"/>
                <w:sz w:val="24"/>
                <w:szCs w:val="24"/>
                <w:highlight w:val="none"/>
                <w:lang w:val="en-US" w:eastAsia="zh-CN" w:bidi="ar-SA"/>
              </w:rPr>
              <w:t>51.26</w:t>
            </w:r>
            <w:r>
              <w:rPr>
                <w:rFonts w:hint="default" w:eastAsia="仿宋" w:cs="Times New Roman"/>
                <w:color w:val="auto"/>
                <w:kern w:val="2"/>
                <w:sz w:val="24"/>
                <w:szCs w:val="24"/>
                <w:highlight w:val="none"/>
                <w:lang w:val="en-US" w:eastAsia="zh-CN" w:bidi="ar-SA"/>
              </w:rPr>
              <w:t>t/d。</w:t>
            </w:r>
          </w:p>
          <w:p w14:paraId="626D521B">
            <w:pPr>
              <w:spacing w:line="360" w:lineRule="auto"/>
              <w:ind w:firstLine="480" w:firstLineChars="200"/>
              <w:rPr>
                <w:rFonts w:hint="default"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2）</w:t>
            </w:r>
            <w:r>
              <w:rPr>
                <w:rFonts w:hint="default" w:eastAsia="仿宋" w:cs="Times New Roman"/>
                <w:color w:val="auto"/>
                <w:kern w:val="2"/>
                <w:sz w:val="24"/>
                <w:szCs w:val="24"/>
                <w:highlight w:val="none"/>
                <w:lang w:val="en-US" w:eastAsia="zh-CN" w:bidi="ar-SA"/>
              </w:rPr>
              <w:t>食堂废水</w:t>
            </w:r>
          </w:p>
          <w:p w14:paraId="4FB54223">
            <w:pPr>
              <w:spacing w:line="360" w:lineRule="auto"/>
              <w:ind w:firstLine="480" w:firstLineChars="200"/>
              <w:rPr>
                <w:rFonts w:hint="default" w:eastAsia="仿宋" w:cs="Times New Roman"/>
                <w:color w:val="auto"/>
                <w:kern w:val="2"/>
                <w:sz w:val="24"/>
                <w:szCs w:val="24"/>
                <w:highlight w:val="none"/>
                <w:lang w:val="en-US" w:eastAsia="zh-CN" w:bidi="ar-SA"/>
              </w:rPr>
            </w:pPr>
            <w:r>
              <w:rPr>
                <w:rFonts w:hint="default" w:eastAsia="仿宋" w:cs="Times New Roman"/>
                <w:color w:val="auto"/>
                <w:kern w:val="2"/>
                <w:sz w:val="24"/>
                <w:szCs w:val="24"/>
                <w:highlight w:val="none"/>
                <w:lang w:val="en-US" w:eastAsia="zh-CN" w:bidi="ar-SA"/>
              </w:rPr>
              <w:t>根据《建筑给排水设计规范》（GN50015-2010），食堂用水标准为人均</w:t>
            </w:r>
            <w:r>
              <w:rPr>
                <w:rFonts w:hint="eastAsia" w:eastAsia="仿宋" w:cs="Times New Roman"/>
                <w:color w:val="auto"/>
                <w:kern w:val="2"/>
                <w:sz w:val="24"/>
                <w:szCs w:val="24"/>
                <w:highlight w:val="none"/>
                <w:lang w:val="en-US" w:eastAsia="zh-CN" w:bidi="ar-SA"/>
              </w:rPr>
              <w:t>70</w:t>
            </w:r>
            <w:r>
              <w:rPr>
                <w:rFonts w:hint="default" w:eastAsia="仿宋" w:cs="Times New Roman"/>
                <w:color w:val="auto"/>
                <w:kern w:val="2"/>
                <w:sz w:val="24"/>
                <w:szCs w:val="24"/>
                <w:highlight w:val="none"/>
                <w:lang w:val="en-US" w:eastAsia="zh-CN" w:bidi="ar-SA"/>
              </w:rPr>
              <w:t>L/d，本项目就餐人数按</w:t>
            </w:r>
            <w:r>
              <w:rPr>
                <w:rFonts w:hint="eastAsia" w:eastAsia="仿宋" w:cs="Times New Roman"/>
                <w:color w:val="auto"/>
                <w:kern w:val="2"/>
                <w:sz w:val="24"/>
                <w:szCs w:val="24"/>
                <w:highlight w:val="none"/>
                <w:lang w:val="en-US" w:eastAsia="zh-CN" w:bidi="ar-SA"/>
              </w:rPr>
              <w:t>1400</w:t>
            </w:r>
            <w:r>
              <w:rPr>
                <w:rFonts w:hint="default" w:eastAsia="仿宋" w:cs="Times New Roman"/>
                <w:color w:val="auto"/>
                <w:kern w:val="2"/>
                <w:sz w:val="24"/>
                <w:szCs w:val="24"/>
                <w:highlight w:val="none"/>
                <w:lang w:val="en-US" w:eastAsia="zh-CN" w:bidi="ar-SA"/>
              </w:rPr>
              <w:t>人计，则食堂用水为</w:t>
            </w:r>
            <w:r>
              <w:rPr>
                <w:rFonts w:hint="eastAsia" w:eastAsia="仿宋" w:cs="Times New Roman"/>
                <w:color w:val="auto"/>
                <w:kern w:val="2"/>
                <w:sz w:val="24"/>
                <w:szCs w:val="24"/>
                <w:highlight w:val="none"/>
                <w:lang w:val="en-US" w:eastAsia="zh-CN" w:bidi="ar-SA"/>
              </w:rPr>
              <w:t>98</w:t>
            </w:r>
            <w:r>
              <w:rPr>
                <w:rFonts w:hint="default" w:eastAsia="仿宋" w:cs="Times New Roman"/>
                <w:color w:val="auto"/>
                <w:kern w:val="2"/>
                <w:sz w:val="24"/>
                <w:szCs w:val="24"/>
                <w:highlight w:val="none"/>
                <w:lang w:val="en-US" w:eastAsia="zh-CN" w:bidi="ar-SA"/>
              </w:rPr>
              <w:t>t/d，排放系数以</w:t>
            </w:r>
            <w:r>
              <w:rPr>
                <w:rFonts w:hint="eastAsia" w:eastAsia="仿宋" w:cs="Times New Roman"/>
                <w:color w:val="auto"/>
                <w:kern w:val="2"/>
                <w:sz w:val="24"/>
                <w:szCs w:val="24"/>
                <w:highlight w:val="none"/>
                <w:lang w:val="en-US" w:eastAsia="zh-CN" w:bidi="ar-SA"/>
              </w:rPr>
              <w:t>0.8</w:t>
            </w:r>
            <w:r>
              <w:rPr>
                <w:rFonts w:hint="default" w:eastAsia="仿宋" w:cs="Times New Roman"/>
                <w:color w:val="auto"/>
                <w:kern w:val="2"/>
                <w:sz w:val="24"/>
                <w:szCs w:val="24"/>
                <w:highlight w:val="none"/>
                <w:lang w:val="en-US" w:eastAsia="zh-CN" w:bidi="ar-SA"/>
              </w:rPr>
              <w:t>计，则食堂废水量为</w:t>
            </w:r>
            <w:r>
              <w:rPr>
                <w:rFonts w:hint="eastAsia" w:eastAsia="仿宋" w:cs="Times New Roman"/>
                <w:color w:val="auto"/>
                <w:kern w:val="2"/>
                <w:sz w:val="24"/>
                <w:szCs w:val="24"/>
                <w:highlight w:val="none"/>
                <w:lang w:val="en-US" w:eastAsia="zh-CN" w:bidi="ar-SA"/>
              </w:rPr>
              <w:t>78.4</w:t>
            </w:r>
            <w:r>
              <w:rPr>
                <w:rFonts w:hint="default" w:eastAsia="仿宋" w:cs="Times New Roman"/>
                <w:color w:val="auto"/>
                <w:kern w:val="2"/>
                <w:sz w:val="24"/>
                <w:szCs w:val="24"/>
                <w:highlight w:val="none"/>
                <w:lang w:val="en-US" w:eastAsia="zh-CN" w:bidi="ar-SA"/>
              </w:rPr>
              <w:t>t/d。</w:t>
            </w:r>
          </w:p>
          <w:p w14:paraId="7D8F4BCE">
            <w:pPr>
              <w:spacing w:line="360" w:lineRule="auto"/>
              <w:ind w:firstLine="480" w:firstLineChars="200"/>
              <w:rPr>
                <w:rFonts w:hint="default" w:eastAsia="仿宋" w:cs="Times New Roman"/>
                <w:color w:val="auto"/>
                <w:kern w:val="2"/>
                <w:sz w:val="24"/>
                <w:szCs w:val="24"/>
                <w:highlight w:val="none"/>
                <w:lang w:val="en-US" w:eastAsia="zh-CN" w:bidi="ar-SA"/>
              </w:rPr>
            </w:pPr>
            <w:r>
              <w:rPr>
                <w:rFonts w:hint="default" w:eastAsia="仿宋" w:cs="Times New Roman"/>
                <w:color w:val="auto"/>
                <w:kern w:val="2"/>
                <w:sz w:val="24"/>
                <w:szCs w:val="24"/>
                <w:highlight w:val="none"/>
                <w:lang w:val="en-US" w:eastAsia="zh-CN" w:bidi="ar-SA"/>
              </w:rPr>
              <w:t>综上所述，本项目医疗废水产生量合计为</w:t>
            </w:r>
            <w:r>
              <w:rPr>
                <w:rFonts w:hint="eastAsia" w:eastAsia="仿宋" w:cs="Times New Roman"/>
                <w:color w:val="auto"/>
                <w:kern w:val="2"/>
                <w:sz w:val="24"/>
                <w:szCs w:val="24"/>
                <w:highlight w:val="none"/>
                <w:lang w:val="en-US" w:eastAsia="zh-CN" w:bidi="ar-SA"/>
              </w:rPr>
              <w:t>72.22</w:t>
            </w:r>
            <w:r>
              <w:rPr>
                <w:rFonts w:hint="default" w:eastAsia="仿宋" w:cs="Times New Roman"/>
                <w:color w:val="auto"/>
                <w:kern w:val="2"/>
                <w:sz w:val="24"/>
                <w:szCs w:val="24"/>
                <w:highlight w:val="none"/>
                <w:lang w:val="en-US" w:eastAsia="zh-CN" w:bidi="ar-SA"/>
              </w:rPr>
              <w:t>t/d，本项目生活污水产生量合计为</w:t>
            </w:r>
            <w:r>
              <w:rPr>
                <w:rFonts w:hint="eastAsia" w:eastAsia="仿宋" w:cs="Times New Roman"/>
                <w:color w:val="auto"/>
                <w:kern w:val="2"/>
                <w:sz w:val="24"/>
                <w:szCs w:val="24"/>
                <w:highlight w:val="none"/>
                <w:lang w:val="en-US" w:eastAsia="zh-CN" w:bidi="ar-SA"/>
              </w:rPr>
              <w:t>129.66</w:t>
            </w:r>
            <w:r>
              <w:rPr>
                <w:rFonts w:hint="default" w:eastAsia="仿宋" w:cs="Times New Roman"/>
                <w:color w:val="auto"/>
                <w:kern w:val="2"/>
                <w:sz w:val="24"/>
                <w:szCs w:val="24"/>
                <w:highlight w:val="none"/>
                <w:lang w:val="en-US" w:eastAsia="zh-CN" w:bidi="ar-SA"/>
              </w:rPr>
              <w:t>t/d，</w:t>
            </w:r>
            <w:r>
              <w:rPr>
                <w:rFonts w:hint="eastAsia" w:eastAsia="仿宋" w:cs="Times New Roman"/>
                <w:color w:val="auto"/>
                <w:kern w:val="2"/>
                <w:sz w:val="24"/>
                <w:szCs w:val="24"/>
                <w:highlight w:val="none"/>
                <w:lang w:val="en-US" w:eastAsia="zh-CN" w:bidi="ar-SA"/>
              </w:rPr>
              <w:t>共新增废水201.88t/d，产生的医疗废水排入污水处理站处理；</w:t>
            </w:r>
            <w:r>
              <w:rPr>
                <w:rFonts w:hint="default" w:eastAsia="仿宋" w:cs="Times New Roman"/>
                <w:color w:val="auto"/>
                <w:kern w:val="2"/>
                <w:sz w:val="24"/>
                <w:szCs w:val="24"/>
                <w:highlight w:val="none"/>
                <w:lang w:val="en-US" w:eastAsia="zh-CN" w:bidi="ar-SA"/>
              </w:rPr>
              <w:t>产生的生活污水（食堂废水经隔油后）经</w:t>
            </w:r>
            <w:r>
              <w:rPr>
                <w:rFonts w:hint="eastAsia" w:eastAsia="仿宋" w:cs="Times New Roman"/>
                <w:color w:val="auto"/>
                <w:kern w:val="2"/>
                <w:sz w:val="24"/>
                <w:szCs w:val="24"/>
                <w:highlight w:val="none"/>
                <w:lang w:val="en-US" w:eastAsia="zh-CN" w:bidi="ar-SA"/>
              </w:rPr>
              <w:t>化粪池处理后排入</w:t>
            </w:r>
            <w:r>
              <w:rPr>
                <w:rFonts w:hint="default" w:eastAsia="仿宋" w:cs="Times New Roman"/>
                <w:color w:val="auto"/>
                <w:kern w:val="2"/>
                <w:sz w:val="24"/>
                <w:szCs w:val="24"/>
                <w:highlight w:val="none"/>
                <w:lang w:val="en-US" w:eastAsia="zh-CN" w:bidi="ar-SA"/>
              </w:rPr>
              <w:t>院内</w:t>
            </w:r>
            <w:r>
              <w:rPr>
                <w:rFonts w:hint="eastAsia" w:eastAsia="仿宋" w:cs="Times New Roman"/>
                <w:color w:val="auto"/>
                <w:kern w:val="2"/>
                <w:sz w:val="24"/>
                <w:szCs w:val="24"/>
                <w:highlight w:val="none"/>
                <w:lang w:val="en-US" w:eastAsia="zh-CN" w:bidi="ar-SA"/>
              </w:rPr>
              <w:t>污水处理站</w:t>
            </w:r>
            <w:r>
              <w:rPr>
                <w:rFonts w:hint="default" w:eastAsia="仿宋" w:cs="Times New Roman"/>
                <w:color w:val="auto"/>
                <w:kern w:val="2"/>
                <w:sz w:val="24"/>
                <w:szCs w:val="24"/>
                <w:highlight w:val="none"/>
                <w:lang w:val="en-US" w:eastAsia="zh-CN" w:bidi="ar-SA"/>
              </w:rPr>
              <w:t>处理后</w:t>
            </w:r>
            <w:r>
              <w:rPr>
                <w:rFonts w:hint="eastAsia" w:eastAsia="仿宋" w:cs="Times New Roman"/>
                <w:color w:val="auto"/>
                <w:kern w:val="2"/>
                <w:sz w:val="24"/>
                <w:szCs w:val="24"/>
                <w:highlight w:val="none"/>
                <w:lang w:val="en-US" w:eastAsia="zh-CN" w:bidi="ar-SA"/>
              </w:rPr>
              <w:t>一并</w:t>
            </w:r>
            <w:r>
              <w:rPr>
                <w:rFonts w:hint="default" w:eastAsia="仿宋" w:cs="Times New Roman"/>
                <w:color w:val="auto"/>
                <w:kern w:val="2"/>
                <w:sz w:val="24"/>
                <w:szCs w:val="24"/>
                <w:highlight w:val="none"/>
                <w:lang w:val="en-US" w:eastAsia="zh-CN" w:bidi="ar-SA"/>
              </w:rPr>
              <w:t>排入</w:t>
            </w:r>
            <w:r>
              <w:rPr>
                <w:rFonts w:hint="eastAsia" w:eastAsia="仿宋" w:cs="Times New Roman"/>
                <w:color w:val="auto"/>
                <w:kern w:val="2"/>
                <w:sz w:val="24"/>
                <w:szCs w:val="24"/>
                <w:highlight w:val="none"/>
                <w:lang w:val="en-US" w:eastAsia="zh-CN" w:bidi="ar-SA"/>
              </w:rPr>
              <w:t>金坛区第一污水处理厂</w:t>
            </w:r>
            <w:r>
              <w:rPr>
                <w:rFonts w:hint="default" w:eastAsia="仿宋" w:cs="Times New Roman"/>
                <w:color w:val="auto"/>
                <w:kern w:val="2"/>
                <w:sz w:val="24"/>
                <w:szCs w:val="24"/>
                <w:highlight w:val="none"/>
                <w:lang w:val="en-US" w:eastAsia="zh-CN" w:bidi="ar-SA"/>
              </w:rPr>
              <w:t>集中处理后排入</w:t>
            </w:r>
            <w:r>
              <w:rPr>
                <w:rFonts w:hint="eastAsia" w:eastAsia="仿宋" w:cs="Times New Roman"/>
                <w:color w:val="auto"/>
                <w:kern w:val="2"/>
                <w:sz w:val="24"/>
                <w:szCs w:val="24"/>
                <w:highlight w:val="none"/>
                <w:lang w:val="en-US" w:eastAsia="zh-CN" w:bidi="ar-SA"/>
              </w:rPr>
              <w:t>丹金溧漕河</w:t>
            </w:r>
            <w:r>
              <w:rPr>
                <w:rFonts w:hint="default" w:eastAsia="仿宋" w:cs="Times New Roman"/>
                <w:color w:val="auto"/>
                <w:kern w:val="2"/>
                <w:sz w:val="24"/>
                <w:szCs w:val="24"/>
                <w:highlight w:val="none"/>
                <w:lang w:val="en-US" w:eastAsia="zh-CN" w:bidi="ar-SA"/>
              </w:rPr>
              <w:t>。</w:t>
            </w:r>
          </w:p>
          <w:p w14:paraId="465B99B7">
            <w:pPr>
              <w:keepNext w:val="0"/>
              <w:keepLines w:val="0"/>
              <w:pageBreakBefore w:val="0"/>
              <w:widowControl w:val="0"/>
              <w:kinsoku/>
              <w:wordWrap/>
              <w:overflowPunct/>
              <w:topLinePunct w:val="0"/>
              <w:autoSpaceDE w:val="0"/>
              <w:autoSpaceDN w:val="0"/>
              <w:bidi w:val="0"/>
              <w:snapToGrid/>
              <w:spacing w:line="360" w:lineRule="auto"/>
              <w:textAlignment w:val="auto"/>
              <w:rPr>
                <w:rFonts w:hint="default" w:ascii="Times New Roman" w:hAnsi="Times New Roman" w:eastAsia="仿宋" w:cs="Times New Roman"/>
                <w:color w:val="auto"/>
                <w:kern w:val="0"/>
                <w:sz w:val="24"/>
                <w:szCs w:val="24"/>
                <w:highlight w:val="none"/>
                <w:lang w:val="en-US"/>
              </w:rPr>
            </w:pPr>
            <w:r>
              <w:rPr>
                <w:rFonts w:hint="eastAsia" w:ascii="Times New Roman" w:hAnsi="Times New Roman" w:eastAsia="仿宋" w:cs="Times New Roman"/>
                <w:color w:val="auto"/>
                <w:kern w:val="0"/>
                <w:sz w:val="24"/>
                <w:szCs w:val="24"/>
                <w:highlight w:val="none"/>
                <w:lang w:eastAsia="zh-CN"/>
              </w:rPr>
              <w:t>（</w:t>
            </w:r>
            <w:r>
              <w:rPr>
                <w:rFonts w:hint="eastAsia" w:eastAsia="仿宋" w:cs="Times New Roman"/>
                <w:color w:val="auto"/>
                <w:kern w:val="0"/>
                <w:sz w:val="24"/>
                <w:szCs w:val="24"/>
                <w:highlight w:val="none"/>
                <w:lang w:val="en-US" w:eastAsia="zh-CN"/>
              </w:rPr>
              <w:t>二</w:t>
            </w:r>
            <w:r>
              <w:rPr>
                <w:rFonts w:hint="eastAsia" w:ascii="Times New Roman" w:hAnsi="Times New Roman" w:eastAsia="仿宋" w:cs="Times New Roman"/>
                <w:color w:val="auto"/>
                <w:kern w:val="0"/>
                <w:sz w:val="24"/>
                <w:szCs w:val="24"/>
                <w:highlight w:val="none"/>
                <w:lang w:eastAsia="zh-CN"/>
              </w:rPr>
              <w:t>）</w:t>
            </w:r>
            <w:r>
              <w:rPr>
                <w:rFonts w:hint="default" w:ascii="Times New Roman" w:hAnsi="Times New Roman" w:eastAsia="仿宋" w:cs="Times New Roman"/>
                <w:color w:val="auto"/>
                <w:sz w:val="24"/>
                <w:szCs w:val="24"/>
                <w:highlight w:val="none"/>
              </w:rPr>
              <w:t>污染防治措施及排放情况</w:t>
            </w:r>
          </w:p>
          <w:p w14:paraId="515F1DCA">
            <w:pPr>
              <w:spacing w:line="360" w:lineRule="auto"/>
              <w:ind w:firstLine="480" w:firstLineChars="200"/>
              <w:rPr>
                <w:rFonts w:hint="default"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（1）防治措施</w:t>
            </w:r>
          </w:p>
          <w:p w14:paraId="0A5BF0FE">
            <w:pPr>
              <w:spacing w:line="360" w:lineRule="auto"/>
              <w:ind w:firstLine="480" w:firstLineChars="200"/>
              <w:rPr>
                <w:rFonts w:hint="default" w:eastAsia="仿宋" w:cs="Times New Roman"/>
                <w:color w:val="auto"/>
                <w:kern w:val="2"/>
                <w:sz w:val="24"/>
                <w:szCs w:val="24"/>
                <w:highlight w:val="none"/>
                <w:lang w:val="en-US" w:eastAsia="zh-CN" w:bidi="ar-SA"/>
              </w:rPr>
            </w:pPr>
            <w:r>
              <w:rPr>
                <w:rFonts w:hint="default" w:eastAsia="仿宋" w:cs="Times New Roman"/>
                <w:color w:val="auto"/>
                <w:kern w:val="2"/>
                <w:sz w:val="24"/>
                <w:szCs w:val="24"/>
                <w:highlight w:val="none"/>
                <w:lang w:val="en-US" w:eastAsia="zh-CN" w:bidi="ar-SA"/>
              </w:rPr>
              <w:t>①处理规模</w:t>
            </w:r>
          </w:p>
          <w:p w14:paraId="1A350EEC">
            <w:pPr>
              <w:spacing w:line="360" w:lineRule="auto"/>
              <w:ind w:firstLine="480" w:firstLineChars="200"/>
              <w:rPr>
                <w:rFonts w:hint="default" w:eastAsia="仿宋" w:cs="Times New Roman"/>
                <w:color w:val="auto"/>
                <w:kern w:val="2"/>
                <w:sz w:val="24"/>
                <w:szCs w:val="24"/>
                <w:highlight w:val="none"/>
                <w:lang w:val="en-US" w:eastAsia="zh-CN" w:bidi="ar-SA"/>
              </w:rPr>
            </w:pPr>
            <w:r>
              <w:rPr>
                <w:rFonts w:hint="eastAsia" w:eastAsia="仿宋" w:cs="Times New Roman"/>
                <w:color w:val="auto"/>
                <w:kern w:val="2"/>
                <w:sz w:val="24"/>
                <w:szCs w:val="24"/>
                <w:highlight w:val="none"/>
                <w:lang w:val="en-US" w:eastAsia="zh-CN" w:bidi="ar-SA"/>
              </w:rPr>
              <w:t>本扩建工程项目新增综合废水排放量为201.88m</w:t>
            </w:r>
            <w:r>
              <w:rPr>
                <w:rFonts w:hint="eastAsia" w:eastAsia="仿宋" w:cs="Times New Roman"/>
                <w:color w:val="auto"/>
                <w:kern w:val="2"/>
                <w:sz w:val="24"/>
                <w:szCs w:val="24"/>
                <w:highlight w:val="none"/>
                <w:vertAlign w:val="superscript"/>
                <w:lang w:val="en-US" w:eastAsia="zh-CN" w:bidi="ar-SA"/>
              </w:rPr>
              <w:t>3</w:t>
            </w:r>
            <w:r>
              <w:rPr>
                <w:rFonts w:hint="eastAsia" w:eastAsia="仿宋" w:cs="Times New Roman"/>
                <w:color w:val="auto"/>
                <w:kern w:val="2"/>
                <w:sz w:val="24"/>
                <w:szCs w:val="24"/>
                <w:highlight w:val="none"/>
                <w:lang w:val="en-US" w:eastAsia="zh-CN" w:bidi="ar-SA"/>
              </w:rPr>
              <w:t>/d（73686.2m</w:t>
            </w:r>
            <w:r>
              <w:rPr>
                <w:rFonts w:hint="eastAsia" w:eastAsia="仿宋" w:cs="Times New Roman"/>
                <w:color w:val="auto"/>
                <w:kern w:val="2"/>
                <w:sz w:val="24"/>
                <w:szCs w:val="24"/>
                <w:highlight w:val="none"/>
                <w:vertAlign w:val="superscript"/>
                <w:lang w:val="en-US" w:eastAsia="zh-CN" w:bidi="ar-SA"/>
              </w:rPr>
              <w:t>3</w:t>
            </w:r>
            <w:r>
              <w:rPr>
                <w:rFonts w:hint="eastAsia" w:eastAsia="仿宋" w:cs="Times New Roman"/>
                <w:color w:val="auto"/>
                <w:kern w:val="2"/>
                <w:sz w:val="24"/>
                <w:szCs w:val="24"/>
                <w:highlight w:val="none"/>
                <w:lang w:val="en-US" w:eastAsia="zh-CN" w:bidi="ar-SA"/>
              </w:rPr>
              <w:t>/a），现有工程综合废水排放量为583.93</w:t>
            </w:r>
            <w:r>
              <w:rPr>
                <w:rFonts w:hint="default" w:eastAsia="仿宋" w:cs="Times New Roman"/>
                <w:color w:val="auto"/>
                <w:kern w:val="2"/>
                <w:sz w:val="24"/>
                <w:szCs w:val="24"/>
                <w:highlight w:val="none"/>
                <w:lang w:val="en-US" w:eastAsia="zh-CN" w:bidi="ar-SA"/>
              </w:rPr>
              <w:t>m</w:t>
            </w:r>
            <w:r>
              <w:rPr>
                <w:rFonts w:hint="default" w:eastAsia="仿宋" w:cs="Times New Roman"/>
                <w:color w:val="auto"/>
                <w:kern w:val="2"/>
                <w:sz w:val="24"/>
                <w:szCs w:val="24"/>
                <w:highlight w:val="none"/>
                <w:vertAlign w:val="superscript"/>
                <w:lang w:val="en-US" w:eastAsia="zh-CN" w:bidi="ar-SA"/>
              </w:rPr>
              <w:t>3</w:t>
            </w:r>
            <w:r>
              <w:rPr>
                <w:rFonts w:hint="default" w:eastAsia="仿宋" w:cs="Times New Roman"/>
                <w:color w:val="auto"/>
                <w:kern w:val="2"/>
                <w:sz w:val="24"/>
                <w:szCs w:val="24"/>
                <w:highlight w:val="none"/>
                <w:lang w:val="en-US" w:eastAsia="zh-CN" w:bidi="ar-SA"/>
              </w:rPr>
              <w:t>/d（</w:t>
            </w:r>
            <w:r>
              <w:rPr>
                <w:rFonts w:hint="eastAsia" w:eastAsia="仿宋" w:cs="Times New Roman"/>
                <w:color w:val="auto"/>
                <w:kern w:val="2"/>
                <w:sz w:val="24"/>
                <w:szCs w:val="24"/>
                <w:highlight w:val="none"/>
                <w:lang w:val="en-US" w:eastAsia="zh-CN" w:bidi="ar-SA"/>
              </w:rPr>
              <w:t>213138</w:t>
            </w:r>
            <w:r>
              <w:rPr>
                <w:rFonts w:hint="default" w:eastAsia="仿宋" w:cs="Times New Roman"/>
                <w:color w:val="auto"/>
                <w:kern w:val="2"/>
                <w:sz w:val="24"/>
                <w:szCs w:val="24"/>
                <w:highlight w:val="none"/>
                <w:lang w:val="en-US" w:eastAsia="zh-CN" w:bidi="ar-SA"/>
              </w:rPr>
              <w:t>m</w:t>
            </w:r>
            <w:r>
              <w:rPr>
                <w:rFonts w:hint="default" w:eastAsia="仿宋" w:cs="Times New Roman"/>
                <w:color w:val="auto"/>
                <w:kern w:val="2"/>
                <w:sz w:val="24"/>
                <w:szCs w:val="24"/>
                <w:highlight w:val="none"/>
                <w:vertAlign w:val="superscript"/>
                <w:lang w:val="en-US" w:eastAsia="zh-CN" w:bidi="ar-SA"/>
              </w:rPr>
              <w:t>3</w:t>
            </w:r>
            <w:r>
              <w:rPr>
                <w:rFonts w:hint="default" w:eastAsia="仿宋" w:cs="Times New Roman"/>
                <w:color w:val="auto"/>
                <w:kern w:val="2"/>
                <w:sz w:val="24"/>
                <w:szCs w:val="24"/>
                <w:highlight w:val="none"/>
                <w:lang w:val="en-US" w:eastAsia="zh-CN" w:bidi="ar-SA"/>
              </w:rPr>
              <w:t>/a）</w:t>
            </w:r>
            <w:r>
              <w:rPr>
                <w:rFonts w:hint="eastAsia" w:eastAsia="仿宋" w:cs="Times New Roman"/>
                <w:color w:val="auto"/>
                <w:kern w:val="2"/>
                <w:sz w:val="24"/>
                <w:szCs w:val="24"/>
                <w:highlight w:val="none"/>
                <w:lang w:val="en-US" w:eastAsia="zh-CN" w:bidi="ar-SA"/>
              </w:rPr>
              <w:t>。则扩建后全院综合废水总</w:t>
            </w:r>
            <w:r>
              <w:rPr>
                <w:rFonts w:hint="default" w:eastAsia="仿宋" w:cs="Times New Roman"/>
                <w:color w:val="auto"/>
                <w:kern w:val="2"/>
                <w:sz w:val="24"/>
                <w:szCs w:val="24"/>
                <w:highlight w:val="none"/>
                <w:lang w:val="en-US" w:eastAsia="zh-CN" w:bidi="ar-SA"/>
              </w:rPr>
              <w:t>排放量为</w:t>
            </w:r>
            <w:r>
              <w:rPr>
                <w:rFonts w:hint="eastAsia" w:eastAsia="仿宋" w:cs="Times New Roman"/>
                <w:color w:val="auto"/>
                <w:kern w:val="2"/>
                <w:sz w:val="24"/>
                <w:szCs w:val="24"/>
                <w:highlight w:val="none"/>
                <w:lang w:val="en-US" w:eastAsia="zh-CN" w:bidi="ar-SA"/>
              </w:rPr>
              <w:t>785.81</w:t>
            </w:r>
            <w:r>
              <w:rPr>
                <w:rFonts w:hint="default" w:eastAsia="仿宋" w:cs="Times New Roman"/>
                <w:color w:val="auto"/>
                <w:kern w:val="2"/>
                <w:sz w:val="24"/>
                <w:szCs w:val="24"/>
                <w:highlight w:val="none"/>
                <w:lang w:val="en-US" w:eastAsia="zh-CN" w:bidi="ar-SA"/>
              </w:rPr>
              <w:t>m</w:t>
            </w:r>
            <w:r>
              <w:rPr>
                <w:rFonts w:hint="default" w:eastAsia="仿宋" w:cs="Times New Roman"/>
                <w:color w:val="auto"/>
                <w:kern w:val="2"/>
                <w:sz w:val="24"/>
                <w:szCs w:val="24"/>
                <w:highlight w:val="none"/>
                <w:vertAlign w:val="superscript"/>
                <w:lang w:val="en-US" w:eastAsia="zh-CN" w:bidi="ar-SA"/>
              </w:rPr>
              <w:t>3</w:t>
            </w:r>
            <w:r>
              <w:rPr>
                <w:rFonts w:hint="default" w:eastAsia="仿宋" w:cs="Times New Roman"/>
                <w:color w:val="auto"/>
                <w:kern w:val="2"/>
                <w:sz w:val="24"/>
                <w:szCs w:val="24"/>
                <w:highlight w:val="none"/>
                <w:lang w:val="en-US" w:eastAsia="zh-CN" w:bidi="ar-SA"/>
              </w:rPr>
              <w:t>/d（</w:t>
            </w:r>
            <w:r>
              <w:rPr>
                <w:rFonts w:hint="eastAsia" w:eastAsia="仿宋" w:cs="Times New Roman"/>
                <w:color w:val="auto"/>
                <w:kern w:val="2"/>
                <w:sz w:val="24"/>
                <w:szCs w:val="24"/>
                <w:highlight w:val="none"/>
                <w:lang w:val="en-US" w:eastAsia="zh-CN" w:bidi="ar-SA"/>
              </w:rPr>
              <w:t>286824.2</w:t>
            </w:r>
            <w:r>
              <w:rPr>
                <w:rFonts w:hint="default" w:eastAsia="仿宋" w:cs="Times New Roman"/>
                <w:color w:val="auto"/>
                <w:kern w:val="2"/>
                <w:sz w:val="24"/>
                <w:szCs w:val="24"/>
                <w:highlight w:val="none"/>
                <w:lang w:val="en-US" w:eastAsia="zh-CN" w:bidi="ar-SA"/>
              </w:rPr>
              <w:t>m</w:t>
            </w:r>
            <w:r>
              <w:rPr>
                <w:rFonts w:hint="default" w:eastAsia="仿宋" w:cs="Times New Roman"/>
                <w:color w:val="auto"/>
                <w:kern w:val="2"/>
                <w:sz w:val="24"/>
                <w:szCs w:val="24"/>
                <w:highlight w:val="none"/>
                <w:vertAlign w:val="superscript"/>
                <w:lang w:val="en-US" w:eastAsia="zh-CN" w:bidi="ar-SA"/>
              </w:rPr>
              <w:t>3</w:t>
            </w:r>
            <w:r>
              <w:rPr>
                <w:rFonts w:hint="default" w:eastAsia="仿宋" w:cs="Times New Roman"/>
                <w:color w:val="auto"/>
                <w:kern w:val="2"/>
                <w:sz w:val="24"/>
                <w:szCs w:val="24"/>
                <w:highlight w:val="none"/>
                <w:lang w:val="en-US" w:eastAsia="zh-CN" w:bidi="ar-SA"/>
              </w:rPr>
              <w:t>/a）。</w:t>
            </w:r>
            <w:r>
              <w:rPr>
                <w:rFonts w:hint="eastAsia" w:eastAsia="仿宋" w:cs="Times New Roman"/>
                <w:color w:val="auto"/>
                <w:kern w:val="2"/>
                <w:sz w:val="24"/>
                <w:szCs w:val="24"/>
                <w:highlight w:val="none"/>
                <w:lang w:val="en-US" w:eastAsia="zh-CN" w:bidi="ar-SA"/>
              </w:rPr>
              <w:t>现有工程污水处理站工程设计处理水量为800m</w:t>
            </w:r>
            <w:r>
              <w:rPr>
                <w:rFonts w:hint="eastAsia" w:eastAsia="仿宋" w:cs="Times New Roman"/>
                <w:color w:val="auto"/>
                <w:kern w:val="2"/>
                <w:sz w:val="24"/>
                <w:szCs w:val="24"/>
                <w:highlight w:val="none"/>
                <w:vertAlign w:val="superscript"/>
                <w:lang w:val="en-US" w:eastAsia="zh-CN" w:bidi="ar-SA"/>
              </w:rPr>
              <w:t>3</w:t>
            </w:r>
            <w:r>
              <w:rPr>
                <w:rFonts w:hint="eastAsia" w:eastAsia="仿宋" w:cs="Times New Roman"/>
                <w:color w:val="auto"/>
                <w:kern w:val="2"/>
                <w:sz w:val="24"/>
                <w:szCs w:val="24"/>
                <w:highlight w:val="none"/>
                <w:lang w:val="en-US" w:eastAsia="zh-CN" w:bidi="ar-SA"/>
              </w:rPr>
              <w:t>/d，满足本项目污水处理规模</w:t>
            </w:r>
            <w:r>
              <w:rPr>
                <w:rFonts w:hint="default" w:eastAsia="仿宋" w:cs="Times New Roman"/>
                <w:color w:val="auto"/>
                <w:kern w:val="2"/>
                <w:sz w:val="24"/>
                <w:szCs w:val="24"/>
                <w:highlight w:val="none"/>
                <w:lang w:val="en-US" w:eastAsia="zh-CN" w:bidi="ar-SA"/>
              </w:rPr>
              <w:t>。</w:t>
            </w:r>
          </w:p>
          <w:p w14:paraId="32ED7714">
            <w:pPr>
              <w:spacing w:line="360" w:lineRule="auto"/>
              <w:ind w:firstLine="480" w:firstLineChars="200"/>
              <w:rPr>
                <w:rFonts w:hint="default" w:eastAsia="仿宋" w:cs="Times New Roman"/>
                <w:color w:val="auto"/>
                <w:kern w:val="0"/>
                <w:sz w:val="24"/>
                <w:szCs w:val="24"/>
                <w:highlight w:val="none"/>
                <w:lang w:val="en-US" w:eastAsia="zh-CN"/>
              </w:rPr>
            </w:pPr>
            <w:r>
              <w:rPr>
                <w:rFonts w:hint="default" w:eastAsia="仿宋" w:cs="Times New Roman"/>
                <w:color w:val="auto"/>
                <w:kern w:val="0"/>
                <w:sz w:val="24"/>
                <w:szCs w:val="24"/>
                <w:highlight w:val="none"/>
                <w:lang w:val="en-US" w:eastAsia="zh-CN"/>
              </w:rPr>
              <w:t>②污水处理工艺</w:t>
            </w:r>
          </w:p>
          <w:p w14:paraId="35808CBE">
            <w:pPr>
              <w:spacing w:line="360" w:lineRule="auto"/>
              <w:ind w:firstLine="480" w:firstLineChars="200"/>
              <w:rPr>
                <w:rFonts w:hint="default"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项目现有污水处理站采用“酸碱中和+生物接触氧化+沉淀+消毒”的处理工艺，消毒加药系统采用单过硫酸氢钾作为消毒剂。本项目综合废水排入金坛区第一污水处理厂进行进一步处理，现有工程污水处理工艺属于《医疗机构水污染物排放标准》（GB18466-2005）中要求的“二级处理＋消毒工艺”。项目污水处理工艺流程如图4-2：</w:t>
            </w:r>
          </w:p>
          <w:p w14:paraId="5D869466">
            <w:pPr>
              <w:spacing w:line="360" w:lineRule="auto"/>
              <w:jc w:val="center"/>
              <w:rPr>
                <w:rFonts w:hint="eastAsia" w:eastAsia="宋体"/>
                <w:b/>
                <w:color w:val="FF0000"/>
                <w:sz w:val="21"/>
                <w:szCs w:val="21"/>
                <w:lang w:eastAsia="zh-CN"/>
              </w:rPr>
            </w:pPr>
            <w:r>
              <w:rPr>
                <w:rFonts w:hint="eastAsia" w:eastAsia="宋体"/>
                <w:b/>
                <w:color w:val="FF0000"/>
                <w:sz w:val="21"/>
                <w:szCs w:val="21"/>
                <w:lang w:eastAsia="zh-CN"/>
              </w:rPr>
              <w:drawing>
                <wp:inline distT="0" distB="0" distL="114300" distR="114300">
                  <wp:extent cx="5287645" cy="6238875"/>
                  <wp:effectExtent l="0" t="0" r="8255" b="9525"/>
                  <wp:docPr id="3" name="图片 3" descr="174164205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1642058639"/>
                          <pic:cNvPicPr>
                            <a:picLocks noChangeAspect="1"/>
                          </pic:cNvPicPr>
                        </pic:nvPicPr>
                        <pic:blipFill>
                          <a:blip r:embed="rId25"/>
                          <a:stretch>
                            <a:fillRect/>
                          </a:stretch>
                        </pic:blipFill>
                        <pic:spPr>
                          <a:xfrm>
                            <a:off x="0" y="0"/>
                            <a:ext cx="5287645" cy="6238875"/>
                          </a:xfrm>
                          <a:prstGeom prst="rect">
                            <a:avLst/>
                          </a:prstGeom>
                        </pic:spPr>
                      </pic:pic>
                    </a:graphicData>
                  </a:graphic>
                </wp:inline>
              </w:drawing>
            </w:r>
          </w:p>
          <w:p w14:paraId="7D2AF8F8">
            <w:pPr>
              <w:spacing w:line="360" w:lineRule="auto"/>
              <w:jc w:val="center"/>
              <w:rPr>
                <w:rFonts w:ascii="Times New Roman"/>
                <w:color w:val="FF0000"/>
                <w:sz w:val="24"/>
                <w:szCs w:val="24"/>
              </w:rPr>
            </w:pPr>
            <w:r>
              <w:rPr>
                <w:rFonts w:hint="eastAsia" w:eastAsia="仿宋" w:cs="Times New Roman"/>
                <w:b/>
                <w:bCs/>
                <w:color w:val="auto"/>
                <w:kern w:val="2"/>
                <w:sz w:val="22"/>
                <w:szCs w:val="22"/>
                <w:highlight w:val="none"/>
                <w:lang w:val="en-US" w:eastAsia="zh-CN" w:bidi="ar-SA"/>
              </w:rPr>
              <w:t>图4-2  现有工程项目污水处理工艺流程图</w:t>
            </w:r>
          </w:p>
          <w:p w14:paraId="5AF55AB9">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default" w:eastAsia="仿宋" w:cs="Times New Roman"/>
                <w:color w:val="auto"/>
                <w:kern w:val="0"/>
                <w:sz w:val="24"/>
                <w:szCs w:val="24"/>
                <w:highlight w:val="none"/>
                <w:lang w:eastAsia="zh-CN"/>
              </w:rPr>
            </w:pPr>
            <w:r>
              <w:rPr>
                <w:rFonts w:hint="default" w:eastAsia="仿宋" w:cs="Times New Roman"/>
                <w:color w:val="auto"/>
                <w:kern w:val="0"/>
                <w:sz w:val="24"/>
                <w:szCs w:val="24"/>
                <w:highlight w:val="none"/>
                <w:lang w:eastAsia="zh-CN"/>
              </w:rPr>
              <w:t>③污水处理设施</w:t>
            </w:r>
            <w:r>
              <w:rPr>
                <w:rFonts w:hint="default" w:eastAsia="仿宋" w:cs="Times New Roman"/>
                <w:color w:val="auto"/>
                <w:kern w:val="0"/>
                <w:sz w:val="24"/>
                <w:szCs w:val="24"/>
                <w:highlight w:val="none"/>
                <w:lang w:val="en-US" w:eastAsia="zh-CN"/>
              </w:rPr>
              <w:t>工艺流程说明</w:t>
            </w:r>
          </w:p>
          <w:p w14:paraId="5F6B8D21">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污水主要依托现有项目的污水处理站处理废水，废水实行“雨污分类、污水分质处理、集中进行消毒处理”的原则，全院废水经预处理后达标接入城市污水管网，进行污水处理厂集中处理。</w:t>
            </w:r>
          </w:p>
          <w:p w14:paraId="0A6EEECF">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default"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（2）依托可行性分析</w:t>
            </w:r>
          </w:p>
          <w:p w14:paraId="0028E854">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default"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①废水处理工艺可行性分析</w:t>
            </w:r>
          </w:p>
          <w:p w14:paraId="067A7DD6">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根据《医院污水处理工程技术规范》（HJ2029-2013），非传染病医院污水若处理出水直接或间接排入地表水体或海域时，应采用“二级处理+（深度处理）+消毒工艺”；若处理出水排入终端已建有正常运行的二级污水处理厂的城市污水管网时，可采用“一级强化处理+消毒工艺”。</w:t>
            </w:r>
          </w:p>
          <w:p w14:paraId="1C509A38">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本项目经污水处理站处理的出水全部纳管排入金坛第一污水处理厂集中处理后处理达标后排放，采用二级生化处理+消毒工艺，消毒剂为单过硫酸氢钾，完全满足《医院污水处理工程技术规范》（HJ2029-2013）中“二级处理+消毒工艺”的要求，因此本项目选用该工艺是可行的。</w:t>
            </w:r>
          </w:p>
          <w:p w14:paraId="3087335C">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default"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②废水处理能力可行性分析</w:t>
            </w:r>
          </w:p>
          <w:p w14:paraId="38E1C93D">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根据设计方提供资料，该废水处理系统设计处理能力为800t/d，本项目建成后需处理的废水量约201.88t/d，现有工程废水量为</w:t>
            </w:r>
            <w:r>
              <w:rPr>
                <w:rFonts w:hint="eastAsia" w:eastAsia="仿宋" w:cs="Times New Roman"/>
                <w:color w:val="auto"/>
                <w:kern w:val="2"/>
                <w:sz w:val="24"/>
                <w:szCs w:val="24"/>
                <w:highlight w:val="none"/>
                <w:lang w:val="en-US" w:eastAsia="zh-CN" w:bidi="ar-SA"/>
              </w:rPr>
              <w:t>583.93</w:t>
            </w:r>
            <w:r>
              <w:rPr>
                <w:rFonts w:hint="eastAsia" w:eastAsia="仿宋" w:cs="Times New Roman"/>
                <w:color w:val="auto"/>
                <w:kern w:val="0"/>
                <w:sz w:val="24"/>
                <w:szCs w:val="24"/>
                <w:highlight w:val="none"/>
                <w:lang w:val="en-US" w:eastAsia="zh-CN"/>
              </w:rPr>
              <w:t>t/d，废水处理设施处理能力能够满足全院废水处理需求。</w:t>
            </w:r>
          </w:p>
          <w:p w14:paraId="6C5904BB">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（3）接管可行性分析</w:t>
            </w:r>
          </w:p>
          <w:p w14:paraId="3CAFC1B6">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①服务范围</w:t>
            </w:r>
          </w:p>
          <w:p w14:paraId="22177C98">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default"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eastAsia="zh-CN"/>
              </w:rPr>
              <w:t>根据本项目规划设计方案，污水从项目地块西侧拓荡路排出，据现场调查，目前拓荡路已完成建设，该道路上铺设有污水收集管网，说明本项目污水从管网建设来看具备接入城市污水处理厂的条件。金坛区第一污水处理厂</w:t>
            </w:r>
            <w:r>
              <w:rPr>
                <w:rFonts w:hint="eastAsia" w:eastAsia="仿宋" w:cs="Times New Roman"/>
                <w:color w:val="auto"/>
                <w:kern w:val="0"/>
                <w:sz w:val="24"/>
                <w:szCs w:val="24"/>
                <w:highlight w:val="none"/>
                <w:lang w:val="en-US" w:eastAsia="zh-CN"/>
              </w:rPr>
              <w:t>位于南环一路北侧、西环二路西侧，</w:t>
            </w:r>
            <w:r>
              <w:rPr>
                <w:rFonts w:hint="eastAsia" w:eastAsia="仿宋" w:cs="Times New Roman"/>
                <w:color w:val="auto"/>
                <w:kern w:val="0"/>
                <w:sz w:val="24"/>
                <w:szCs w:val="24"/>
                <w:highlight w:val="none"/>
                <w:lang w:eastAsia="zh-CN"/>
              </w:rPr>
              <w:t>主要为金坛区中心区域服务，对收集的污水进行处理达标排入丹金溧</w:t>
            </w:r>
            <w:r>
              <w:rPr>
                <w:rFonts w:hint="eastAsia" w:eastAsia="仿宋" w:cs="Times New Roman"/>
                <w:color w:val="auto"/>
                <w:kern w:val="0"/>
                <w:sz w:val="24"/>
                <w:szCs w:val="24"/>
                <w:highlight w:val="none"/>
                <w:lang w:val="en-US" w:eastAsia="zh-CN"/>
              </w:rPr>
              <w:t>漕河。本项目所在地属于该污水处理厂的服务范围内。</w:t>
            </w:r>
          </w:p>
          <w:p w14:paraId="6C542A5C">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②处理工艺</w:t>
            </w:r>
          </w:p>
          <w:p w14:paraId="3F65A06C">
            <w:pPr>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eastAsia" w:eastAsia="仿宋" w:cs="Times New Roman"/>
                <w:color w:val="auto"/>
                <w:kern w:val="0"/>
                <w:sz w:val="24"/>
                <w:szCs w:val="24"/>
                <w:highlight w:val="none"/>
                <w:lang w:eastAsia="zh-CN"/>
              </w:rPr>
              <w:t>常州金坛区第</w:t>
            </w:r>
            <w:r>
              <w:rPr>
                <w:rFonts w:hint="eastAsia" w:eastAsia="仿宋" w:cs="Times New Roman"/>
                <w:color w:val="auto"/>
                <w:kern w:val="0"/>
                <w:sz w:val="24"/>
                <w:szCs w:val="24"/>
                <w:highlight w:val="none"/>
                <w:lang w:val="en-US" w:eastAsia="zh-CN"/>
              </w:rPr>
              <w:t>一</w:t>
            </w:r>
            <w:r>
              <w:rPr>
                <w:rFonts w:hint="eastAsia" w:eastAsia="仿宋" w:cs="Times New Roman"/>
                <w:color w:val="auto"/>
                <w:kern w:val="0"/>
                <w:sz w:val="24"/>
                <w:szCs w:val="24"/>
                <w:highlight w:val="none"/>
                <w:lang w:eastAsia="zh-CN"/>
              </w:rPr>
              <w:t>污水处理有限公司</w:t>
            </w:r>
            <w:r>
              <w:rPr>
                <w:rFonts w:hint="default" w:ascii="Times New Roman" w:hAnsi="Times New Roman" w:eastAsia="仿宋" w:cs="Times New Roman"/>
                <w:color w:val="auto"/>
                <w:kern w:val="0"/>
                <w:sz w:val="24"/>
                <w:szCs w:val="24"/>
                <w:highlight w:val="none"/>
              </w:rPr>
              <w:t>污水处理工艺采用</w:t>
            </w:r>
            <w:r>
              <w:rPr>
                <w:rFonts w:hint="eastAsia" w:eastAsia="仿宋" w:cs="Times New Roman"/>
                <w:color w:val="auto"/>
                <w:kern w:val="0"/>
                <w:sz w:val="24"/>
                <w:szCs w:val="24"/>
                <w:highlight w:val="none"/>
                <w:lang w:eastAsia="zh-CN"/>
              </w:rPr>
              <w:t>“</w:t>
            </w:r>
            <w:r>
              <w:rPr>
                <w:rFonts w:hint="eastAsia" w:eastAsia="仿宋" w:cs="Times New Roman"/>
                <w:color w:val="auto"/>
                <w:kern w:val="0"/>
                <w:sz w:val="24"/>
                <w:szCs w:val="24"/>
                <w:highlight w:val="none"/>
                <w:lang w:val="en-US" w:eastAsia="zh-CN"/>
              </w:rPr>
              <w:t>曝气沉砂预处理+</w:t>
            </w:r>
            <w:r>
              <w:rPr>
                <w:rFonts w:hint="default" w:ascii="Times New Roman" w:hAnsi="Times New Roman" w:eastAsia="仿宋" w:cs="Times New Roman"/>
                <w:color w:val="auto"/>
                <w:kern w:val="0"/>
                <w:sz w:val="24"/>
                <w:szCs w:val="24"/>
                <w:highlight w:val="none"/>
                <w:lang w:val="en-US" w:eastAsia="zh-CN"/>
              </w:rPr>
              <w:t>A</w:t>
            </w:r>
            <w:r>
              <w:rPr>
                <w:rFonts w:hint="eastAsia" w:ascii="Times New Roman" w:hAnsi="Times New Roman" w:eastAsia="仿宋" w:cs="Times New Roman"/>
                <w:color w:val="auto"/>
                <w:kern w:val="0"/>
                <w:sz w:val="24"/>
                <w:szCs w:val="24"/>
                <w:highlight w:val="none"/>
                <w:vertAlign w:val="superscript"/>
                <w:lang w:val="en-US" w:eastAsia="zh-CN"/>
              </w:rPr>
              <w:t>2</w:t>
            </w:r>
            <w:r>
              <w:rPr>
                <w:rFonts w:hint="eastAsia" w:ascii="Times New Roman" w:hAnsi="Times New Roman" w:eastAsia="仿宋" w:cs="Times New Roman"/>
                <w:color w:val="auto"/>
                <w:kern w:val="0"/>
                <w:sz w:val="24"/>
                <w:szCs w:val="24"/>
                <w:highlight w:val="none"/>
                <w:lang w:val="en-US" w:eastAsia="zh-CN"/>
              </w:rPr>
              <w:t>/</w:t>
            </w:r>
            <w:r>
              <w:rPr>
                <w:rFonts w:hint="default" w:ascii="Times New Roman" w:hAnsi="Times New Roman" w:eastAsia="仿宋" w:cs="Times New Roman"/>
                <w:color w:val="auto"/>
                <w:kern w:val="0"/>
                <w:sz w:val="24"/>
                <w:szCs w:val="24"/>
                <w:highlight w:val="none"/>
                <w:lang w:val="en-US" w:eastAsia="zh-CN"/>
              </w:rPr>
              <w:t>O</w:t>
            </w:r>
            <w:r>
              <w:rPr>
                <w:rFonts w:hint="eastAsia" w:ascii="Times New Roman" w:hAnsi="Times New Roman" w:eastAsia="仿宋" w:cs="Times New Roman"/>
                <w:color w:val="auto"/>
                <w:kern w:val="0"/>
                <w:sz w:val="24"/>
                <w:szCs w:val="24"/>
                <w:highlight w:val="none"/>
                <w:lang w:val="en-US" w:eastAsia="zh-CN"/>
              </w:rPr>
              <w:t>+活性砂滤池</w:t>
            </w:r>
            <w:r>
              <w:rPr>
                <w:rFonts w:hint="eastAsia" w:eastAsia="仿宋" w:cs="Times New Roman"/>
                <w:color w:val="auto"/>
                <w:kern w:val="0"/>
                <w:sz w:val="24"/>
                <w:szCs w:val="24"/>
                <w:highlight w:val="none"/>
                <w:lang w:eastAsia="zh-CN"/>
              </w:rPr>
              <w:t>”</w:t>
            </w:r>
            <w:r>
              <w:rPr>
                <w:rFonts w:hint="eastAsia" w:eastAsia="仿宋" w:cs="Times New Roman"/>
                <w:color w:val="auto"/>
                <w:kern w:val="0"/>
                <w:sz w:val="24"/>
                <w:szCs w:val="24"/>
                <w:highlight w:val="none"/>
                <w:lang w:val="en-US" w:eastAsia="zh-CN"/>
              </w:rPr>
              <w:t>工艺。</w:t>
            </w:r>
          </w:p>
          <w:p w14:paraId="34030656">
            <w:pPr>
              <w:spacing w:line="360" w:lineRule="auto"/>
              <w:ind w:firstLine="480" w:firstLineChars="200"/>
              <w:rPr>
                <w:rFonts w:hint="default"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③接管水量水质可行性</w:t>
            </w:r>
          </w:p>
          <w:p w14:paraId="67A0ABF8">
            <w:pPr>
              <w:spacing w:line="360" w:lineRule="auto"/>
              <w:ind w:firstLine="480" w:firstLineChars="200"/>
              <w:rPr>
                <w:rFonts w:hint="default" w:ascii="Times New Roman" w:hAnsi="Times New Roman" w:eastAsia="宋体" w:cs="Times New Roman"/>
                <w:color w:val="FF0000"/>
                <w:sz w:val="24"/>
                <w:lang w:val="en-US" w:eastAsia="zh-CN"/>
              </w:rPr>
            </w:pPr>
            <w:r>
              <w:rPr>
                <w:rFonts w:hint="eastAsia" w:eastAsia="仿宋" w:cs="Times New Roman"/>
                <w:color w:val="auto"/>
                <w:kern w:val="0"/>
                <w:sz w:val="24"/>
                <w:szCs w:val="24"/>
                <w:highlight w:val="none"/>
                <w:lang w:val="en-US" w:eastAsia="zh-CN"/>
              </w:rPr>
              <w:t>本项目废水主要为生活污水、医护人员、住院病人、生活污水、食堂废水，排放量约为201.88t/d，经预处理后接管排放，能够满足污水处理厂的进水水质要求，金坛区第一污水处理厂于2022年移址新建至金坛区金城镇新镇广路西侧、新丹金溧漕河东侧，一期污水厂建设规模和配套建设尾水人工湿地规模均为6万吨/日，有能力接纳该股废水，项目所在地污水管网已铺设完善，故本项目可接管金坛区第一污水处理厂。</w:t>
            </w:r>
          </w:p>
          <w:p w14:paraId="6D7AD004">
            <w:pPr>
              <w:pStyle w:val="38"/>
              <w:ind w:left="0" w:leftChars="0" w:firstLine="0" w:firstLineChars="0"/>
              <w:rPr>
                <w:rFonts w:hint="default"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（三）污染物排放情况</w:t>
            </w:r>
          </w:p>
          <w:p w14:paraId="2EFE338C">
            <w:pPr>
              <w:spacing w:line="360" w:lineRule="auto"/>
              <w:ind w:firstLine="480" w:firstLineChars="200"/>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本项目水污染物产生及排放情况见表</w:t>
            </w:r>
            <w:r>
              <w:rPr>
                <w:rFonts w:hint="eastAsia" w:eastAsia="仿宋" w:cs="Times New Roman"/>
                <w:color w:val="auto"/>
                <w:kern w:val="0"/>
                <w:sz w:val="24"/>
                <w:szCs w:val="24"/>
                <w:highlight w:val="none"/>
                <w:lang w:val="en-US" w:eastAsia="zh-CN" w:bidi="ar-SA"/>
              </w:rPr>
              <w:t>4</w:t>
            </w:r>
            <w:r>
              <w:rPr>
                <w:rFonts w:hint="eastAsia" w:ascii="Times New Roman" w:hAnsi="Times New Roman" w:eastAsia="仿宋" w:cs="Times New Roman"/>
                <w:color w:val="auto"/>
                <w:kern w:val="0"/>
                <w:sz w:val="24"/>
                <w:szCs w:val="24"/>
                <w:highlight w:val="none"/>
                <w:lang w:val="en-US" w:eastAsia="zh-CN" w:bidi="ar-SA"/>
              </w:rPr>
              <w:t>-</w:t>
            </w:r>
            <w:r>
              <w:rPr>
                <w:rFonts w:hint="eastAsia" w:eastAsia="仿宋" w:cs="Times New Roman"/>
                <w:color w:val="auto"/>
                <w:kern w:val="0"/>
                <w:sz w:val="24"/>
                <w:szCs w:val="24"/>
                <w:highlight w:val="none"/>
                <w:lang w:val="en-US" w:eastAsia="zh-CN" w:bidi="ar-SA"/>
              </w:rPr>
              <w:t>8</w:t>
            </w:r>
            <w:r>
              <w:rPr>
                <w:rFonts w:hint="eastAsia" w:ascii="Times New Roman" w:hAnsi="Times New Roman" w:eastAsia="仿宋" w:cs="Times New Roman"/>
                <w:color w:val="auto"/>
                <w:kern w:val="0"/>
                <w:sz w:val="24"/>
                <w:szCs w:val="24"/>
                <w:highlight w:val="none"/>
                <w:lang w:val="en-US" w:eastAsia="zh-CN" w:bidi="ar-SA"/>
              </w:rPr>
              <w:t>。</w:t>
            </w:r>
          </w:p>
          <w:p w14:paraId="61B4C456">
            <w:pPr>
              <w:pStyle w:val="38"/>
              <w:ind w:left="0" w:leftChars="0" w:firstLine="0" w:firstLineChars="0"/>
              <w:jc w:val="center"/>
              <w:rPr>
                <w:rFonts w:hint="default" w:ascii="Times New Roman" w:hAnsi="Times New Roman" w:eastAsia="仿宋" w:cs="Times New Roman"/>
                <w:b/>
                <w:bCs/>
                <w:color w:val="auto"/>
                <w:kern w:val="0"/>
                <w:sz w:val="22"/>
                <w:szCs w:val="22"/>
                <w:highlight w:val="none"/>
                <w:lang w:val="en-US" w:eastAsia="zh-CN" w:bidi="ar-SA"/>
              </w:rPr>
            </w:pPr>
            <w:r>
              <w:rPr>
                <w:rFonts w:hint="eastAsia" w:ascii="Times New Roman" w:hAnsi="Times New Roman" w:eastAsia="仿宋" w:cs="Times New Roman"/>
                <w:b/>
                <w:bCs/>
                <w:color w:val="auto"/>
                <w:kern w:val="0"/>
                <w:sz w:val="22"/>
                <w:szCs w:val="22"/>
                <w:highlight w:val="none"/>
                <w:lang w:val="en-US" w:eastAsia="zh-CN" w:bidi="ar-SA"/>
              </w:rPr>
              <w:t>表4-8 本项目水污染物产生及排放情况</w:t>
            </w:r>
          </w:p>
          <w:tbl>
            <w:tblPr>
              <w:tblStyle w:val="32"/>
              <w:tblW w:w="8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980"/>
              <w:gridCol w:w="957"/>
              <w:gridCol w:w="932"/>
              <w:gridCol w:w="900"/>
              <w:gridCol w:w="1088"/>
              <w:gridCol w:w="1012"/>
              <w:gridCol w:w="875"/>
              <w:gridCol w:w="818"/>
            </w:tblGrid>
            <w:tr w14:paraId="33F3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Merge w:val="restart"/>
                </w:tcPr>
                <w:p w14:paraId="6936AA09">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废水类别</w:t>
                  </w:r>
                </w:p>
              </w:tc>
              <w:tc>
                <w:tcPr>
                  <w:tcW w:w="980" w:type="dxa"/>
                  <w:vMerge w:val="restart"/>
                </w:tcPr>
                <w:p w14:paraId="4BC2CD13">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废水量（m</w:t>
                  </w:r>
                  <w:r>
                    <w:rPr>
                      <w:rFonts w:hint="eastAsia" w:ascii="Times New Roman" w:hAnsi="Times New Roman" w:eastAsia="仿宋" w:cs="Times New Roman"/>
                      <w:b/>
                      <w:bCs/>
                      <w:color w:val="auto"/>
                      <w:sz w:val="21"/>
                      <w:szCs w:val="21"/>
                      <w:highlight w:val="none"/>
                      <w:vertAlign w:val="superscript"/>
                      <w:lang w:val="en-US" w:eastAsia="zh-CN"/>
                    </w:rPr>
                    <w:t>3</w:t>
                  </w:r>
                  <w:r>
                    <w:rPr>
                      <w:rFonts w:hint="eastAsia" w:ascii="Times New Roman" w:hAnsi="Times New Roman" w:eastAsia="仿宋" w:cs="Times New Roman"/>
                      <w:b/>
                      <w:bCs/>
                      <w:color w:val="auto"/>
                      <w:sz w:val="21"/>
                      <w:szCs w:val="21"/>
                      <w:highlight w:val="none"/>
                      <w:lang w:val="en-US" w:eastAsia="zh-CN"/>
                    </w:rPr>
                    <w:t>/a）</w:t>
                  </w:r>
                </w:p>
              </w:tc>
              <w:tc>
                <w:tcPr>
                  <w:tcW w:w="957" w:type="dxa"/>
                  <w:vMerge w:val="restart"/>
                </w:tcPr>
                <w:p w14:paraId="4A75B9B6">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污染物名称</w:t>
                  </w:r>
                </w:p>
              </w:tc>
              <w:tc>
                <w:tcPr>
                  <w:tcW w:w="1832" w:type="dxa"/>
                  <w:gridSpan w:val="2"/>
                </w:tcPr>
                <w:p w14:paraId="43CD2C20">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污染物产生量</w:t>
                  </w:r>
                </w:p>
              </w:tc>
              <w:tc>
                <w:tcPr>
                  <w:tcW w:w="1088" w:type="dxa"/>
                  <w:vMerge w:val="restart"/>
                </w:tcPr>
                <w:p w14:paraId="374D8E0A">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治理措施</w:t>
                  </w:r>
                </w:p>
              </w:tc>
              <w:tc>
                <w:tcPr>
                  <w:tcW w:w="1887" w:type="dxa"/>
                  <w:gridSpan w:val="2"/>
                </w:tcPr>
                <w:p w14:paraId="5A96C37F">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污染物</w:t>
                  </w:r>
                  <w:r>
                    <w:rPr>
                      <w:rFonts w:hint="eastAsia" w:eastAsia="仿宋" w:cs="Times New Roman"/>
                      <w:b/>
                      <w:bCs/>
                      <w:color w:val="auto"/>
                      <w:sz w:val="21"/>
                      <w:szCs w:val="21"/>
                      <w:highlight w:val="none"/>
                      <w:lang w:val="en-US" w:eastAsia="zh-CN"/>
                    </w:rPr>
                    <w:t>接管</w:t>
                  </w:r>
                  <w:r>
                    <w:rPr>
                      <w:rFonts w:hint="eastAsia" w:ascii="Times New Roman" w:hAnsi="Times New Roman" w:eastAsia="仿宋" w:cs="Times New Roman"/>
                      <w:b/>
                      <w:bCs/>
                      <w:color w:val="auto"/>
                      <w:sz w:val="21"/>
                      <w:szCs w:val="21"/>
                      <w:highlight w:val="none"/>
                      <w:lang w:val="en-US" w:eastAsia="zh-CN"/>
                    </w:rPr>
                    <w:t>量</w:t>
                  </w:r>
                </w:p>
              </w:tc>
              <w:tc>
                <w:tcPr>
                  <w:tcW w:w="818" w:type="dxa"/>
                  <w:vMerge w:val="restart"/>
                </w:tcPr>
                <w:p w14:paraId="58C2BEE9">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排放去向</w:t>
                  </w:r>
                </w:p>
              </w:tc>
            </w:tr>
            <w:tr w14:paraId="1DC0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Merge w:val="continue"/>
                </w:tcPr>
                <w:p w14:paraId="0220D833">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p>
              </w:tc>
              <w:tc>
                <w:tcPr>
                  <w:tcW w:w="980" w:type="dxa"/>
                  <w:vMerge w:val="continue"/>
                </w:tcPr>
                <w:p w14:paraId="06F6D405">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p>
              </w:tc>
              <w:tc>
                <w:tcPr>
                  <w:tcW w:w="957" w:type="dxa"/>
                  <w:vMerge w:val="continue"/>
                </w:tcPr>
                <w:p w14:paraId="603ABF3D">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p>
              </w:tc>
              <w:tc>
                <w:tcPr>
                  <w:tcW w:w="932" w:type="dxa"/>
                </w:tcPr>
                <w:p w14:paraId="418E2350">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浓度（mg/l）</w:t>
                  </w:r>
                </w:p>
              </w:tc>
              <w:tc>
                <w:tcPr>
                  <w:tcW w:w="900" w:type="dxa"/>
                </w:tcPr>
                <w:p w14:paraId="2A73BD26">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产生量（t/a）</w:t>
                  </w:r>
                </w:p>
              </w:tc>
              <w:tc>
                <w:tcPr>
                  <w:tcW w:w="1088" w:type="dxa"/>
                  <w:vMerge w:val="continue"/>
                </w:tcPr>
                <w:p w14:paraId="1DD5DC7C">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p>
              </w:tc>
              <w:tc>
                <w:tcPr>
                  <w:tcW w:w="1012" w:type="dxa"/>
                </w:tcPr>
                <w:p w14:paraId="6FB9CD3F">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浓度（mg/l）</w:t>
                  </w:r>
                </w:p>
              </w:tc>
              <w:tc>
                <w:tcPr>
                  <w:tcW w:w="875" w:type="dxa"/>
                </w:tcPr>
                <w:p w14:paraId="0A28DBFC">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排放</w:t>
                  </w:r>
                  <w:r>
                    <w:rPr>
                      <w:rFonts w:hint="eastAsia" w:ascii="Times New Roman" w:hAnsi="Times New Roman" w:eastAsia="仿宋" w:cs="Times New Roman"/>
                      <w:b/>
                      <w:bCs/>
                      <w:color w:val="auto"/>
                      <w:sz w:val="21"/>
                      <w:szCs w:val="21"/>
                      <w:highlight w:val="none"/>
                      <w:lang w:val="en-US" w:eastAsia="zh-CN"/>
                    </w:rPr>
                    <w:t>量（t/a）</w:t>
                  </w:r>
                </w:p>
              </w:tc>
              <w:tc>
                <w:tcPr>
                  <w:tcW w:w="818" w:type="dxa"/>
                  <w:vMerge w:val="continue"/>
                </w:tcPr>
                <w:p w14:paraId="0FEEC38A">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p>
              </w:tc>
            </w:tr>
            <w:tr w14:paraId="017A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66" w:type="dxa"/>
                  <w:vMerge w:val="restart"/>
                  <w:vAlign w:val="center"/>
                </w:tcPr>
                <w:p w14:paraId="073B6A35">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综合废水</w:t>
                  </w:r>
                </w:p>
              </w:tc>
              <w:tc>
                <w:tcPr>
                  <w:tcW w:w="980" w:type="dxa"/>
                  <w:vMerge w:val="restart"/>
                  <w:vAlign w:val="center"/>
                </w:tcPr>
                <w:p w14:paraId="3643AC07">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73687.66</w:t>
                  </w:r>
                </w:p>
              </w:tc>
              <w:tc>
                <w:tcPr>
                  <w:tcW w:w="957" w:type="dxa"/>
                  <w:vAlign w:val="center"/>
                </w:tcPr>
                <w:p w14:paraId="37BB2F18">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COD</w:t>
                  </w:r>
                </w:p>
              </w:tc>
              <w:tc>
                <w:tcPr>
                  <w:tcW w:w="932" w:type="dxa"/>
                  <w:vAlign w:val="center"/>
                </w:tcPr>
                <w:p w14:paraId="1752DF09">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350</w:t>
                  </w:r>
                </w:p>
              </w:tc>
              <w:tc>
                <w:tcPr>
                  <w:tcW w:w="900" w:type="dxa"/>
                  <w:vAlign w:val="center"/>
                </w:tcPr>
                <w:p w14:paraId="0B90EA7B">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25.79</w:t>
                  </w:r>
                </w:p>
              </w:tc>
              <w:tc>
                <w:tcPr>
                  <w:tcW w:w="1088" w:type="dxa"/>
                  <w:vMerge w:val="restart"/>
                  <w:vAlign w:val="center"/>
                </w:tcPr>
                <w:p w14:paraId="699A4CED">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生活污水、经隔油的食堂废水、经单独处理的特殊医疗废水及普通医疗废水一起经污水处理站预理后达标后接管。</w:t>
                  </w:r>
                </w:p>
              </w:tc>
              <w:tc>
                <w:tcPr>
                  <w:tcW w:w="1012" w:type="dxa"/>
                  <w:vAlign w:val="center"/>
                </w:tcPr>
                <w:p w14:paraId="416EB10D">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≤200</w:t>
                  </w:r>
                </w:p>
              </w:tc>
              <w:tc>
                <w:tcPr>
                  <w:tcW w:w="875" w:type="dxa"/>
                  <w:vAlign w:val="center"/>
                </w:tcPr>
                <w:p w14:paraId="75BD3631">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14.74</w:t>
                  </w:r>
                </w:p>
              </w:tc>
              <w:tc>
                <w:tcPr>
                  <w:tcW w:w="818" w:type="dxa"/>
                  <w:vMerge w:val="restart"/>
                  <w:vAlign w:val="center"/>
                </w:tcPr>
                <w:p w14:paraId="4FB46126">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排入市政污水管网，进金坛区第一污水厂集中处理</w:t>
                  </w:r>
                </w:p>
              </w:tc>
            </w:tr>
            <w:tr w14:paraId="5730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66" w:type="dxa"/>
                  <w:vMerge w:val="continue"/>
                </w:tcPr>
                <w:p w14:paraId="0D8F0F4C">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rPr>
                  </w:pPr>
                </w:p>
              </w:tc>
              <w:tc>
                <w:tcPr>
                  <w:tcW w:w="980" w:type="dxa"/>
                  <w:vMerge w:val="continue"/>
                </w:tcPr>
                <w:p w14:paraId="30485A21">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rPr>
                  </w:pPr>
                </w:p>
              </w:tc>
              <w:tc>
                <w:tcPr>
                  <w:tcW w:w="957" w:type="dxa"/>
                  <w:vAlign w:val="center"/>
                </w:tcPr>
                <w:p w14:paraId="19051436">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SS</w:t>
                  </w:r>
                </w:p>
              </w:tc>
              <w:tc>
                <w:tcPr>
                  <w:tcW w:w="932" w:type="dxa"/>
                  <w:vAlign w:val="center"/>
                </w:tcPr>
                <w:p w14:paraId="1281ED36">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200</w:t>
                  </w:r>
                </w:p>
              </w:tc>
              <w:tc>
                <w:tcPr>
                  <w:tcW w:w="900" w:type="dxa"/>
                  <w:vAlign w:val="center"/>
                </w:tcPr>
                <w:p w14:paraId="63D24172">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14.74</w:t>
                  </w:r>
                </w:p>
              </w:tc>
              <w:tc>
                <w:tcPr>
                  <w:tcW w:w="1088" w:type="dxa"/>
                  <w:vMerge w:val="continue"/>
                  <w:vAlign w:val="center"/>
                </w:tcPr>
                <w:p w14:paraId="2DCF4480">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1012" w:type="dxa"/>
                  <w:vAlign w:val="center"/>
                </w:tcPr>
                <w:p w14:paraId="2FBF5A16">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≤60</w:t>
                  </w:r>
                </w:p>
              </w:tc>
              <w:tc>
                <w:tcPr>
                  <w:tcW w:w="875" w:type="dxa"/>
                  <w:vAlign w:val="center"/>
                </w:tcPr>
                <w:p w14:paraId="63221BB8">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4.42</w:t>
                  </w:r>
                </w:p>
              </w:tc>
              <w:tc>
                <w:tcPr>
                  <w:tcW w:w="818" w:type="dxa"/>
                  <w:vMerge w:val="continue"/>
                </w:tcPr>
                <w:p w14:paraId="28E0A1F4">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r>
            <w:tr w14:paraId="276B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66" w:type="dxa"/>
                  <w:vMerge w:val="continue"/>
                </w:tcPr>
                <w:p w14:paraId="024539DA">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80" w:type="dxa"/>
                  <w:vMerge w:val="continue"/>
                </w:tcPr>
                <w:p w14:paraId="3B6ED1FD">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57" w:type="dxa"/>
                  <w:vAlign w:val="center"/>
                </w:tcPr>
                <w:p w14:paraId="2CE78B1C">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NH</w:t>
                  </w:r>
                  <w:r>
                    <w:rPr>
                      <w:rFonts w:hint="eastAsia" w:ascii="Times New Roman" w:hAnsi="Times New Roman" w:eastAsia="仿宋" w:cs="Times New Roman"/>
                      <w:color w:val="auto"/>
                      <w:sz w:val="21"/>
                      <w:szCs w:val="21"/>
                      <w:highlight w:val="none"/>
                      <w:vertAlign w:val="subscript"/>
                      <w:lang w:val="en-US" w:eastAsia="zh-CN"/>
                    </w:rPr>
                    <w:t>3</w:t>
                  </w:r>
                  <w:r>
                    <w:rPr>
                      <w:rFonts w:hint="eastAsia" w:ascii="Times New Roman" w:hAnsi="Times New Roman" w:eastAsia="仿宋" w:cs="Times New Roman"/>
                      <w:color w:val="auto"/>
                      <w:sz w:val="21"/>
                      <w:szCs w:val="21"/>
                      <w:highlight w:val="none"/>
                      <w:lang w:val="en-US" w:eastAsia="zh-CN"/>
                    </w:rPr>
                    <w:t>-N</w:t>
                  </w:r>
                </w:p>
              </w:tc>
              <w:tc>
                <w:tcPr>
                  <w:tcW w:w="932" w:type="dxa"/>
                  <w:vAlign w:val="center"/>
                </w:tcPr>
                <w:p w14:paraId="739C570A">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45</w:t>
                  </w:r>
                </w:p>
              </w:tc>
              <w:tc>
                <w:tcPr>
                  <w:tcW w:w="900" w:type="dxa"/>
                  <w:vAlign w:val="center"/>
                </w:tcPr>
                <w:p w14:paraId="5F6CD74D">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3.32</w:t>
                  </w:r>
                </w:p>
              </w:tc>
              <w:tc>
                <w:tcPr>
                  <w:tcW w:w="1088" w:type="dxa"/>
                  <w:vMerge w:val="continue"/>
                  <w:vAlign w:val="center"/>
                </w:tcPr>
                <w:p w14:paraId="6D843D19">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1012" w:type="dxa"/>
                  <w:vAlign w:val="center"/>
                </w:tcPr>
                <w:p w14:paraId="4C7BB12C">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≤30</w:t>
                  </w:r>
                </w:p>
              </w:tc>
              <w:tc>
                <w:tcPr>
                  <w:tcW w:w="875" w:type="dxa"/>
                  <w:vAlign w:val="center"/>
                </w:tcPr>
                <w:p w14:paraId="62C5D48C">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2.21</w:t>
                  </w:r>
                </w:p>
              </w:tc>
              <w:tc>
                <w:tcPr>
                  <w:tcW w:w="818" w:type="dxa"/>
                  <w:vMerge w:val="continue"/>
                </w:tcPr>
                <w:p w14:paraId="2939BBC4">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r>
            <w:tr w14:paraId="5168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66" w:type="dxa"/>
                  <w:vMerge w:val="continue"/>
                </w:tcPr>
                <w:p w14:paraId="0CF8F2EE">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80" w:type="dxa"/>
                  <w:vMerge w:val="continue"/>
                </w:tcPr>
                <w:p w14:paraId="4F5ED69D">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57" w:type="dxa"/>
                  <w:vAlign w:val="center"/>
                </w:tcPr>
                <w:p w14:paraId="3FB613D1">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TP</w:t>
                  </w:r>
                </w:p>
              </w:tc>
              <w:tc>
                <w:tcPr>
                  <w:tcW w:w="932" w:type="dxa"/>
                  <w:vAlign w:val="center"/>
                </w:tcPr>
                <w:p w14:paraId="4705F2B8">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w:t>
                  </w:r>
                </w:p>
              </w:tc>
              <w:tc>
                <w:tcPr>
                  <w:tcW w:w="900" w:type="dxa"/>
                  <w:vAlign w:val="center"/>
                </w:tcPr>
                <w:p w14:paraId="63096293">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0.59</w:t>
                  </w:r>
                </w:p>
              </w:tc>
              <w:tc>
                <w:tcPr>
                  <w:tcW w:w="1088" w:type="dxa"/>
                  <w:vMerge w:val="continue"/>
                  <w:vAlign w:val="center"/>
                </w:tcPr>
                <w:p w14:paraId="25154868">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1012" w:type="dxa"/>
                  <w:vAlign w:val="center"/>
                </w:tcPr>
                <w:p w14:paraId="795B9662">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w:t>
                  </w:r>
                </w:p>
              </w:tc>
              <w:tc>
                <w:tcPr>
                  <w:tcW w:w="875" w:type="dxa"/>
                  <w:vAlign w:val="center"/>
                </w:tcPr>
                <w:p w14:paraId="5AE958F6">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0.37</w:t>
                  </w:r>
                </w:p>
              </w:tc>
              <w:tc>
                <w:tcPr>
                  <w:tcW w:w="818" w:type="dxa"/>
                  <w:vMerge w:val="continue"/>
                </w:tcPr>
                <w:p w14:paraId="18537982">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r>
            <w:tr w14:paraId="4340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66" w:type="dxa"/>
                  <w:vMerge w:val="continue"/>
                </w:tcPr>
                <w:p w14:paraId="20B67B15">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80" w:type="dxa"/>
                  <w:vMerge w:val="continue"/>
                </w:tcPr>
                <w:p w14:paraId="01940F64">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57" w:type="dxa"/>
                  <w:vAlign w:val="center"/>
                </w:tcPr>
                <w:p w14:paraId="21F21A10">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TN</w:t>
                  </w:r>
                </w:p>
              </w:tc>
              <w:tc>
                <w:tcPr>
                  <w:tcW w:w="932" w:type="dxa"/>
                  <w:vAlign w:val="center"/>
                </w:tcPr>
                <w:p w14:paraId="2C5A8E12">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w:t>
                  </w:r>
                </w:p>
              </w:tc>
              <w:tc>
                <w:tcPr>
                  <w:tcW w:w="900" w:type="dxa"/>
                  <w:vAlign w:val="center"/>
                </w:tcPr>
                <w:p w14:paraId="65457989">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3.68</w:t>
                  </w:r>
                </w:p>
              </w:tc>
              <w:tc>
                <w:tcPr>
                  <w:tcW w:w="1088" w:type="dxa"/>
                  <w:vMerge w:val="continue"/>
                  <w:vAlign w:val="center"/>
                </w:tcPr>
                <w:p w14:paraId="52C4DB8C">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1012" w:type="dxa"/>
                  <w:vAlign w:val="center"/>
                </w:tcPr>
                <w:p w14:paraId="65ADB249">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≤40</w:t>
                  </w:r>
                </w:p>
              </w:tc>
              <w:tc>
                <w:tcPr>
                  <w:tcW w:w="875" w:type="dxa"/>
                  <w:vAlign w:val="center"/>
                </w:tcPr>
                <w:p w14:paraId="4977F697">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2.95</w:t>
                  </w:r>
                </w:p>
              </w:tc>
              <w:tc>
                <w:tcPr>
                  <w:tcW w:w="818" w:type="dxa"/>
                  <w:vMerge w:val="continue"/>
                </w:tcPr>
                <w:p w14:paraId="71B39993">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r>
            <w:tr w14:paraId="141E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66" w:type="dxa"/>
                  <w:vMerge w:val="continue"/>
                </w:tcPr>
                <w:p w14:paraId="14E91D12">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80" w:type="dxa"/>
                  <w:vMerge w:val="continue"/>
                </w:tcPr>
                <w:p w14:paraId="3EF5619A">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57" w:type="dxa"/>
                  <w:vAlign w:val="center"/>
                </w:tcPr>
                <w:p w14:paraId="27C8BF77">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pH</w:t>
                  </w:r>
                </w:p>
              </w:tc>
              <w:tc>
                <w:tcPr>
                  <w:tcW w:w="932" w:type="dxa"/>
                  <w:vAlign w:val="center"/>
                </w:tcPr>
                <w:p w14:paraId="0A86F099">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6-9</w:t>
                  </w:r>
                </w:p>
              </w:tc>
              <w:tc>
                <w:tcPr>
                  <w:tcW w:w="900" w:type="dxa"/>
                  <w:vAlign w:val="center"/>
                </w:tcPr>
                <w:p w14:paraId="2018FA9F">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1088" w:type="dxa"/>
                  <w:vMerge w:val="continue"/>
                  <w:vAlign w:val="center"/>
                </w:tcPr>
                <w:p w14:paraId="60B14A7D">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1012" w:type="dxa"/>
                  <w:vAlign w:val="center"/>
                </w:tcPr>
                <w:p w14:paraId="4C4F5F13">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6-9</w:t>
                  </w:r>
                </w:p>
              </w:tc>
              <w:tc>
                <w:tcPr>
                  <w:tcW w:w="875" w:type="dxa"/>
                  <w:vAlign w:val="center"/>
                </w:tcPr>
                <w:p w14:paraId="43303BA2">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818" w:type="dxa"/>
                  <w:vMerge w:val="continue"/>
                </w:tcPr>
                <w:p w14:paraId="334EE95B">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r>
            <w:tr w14:paraId="3EF2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66" w:type="dxa"/>
                  <w:vMerge w:val="continue"/>
                </w:tcPr>
                <w:p w14:paraId="26B6B386">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80" w:type="dxa"/>
                  <w:vMerge w:val="continue"/>
                </w:tcPr>
                <w:p w14:paraId="407B387A">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57" w:type="dxa"/>
                  <w:vAlign w:val="center"/>
                </w:tcPr>
                <w:p w14:paraId="6ED40D62">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动植物油</w:t>
                  </w:r>
                </w:p>
              </w:tc>
              <w:tc>
                <w:tcPr>
                  <w:tcW w:w="932" w:type="dxa"/>
                  <w:vAlign w:val="center"/>
                </w:tcPr>
                <w:p w14:paraId="51DBD47F">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w:t>
                  </w:r>
                </w:p>
              </w:tc>
              <w:tc>
                <w:tcPr>
                  <w:tcW w:w="900" w:type="dxa"/>
                  <w:vAlign w:val="center"/>
                </w:tcPr>
                <w:p w14:paraId="0111EB18">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3.68</w:t>
                  </w:r>
                </w:p>
              </w:tc>
              <w:tc>
                <w:tcPr>
                  <w:tcW w:w="1088" w:type="dxa"/>
                  <w:vMerge w:val="continue"/>
                  <w:vAlign w:val="center"/>
                </w:tcPr>
                <w:p w14:paraId="114C2CF6">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1012" w:type="dxa"/>
                  <w:vAlign w:val="center"/>
                </w:tcPr>
                <w:p w14:paraId="43969165">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w:t>
                  </w:r>
                </w:p>
              </w:tc>
              <w:tc>
                <w:tcPr>
                  <w:tcW w:w="875" w:type="dxa"/>
                  <w:vAlign w:val="center"/>
                </w:tcPr>
                <w:p w14:paraId="749C82DD">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1.47</w:t>
                  </w:r>
                </w:p>
              </w:tc>
              <w:tc>
                <w:tcPr>
                  <w:tcW w:w="818" w:type="dxa"/>
                  <w:vMerge w:val="continue"/>
                </w:tcPr>
                <w:p w14:paraId="32B3EF16">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r>
            <w:tr w14:paraId="57AE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66" w:type="dxa"/>
                  <w:vMerge w:val="continue"/>
                </w:tcPr>
                <w:p w14:paraId="6A3E8096">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80" w:type="dxa"/>
                  <w:vMerge w:val="continue"/>
                </w:tcPr>
                <w:p w14:paraId="7A262632">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57" w:type="dxa"/>
                  <w:vAlign w:val="center"/>
                </w:tcPr>
                <w:p w14:paraId="41BB2864">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粪大肠杆菌</w:t>
                  </w:r>
                </w:p>
              </w:tc>
              <w:tc>
                <w:tcPr>
                  <w:tcW w:w="932" w:type="dxa"/>
                  <w:vAlign w:val="center"/>
                </w:tcPr>
                <w:p w14:paraId="55F1EC80">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1.5×10</w:t>
                  </w:r>
                  <w:r>
                    <w:rPr>
                      <w:rFonts w:hint="eastAsia" w:eastAsia="仿宋" w:cs="Times New Roman"/>
                      <w:color w:val="auto"/>
                      <w:sz w:val="21"/>
                      <w:szCs w:val="21"/>
                      <w:highlight w:val="none"/>
                      <w:vertAlign w:val="superscript"/>
                      <w:lang w:val="en-US" w:eastAsia="zh-CN"/>
                    </w:rPr>
                    <w:t>8</w:t>
                  </w:r>
                </w:p>
              </w:tc>
              <w:tc>
                <w:tcPr>
                  <w:tcW w:w="900" w:type="dxa"/>
                  <w:vAlign w:val="center"/>
                </w:tcPr>
                <w:p w14:paraId="37D97B4B">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1.11×10</w:t>
                  </w:r>
                  <w:r>
                    <w:rPr>
                      <w:rFonts w:hint="eastAsia" w:eastAsia="仿宋" w:cs="Times New Roman"/>
                      <w:color w:val="auto"/>
                      <w:sz w:val="21"/>
                      <w:szCs w:val="21"/>
                      <w:highlight w:val="none"/>
                      <w:vertAlign w:val="superscript"/>
                      <w:lang w:val="en-US" w:eastAsia="zh-CN"/>
                    </w:rPr>
                    <w:t>7</w:t>
                  </w:r>
                </w:p>
              </w:tc>
              <w:tc>
                <w:tcPr>
                  <w:tcW w:w="1088" w:type="dxa"/>
                  <w:vMerge w:val="continue"/>
                  <w:vAlign w:val="center"/>
                </w:tcPr>
                <w:p w14:paraId="56E528BE">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1012" w:type="dxa"/>
                  <w:vAlign w:val="center"/>
                </w:tcPr>
                <w:p w14:paraId="4CB3280E">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≤5000个/L</w:t>
                  </w:r>
                </w:p>
              </w:tc>
              <w:tc>
                <w:tcPr>
                  <w:tcW w:w="875" w:type="dxa"/>
                  <w:vAlign w:val="center"/>
                </w:tcPr>
                <w:p w14:paraId="5E473EE4">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3.68×10</w:t>
                  </w:r>
                  <w:r>
                    <w:rPr>
                      <w:rFonts w:hint="eastAsia" w:eastAsia="仿宋" w:cs="Times New Roman"/>
                      <w:color w:val="auto"/>
                      <w:sz w:val="21"/>
                      <w:szCs w:val="21"/>
                      <w:highlight w:val="none"/>
                      <w:vertAlign w:val="superscript"/>
                      <w:lang w:val="en-US" w:eastAsia="zh-CN"/>
                    </w:rPr>
                    <w:t>5</w:t>
                  </w:r>
                </w:p>
              </w:tc>
              <w:tc>
                <w:tcPr>
                  <w:tcW w:w="818" w:type="dxa"/>
                  <w:vMerge w:val="continue"/>
                </w:tcPr>
                <w:p w14:paraId="5251092F">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r>
            <w:tr w14:paraId="7EF0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66" w:type="dxa"/>
                  <w:vMerge w:val="continue"/>
                </w:tcPr>
                <w:p w14:paraId="7481D5BA">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80" w:type="dxa"/>
                  <w:vMerge w:val="continue"/>
                </w:tcPr>
                <w:p w14:paraId="655964E2">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957" w:type="dxa"/>
                  <w:vAlign w:val="center"/>
                </w:tcPr>
                <w:p w14:paraId="7F4DF153">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总余氯</w:t>
                  </w:r>
                </w:p>
              </w:tc>
              <w:tc>
                <w:tcPr>
                  <w:tcW w:w="932" w:type="dxa"/>
                  <w:vAlign w:val="center"/>
                </w:tcPr>
                <w:p w14:paraId="2C9EAB59">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900" w:type="dxa"/>
                  <w:vAlign w:val="center"/>
                </w:tcPr>
                <w:p w14:paraId="1F0549A3">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1088" w:type="dxa"/>
                  <w:vMerge w:val="continue"/>
                  <w:vAlign w:val="center"/>
                </w:tcPr>
                <w:p w14:paraId="68399278">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c>
                <w:tcPr>
                  <w:tcW w:w="1012" w:type="dxa"/>
                  <w:vAlign w:val="center"/>
                </w:tcPr>
                <w:p w14:paraId="7E51EB0B">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w:t>
                  </w:r>
                </w:p>
              </w:tc>
              <w:tc>
                <w:tcPr>
                  <w:tcW w:w="875" w:type="dxa"/>
                  <w:vAlign w:val="center"/>
                </w:tcPr>
                <w:p w14:paraId="4F81BD05">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0.59</w:t>
                  </w:r>
                </w:p>
              </w:tc>
              <w:tc>
                <w:tcPr>
                  <w:tcW w:w="818" w:type="dxa"/>
                  <w:vMerge w:val="continue"/>
                </w:tcPr>
                <w:p w14:paraId="4FFF6441">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color w:val="auto"/>
                      <w:sz w:val="21"/>
                      <w:szCs w:val="21"/>
                      <w:highlight w:val="none"/>
                      <w:lang w:val="en-US" w:eastAsia="zh-CN"/>
                    </w:rPr>
                  </w:pPr>
                </w:p>
              </w:tc>
            </w:tr>
          </w:tbl>
          <w:p w14:paraId="2122FDA0">
            <w:pPr>
              <w:spacing w:line="360" w:lineRule="auto"/>
              <w:ind w:firstLine="480" w:firstLineChars="200"/>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由表4-8可知，本项目综合废水排放量为73687</w:t>
            </w:r>
            <w:r>
              <w:rPr>
                <w:rFonts w:hint="default" w:eastAsia="仿宋" w:cs="Times New Roman"/>
                <w:color w:val="auto"/>
                <w:kern w:val="0"/>
                <w:sz w:val="24"/>
                <w:szCs w:val="24"/>
                <w:highlight w:val="none"/>
                <w:lang w:val="en-US" w:eastAsia="zh-CN"/>
              </w:rPr>
              <w:t>m</w:t>
            </w:r>
            <w:r>
              <w:rPr>
                <w:rFonts w:hint="default" w:eastAsia="仿宋" w:cs="Times New Roman"/>
                <w:color w:val="auto"/>
                <w:kern w:val="0"/>
                <w:sz w:val="24"/>
                <w:szCs w:val="24"/>
                <w:highlight w:val="none"/>
                <w:vertAlign w:val="superscript"/>
                <w:lang w:val="en-US" w:eastAsia="zh-CN"/>
              </w:rPr>
              <w:t>3</w:t>
            </w:r>
            <w:r>
              <w:rPr>
                <w:rFonts w:hint="default" w:eastAsia="仿宋" w:cs="Times New Roman"/>
                <w:color w:val="auto"/>
                <w:kern w:val="0"/>
                <w:sz w:val="24"/>
                <w:szCs w:val="24"/>
                <w:highlight w:val="none"/>
                <w:lang w:val="en-US" w:eastAsia="zh-CN"/>
              </w:rPr>
              <w:t>/a</w:t>
            </w:r>
            <w:r>
              <w:rPr>
                <w:rFonts w:hint="eastAsia" w:eastAsia="仿宋" w:cs="Times New Roman"/>
                <w:color w:val="auto"/>
                <w:kern w:val="0"/>
                <w:sz w:val="24"/>
                <w:szCs w:val="24"/>
                <w:highlight w:val="none"/>
                <w:lang w:val="en-US" w:eastAsia="zh-CN"/>
              </w:rPr>
              <w:t>，现有项目综合废水排放量为</w:t>
            </w:r>
            <w:r>
              <w:rPr>
                <w:rFonts w:hint="default" w:eastAsia="仿宋" w:cs="Times New Roman"/>
                <w:color w:val="auto"/>
                <w:kern w:val="0"/>
                <w:sz w:val="24"/>
                <w:szCs w:val="24"/>
                <w:highlight w:val="none"/>
                <w:lang w:val="en-US" w:eastAsia="zh-CN"/>
              </w:rPr>
              <w:t>213138m</w:t>
            </w:r>
            <w:r>
              <w:rPr>
                <w:rFonts w:hint="default" w:eastAsia="仿宋" w:cs="Times New Roman"/>
                <w:color w:val="auto"/>
                <w:kern w:val="0"/>
                <w:sz w:val="24"/>
                <w:szCs w:val="24"/>
                <w:highlight w:val="none"/>
                <w:vertAlign w:val="superscript"/>
                <w:lang w:val="en-US" w:eastAsia="zh-CN"/>
              </w:rPr>
              <w:t>3</w:t>
            </w:r>
            <w:r>
              <w:rPr>
                <w:rFonts w:hint="default" w:eastAsia="仿宋" w:cs="Times New Roman"/>
                <w:color w:val="auto"/>
                <w:kern w:val="0"/>
                <w:sz w:val="24"/>
                <w:szCs w:val="24"/>
                <w:highlight w:val="none"/>
                <w:lang w:val="en-US" w:eastAsia="zh-CN"/>
              </w:rPr>
              <w:t>/a</w:t>
            </w:r>
            <w:r>
              <w:rPr>
                <w:rFonts w:hint="eastAsia" w:eastAsia="仿宋" w:cs="Times New Roman"/>
                <w:color w:val="auto"/>
                <w:kern w:val="0"/>
                <w:sz w:val="24"/>
                <w:szCs w:val="24"/>
                <w:highlight w:val="none"/>
                <w:lang w:val="en-US" w:eastAsia="zh-CN"/>
              </w:rPr>
              <w:t>。则扩建后全院综合废水总</w:t>
            </w:r>
            <w:r>
              <w:rPr>
                <w:rFonts w:hint="default" w:eastAsia="仿宋" w:cs="Times New Roman"/>
                <w:color w:val="auto"/>
                <w:kern w:val="0"/>
                <w:sz w:val="24"/>
                <w:szCs w:val="24"/>
                <w:highlight w:val="none"/>
                <w:lang w:val="en-US" w:eastAsia="zh-CN"/>
              </w:rPr>
              <w:t>排放量为</w:t>
            </w:r>
            <w:r>
              <w:rPr>
                <w:rFonts w:hint="eastAsia" w:eastAsia="仿宋" w:cs="Times New Roman"/>
                <w:color w:val="auto"/>
                <w:kern w:val="0"/>
                <w:sz w:val="24"/>
                <w:szCs w:val="24"/>
                <w:highlight w:val="none"/>
                <w:lang w:val="en-US" w:eastAsia="zh-CN"/>
              </w:rPr>
              <w:t>286825</w:t>
            </w:r>
            <w:r>
              <w:rPr>
                <w:rFonts w:hint="default" w:eastAsia="仿宋" w:cs="Times New Roman"/>
                <w:color w:val="auto"/>
                <w:kern w:val="0"/>
                <w:sz w:val="24"/>
                <w:szCs w:val="24"/>
                <w:highlight w:val="none"/>
                <w:lang w:val="en-US" w:eastAsia="zh-CN"/>
              </w:rPr>
              <w:t>m</w:t>
            </w:r>
            <w:r>
              <w:rPr>
                <w:rFonts w:hint="default" w:eastAsia="仿宋" w:cs="Times New Roman"/>
                <w:color w:val="auto"/>
                <w:kern w:val="0"/>
                <w:sz w:val="24"/>
                <w:szCs w:val="24"/>
                <w:highlight w:val="none"/>
                <w:vertAlign w:val="superscript"/>
                <w:lang w:val="en-US" w:eastAsia="zh-CN"/>
              </w:rPr>
              <w:t>3</w:t>
            </w:r>
            <w:r>
              <w:rPr>
                <w:rFonts w:hint="default" w:eastAsia="仿宋" w:cs="Times New Roman"/>
                <w:color w:val="auto"/>
                <w:kern w:val="0"/>
                <w:sz w:val="24"/>
                <w:szCs w:val="24"/>
                <w:highlight w:val="none"/>
                <w:lang w:val="en-US" w:eastAsia="zh-CN"/>
              </w:rPr>
              <w:t>/a。</w:t>
            </w:r>
          </w:p>
          <w:p w14:paraId="30CE8973">
            <w:pPr>
              <w:spacing w:line="360" w:lineRule="auto"/>
              <w:ind w:firstLine="480" w:firstLineChars="200"/>
              <w:rPr>
                <w:rFonts w:hint="eastAsia" w:eastAsia="仿宋" w:cs="Times New Roman"/>
                <w:color w:val="auto"/>
                <w:kern w:val="0"/>
                <w:sz w:val="24"/>
                <w:szCs w:val="24"/>
                <w:highlight w:val="none"/>
                <w:lang w:val="en-US" w:eastAsia="zh-CN"/>
              </w:rPr>
            </w:pPr>
            <w:r>
              <w:rPr>
                <w:rFonts w:hint="eastAsia" w:eastAsia="仿宋" w:cs="Times New Roman"/>
                <w:color w:val="auto"/>
                <w:kern w:val="0"/>
                <w:sz w:val="24"/>
                <w:szCs w:val="24"/>
                <w:highlight w:val="none"/>
                <w:lang w:val="en-US" w:eastAsia="zh-CN"/>
              </w:rPr>
              <w:t>根据《医疗废水处理工程技术规范》（HJ2029-2013）可知，项目以最不利情况取</w:t>
            </w:r>
            <w:r>
              <w:rPr>
                <w:rFonts w:hint="default" w:eastAsia="仿宋" w:cs="Times New Roman"/>
                <w:color w:val="auto"/>
                <w:kern w:val="0"/>
                <w:sz w:val="24"/>
                <w:szCs w:val="24"/>
                <w:highlight w:val="none"/>
                <w:lang w:val="en-US" w:eastAsia="zh-CN"/>
              </w:rPr>
              <w:t>值</w:t>
            </w:r>
            <w:r>
              <w:rPr>
                <w:rFonts w:hint="eastAsia" w:eastAsia="仿宋" w:cs="Times New Roman"/>
                <w:color w:val="auto"/>
                <w:kern w:val="0"/>
                <w:sz w:val="24"/>
                <w:szCs w:val="24"/>
                <w:highlight w:val="none"/>
                <w:lang w:val="en-US" w:eastAsia="zh-CN"/>
              </w:rPr>
              <w:t>，则扩建后全院综合废水污染物产排情况见表4-9。</w:t>
            </w:r>
          </w:p>
          <w:p w14:paraId="62FAA60F">
            <w:pPr>
              <w:pStyle w:val="38"/>
              <w:ind w:left="0" w:leftChars="0" w:firstLine="0" w:firstLineChars="0"/>
              <w:jc w:val="center"/>
              <w:rPr>
                <w:rFonts w:hint="eastAsia" w:ascii="Times New Roman" w:hAnsi="Times New Roman" w:eastAsia="仿宋" w:cs="Times New Roman"/>
                <w:b/>
                <w:bCs/>
                <w:color w:val="auto"/>
                <w:kern w:val="0"/>
                <w:sz w:val="22"/>
                <w:szCs w:val="22"/>
                <w:highlight w:val="none"/>
                <w:lang w:val="en-US" w:eastAsia="zh-CN" w:bidi="ar-SA"/>
              </w:rPr>
            </w:pPr>
            <w:r>
              <w:rPr>
                <w:rFonts w:hint="eastAsia" w:ascii="Times New Roman" w:hAnsi="Times New Roman" w:eastAsia="仿宋" w:cs="Times New Roman"/>
                <w:b/>
                <w:bCs/>
                <w:color w:val="auto"/>
                <w:kern w:val="0"/>
                <w:sz w:val="22"/>
                <w:szCs w:val="22"/>
                <w:highlight w:val="none"/>
                <w:lang w:val="en-US" w:eastAsia="zh-CN" w:bidi="ar-SA"/>
              </w:rPr>
              <w:t>表4-9  扩建后全院综合废水污染物产排情况一览表</w:t>
            </w:r>
          </w:p>
          <w:tbl>
            <w:tblPr>
              <w:tblStyle w:val="31"/>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312"/>
              <w:gridCol w:w="772"/>
              <w:gridCol w:w="739"/>
              <w:gridCol w:w="879"/>
              <w:gridCol w:w="1422"/>
              <w:gridCol w:w="724"/>
              <w:gridCol w:w="731"/>
              <w:gridCol w:w="513"/>
              <w:gridCol w:w="543"/>
            </w:tblGrid>
            <w:tr w14:paraId="0F126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00" w:type="pct"/>
                  <w:gridSpan w:val="2"/>
                  <w:tcBorders>
                    <w:tl2br w:val="nil"/>
                    <w:tr2bl w:val="nil"/>
                  </w:tcBorders>
                  <w:vAlign w:val="center"/>
                </w:tcPr>
                <w:p w14:paraId="25359735">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废水名称</w:t>
                  </w:r>
                </w:p>
              </w:tc>
              <w:tc>
                <w:tcPr>
                  <w:tcW w:w="463" w:type="pct"/>
                  <w:tcBorders>
                    <w:tl2br w:val="nil"/>
                    <w:tr2bl w:val="nil"/>
                  </w:tcBorders>
                  <w:vAlign w:val="center"/>
                </w:tcPr>
                <w:p w14:paraId="7C2594E9">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COD</w:t>
                  </w:r>
                </w:p>
              </w:tc>
              <w:tc>
                <w:tcPr>
                  <w:tcW w:w="444" w:type="pct"/>
                  <w:tcBorders>
                    <w:tl2br w:val="nil"/>
                    <w:tr2bl w:val="nil"/>
                  </w:tcBorders>
                  <w:vAlign w:val="center"/>
                </w:tcPr>
                <w:p w14:paraId="2CAD8A5A">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SS</w:t>
                  </w:r>
                </w:p>
              </w:tc>
              <w:tc>
                <w:tcPr>
                  <w:tcW w:w="528" w:type="pct"/>
                  <w:tcBorders>
                    <w:tl2br w:val="nil"/>
                    <w:tr2bl w:val="nil"/>
                  </w:tcBorders>
                  <w:vAlign w:val="center"/>
                </w:tcPr>
                <w:p w14:paraId="614C9B1A">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NH</w:t>
                  </w:r>
                  <w:r>
                    <w:rPr>
                      <w:rFonts w:hint="default" w:ascii="Times New Roman" w:hAnsi="Times New Roman" w:eastAsia="仿宋" w:cs="Times New Roman"/>
                      <w:b/>
                      <w:bCs/>
                      <w:color w:val="auto"/>
                      <w:sz w:val="21"/>
                      <w:szCs w:val="21"/>
                      <w:highlight w:val="none"/>
                      <w:vertAlign w:val="subscript"/>
                      <w:lang w:val="en-US" w:eastAsia="zh-CN"/>
                    </w:rPr>
                    <w:t>3</w:t>
                  </w:r>
                  <w:r>
                    <w:rPr>
                      <w:rFonts w:hint="default" w:ascii="Times New Roman" w:hAnsi="Times New Roman" w:eastAsia="仿宋" w:cs="Times New Roman"/>
                      <w:b/>
                      <w:bCs/>
                      <w:color w:val="auto"/>
                      <w:sz w:val="21"/>
                      <w:szCs w:val="21"/>
                      <w:highlight w:val="none"/>
                      <w:lang w:val="en-US" w:eastAsia="zh-CN"/>
                    </w:rPr>
                    <w:t>-N</w:t>
                  </w:r>
                </w:p>
              </w:tc>
              <w:tc>
                <w:tcPr>
                  <w:tcW w:w="854" w:type="pct"/>
                  <w:tcBorders>
                    <w:tl2br w:val="nil"/>
                    <w:tr2bl w:val="nil"/>
                  </w:tcBorders>
                  <w:vAlign w:val="center"/>
                </w:tcPr>
                <w:p w14:paraId="5DDFF7EF">
                  <w:pPr>
                    <w:keepNext w:val="0"/>
                    <w:keepLines w:val="0"/>
                    <w:pageBreakBefore w:val="0"/>
                    <w:widowControl/>
                    <w:kinsoku/>
                    <w:wordWrap/>
                    <w:overflowPunct/>
                    <w:bidi w:val="0"/>
                    <w:snapToGrid w:val="0"/>
                    <w:jc w:val="center"/>
                    <w:textAlignment w:val="center"/>
                    <w:rPr>
                      <w:rFonts w:hint="eastAsia"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粪大肠菌群（个/L）</w:t>
                  </w:r>
                </w:p>
              </w:tc>
              <w:tc>
                <w:tcPr>
                  <w:tcW w:w="435" w:type="pct"/>
                  <w:tcBorders>
                    <w:tl2br w:val="nil"/>
                    <w:tr2bl w:val="nil"/>
                  </w:tcBorders>
                  <w:vAlign w:val="center"/>
                </w:tcPr>
                <w:p w14:paraId="48316109">
                  <w:pPr>
                    <w:keepNext w:val="0"/>
                    <w:keepLines w:val="0"/>
                    <w:pageBreakBefore w:val="0"/>
                    <w:widowControl/>
                    <w:kinsoku/>
                    <w:wordWrap/>
                    <w:overflowPunct/>
                    <w:bidi w:val="0"/>
                    <w:snapToGrid w:val="0"/>
                    <w:jc w:val="center"/>
                    <w:textAlignment w:val="center"/>
                    <w:rPr>
                      <w:rFonts w:hint="eastAsia"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动植物油</w:t>
                  </w:r>
                </w:p>
              </w:tc>
              <w:tc>
                <w:tcPr>
                  <w:tcW w:w="439" w:type="pct"/>
                  <w:tcBorders>
                    <w:tl2br w:val="nil"/>
                    <w:tr2bl w:val="nil"/>
                  </w:tcBorders>
                  <w:vAlign w:val="center"/>
                </w:tcPr>
                <w:p w14:paraId="148A7BCF">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总余氯</w:t>
                  </w:r>
                </w:p>
              </w:tc>
              <w:tc>
                <w:tcPr>
                  <w:tcW w:w="308" w:type="pct"/>
                  <w:tcBorders>
                    <w:tl2br w:val="nil"/>
                    <w:tr2bl w:val="nil"/>
                  </w:tcBorders>
                  <w:vAlign w:val="center"/>
                </w:tcPr>
                <w:p w14:paraId="0BE7FAEF">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TP</w:t>
                  </w:r>
                </w:p>
              </w:tc>
              <w:tc>
                <w:tcPr>
                  <w:tcW w:w="326" w:type="pct"/>
                  <w:tcBorders>
                    <w:tl2br w:val="nil"/>
                    <w:tr2bl w:val="nil"/>
                  </w:tcBorders>
                  <w:vAlign w:val="center"/>
                </w:tcPr>
                <w:p w14:paraId="79182829">
                  <w:pPr>
                    <w:keepNext w:val="0"/>
                    <w:keepLines w:val="0"/>
                    <w:pageBreakBefore w:val="0"/>
                    <w:widowControl/>
                    <w:kinsoku/>
                    <w:wordWrap/>
                    <w:overflowPunct/>
                    <w:bidi w:val="0"/>
                    <w:snapToGrid w:val="0"/>
                    <w:jc w:val="center"/>
                    <w:textAlignment w:val="center"/>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TN</w:t>
                  </w:r>
                </w:p>
              </w:tc>
            </w:tr>
            <w:tr w14:paraId="2523E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2" w:type="pct"/>
                  <w:vMerge w:val="restart"/>
                  <w:tcBorders>
                    <w:tl2br w:val="nil"/>
                    <w:tr2bl w:val="nil"/>
                  </w:tcBorders>
                  <w:vAlign w:val="center"/>
                </w:tcPr>
                <w:p w14:paraId="1D7C3C70">
                  <w:pPr>
                    <w:keepNext w:val="0"/>
                    <w:keepLines w:val="0"/>
                    <w:pageBreakBefore w:val="0"/>
                    <w:widowControl/>
                    <w:kinsoku/>
                    <w:wordWrap/>
                    <w:overflowPunct/>
                    <w:bidi w:val="0"/>
                    <w:snapToGrid w:val="0"/>
                    <w:jc w:val="center"/>
                    <w:textAlignment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综合</w:t>
                  </w:r>
                </w:p>
                <w:p w14:paraId="593BC121">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废水286825（t</w:t>
                  </w:r>
                  <w:r>
                    <w:rPr>
                      <w:rFonts w:hint="default" w:eastAsia="仿宋" w:cs="Times New Roman"/>
                      <w:color w:val="auto"/>
                      <w:sz w:val="21"/>
                      <w:szCs w:val="21"/>
                      <w:highlight w:val="none"/>
                      <w:lang w:val="en-US" w:eastAsia="zh-CN"/>
                    </w:rPr>
                    <w:t>/a</w:t>
                  </w:r>
                  <w:r>
                    <w:rPr>
                      <w:rFonts w:hint="eastAsia" w:eastAsia="仿宋" w:cs="Times New Roman"/>
                      <w:color w:val="auto"/>
                      <w:sz w:val="21"/>
                      <w:szCs w:val="21"/>
                      <w:highlight w:val="none"/>
                      <w:lang w:val="en-US" w:eastAsia="zh-CN"/>
                    </w:rPr>
                    <w:t>）</w:t>
                  </w:r>
                </w:p>
              </w:tc>
              <w:tc>
                <w:tcPr>
                  <w:tcW w:w="788" w:type="pct"/>
                  <w:tcBorders>
                    <w:tl2br w:val="nil"/>
                    <w:tr2bl w:val="nil"/>
                  </w:tcBorders>
                  <w:vAlign w:val="center"/>
                </w:tcPr>
                <w:p w14:paraId="5A77F92A">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产生</w:t>
                  </w:r>
                  <w:r>
                    <w:rPr>
                      <w:rFonts w:hint="default" w:eastAsia="仿宋" w:cs="Times New Roman"/>
                      <w:color w:val="auto"/>
                      <w:sz w:val="21"/>
                      <w:szCs w:val="21"/>
                      <w:highlight w:val="none"/>
                      <w:lang w:val="en-US" w:eastAsia="zh-CN"/>
                    </w:rPr>
                    <w:t>浓度（mg/L）</w:t>
                  </w:r>
                </w:p>
              </w:tc>
              <w:tc>
                <w:tcPr>
                  <w:tcW w:w="463" w:type="pct"/>
                  <w:tcBorders>
                    <w:tl2br w:val="nil"/>
                    <w:tr2bl w:val="nil"/>
                  </w:tcBorders>
                  <w:vAlign w:val="center"/>
                </w:tcPr>
                <w:p w14:paraId="649775C1">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350</w:t>
                  </w:r>
                </w:p>
              </w:tc>
              <w:tc>
                <w:tcPr>
                  <w:tcW w:w="444" w:type="pct"/>
                  <w:tcBorders>
                    <w:tl2br w:val="nil"/>
                    <w:tr2bl w:val="nil"/>
                  </w:tcBorders>
                  <w:vAlign w:val="center"/>
                </w:tcPr>
                <w:p w14:paraId="5FEBC00E">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200</w:t>
                  </w:r>
                </w:p>
              </w:tc>
              <w:tc>
                <w:tcPr>
                  <w:tcW w:w="528" w:type="pct"/>
                  <w:tcBorders>
                    <w:tl2br w:val="nil"/>
                    <w:tr2bl w:val="nil"/>
                  </w:tcBorders>
                  <w:vAlign w:val="center"/>
                </w:tcPr>
                <w:p w14:paraId="5AAE27B9">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45</w:t>
                  </w:r>
                </w:p>
              </w:tc>
              <w:tc>
                <w:tcPr>
                  <w:tcW w:w="854" w:type="pct"/>
                  <w:tcBorders>
                    <w:tl2br w:val="nil"/>
                    <w:tr2bl w:val="nil"/>
                  </w:tcBorders>
                  <w:vAlign w:val="center"/>
                </w:tcPr>
                <w:p w14:paraId="4DE39E9A">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1.5</w:t>
                  </w:r>
                  <w:r>
                    <w:rPr>
                      <w:rFonts w:hint="default" w:eastAsia="仿宋" w:cs="Times New Roman"/>
                      <w:color w:val="auto"/>
                      <w:sz w:val="21"/>
                      <w:szCs w:val="21"/>
                      <w:highlight w:val="none"/>
                      <w:lang w:val="en-US" w:eastAsia="zh-CN"/>
                    </w:rPr>
                    <w:t>×10</w:t>
                  </w:r>
                  <w:r>
                    <w:rPr>
                      <w:rFonts w:hint="default" w:eastAsia="仿宋" w:cs="Times New Roman"/>
                      <w:color w:val="auto"/>
                      <w:sz w:val="21"/>
                      <w:szCs w:val="21"/>
                      <w:highlight w:val="none"/>
                      <w:vertAlign w:val="superscript"/>
                      <w:lang w:val="en-US" w:eastAsia="zh-CN"/>
                    </w:rPr>
                    <w:t>8</w:t>
                  </w:r>
                </w:p>
              </w:tc>
              <w:tc>
                <w:tcPr>
                  <w:tcW w:w="435" w:type="pct"/>
                  <w:tcBorders>
                    <w:tl2br w:val="nil"/>
                    <w:tr2bl w:val="nil"/>
                  </w:tcBorders>
                  <w:vAlign w:val="center"/>
                </w:tcPr>
                <w:p w14:paraId="11A02AA6">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w:t>
                  </w:r>
                </w:p>
              </w:tc>
              <w:tc>
                <w:tcPr>
                  <w:tcW w:w="439" w:type="pct"/>
                  <w:tcBorders>
                    <w:tl2br w:val="nil"/>
                    <w:tr2bl w:val="nil"/>
                  </w:tcBorders>
                  <w:vAlign w:val="center"/>
                </w:tcPr>
                <w:p w14:paraId="3EC09124">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308" w:type="pct"/>
                  <w:tcBorders>
                    <w:tl2br w:val="nil"/>
                    <w:tr2bl w:val="nil"/>
                  </w:tcBorders>
                  <w:vAlign w:val="center"/>
                </w:tcPr>
                <w:p w14:paraId="5B087146">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w:t>
                  </w:r>
                </w:p>
              </w:tc>
              <w:tc>
                <w:tcPr>
                  <w:tcW w:w="326" w:type="pct"/>
                  <w:tcBorders>
                    <w:tl2br w:val="nil"/>
                    <w:tr2bl w:val="nil"/>
                  </w:tcBorders>
                  <w:vAlign w:val="center"/>
                </w:tcPr>
                <w:p w14:paraId="0D6831AF">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w:t>
                  </w:r>
                </w:p>
              </w:tc>
            </w:tr>
            <w:tr w14:paraId="17C8B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12" w:type="pct"/>
                  <w:vMerge w:val="continue"/>
                  <w:tcBorders>
                    <w:tl2br w:val="nil"/>
                    <w:tr2bl w:val="nil"/>
                  </w:tcBorders>
                  <w:vAlign w:val="center"/>
                </w:tcPr>
                <w:p w14:paraId="2ED67D08">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p>
              </w:tc>
              <w:tc>
                <w:tcPr>
                  <w:tcW w:w="788" w:type="pct"/>
                  <w:tcBorders>
                    <w:tl2br w:val="nil"/>
                    <w:tr2bl w:val="nil"/>
                  </w:tcBorders>
                  <w:vAlign w:val="center"/>
                </w:tcPr>
                <w:p w14:paraId="11B0992F">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default" w:eastAsia="仿宋" w:cs="Times New Roman"/>
                      <w:color w:val="auto"/>
                      <w:sz w:val="21"/>
                      <w:szCs w:val="21"/>
                      <w:highlight w:val="none"/>
                      <w:lang w:val="en-US" w:eastAsia="zh-CN"/>
                    </w:rPr>
                    <w:t>产生量（t/a）</w:t>
                  </w:r>
                </w:p>
              </w:tc>
              <w:tc>
                <w:tcPr>
                  <w:tcW w:w="463" w:type="pct"/>
                  <w:tcBorders>
                    <w:tl2br w:val="nil"/>
                    <w:tr2bl w:val="nil"/>
                  </w:tcBorders>
                  <w:vAlign w:val="center"/>
                </w:tcPr>
                <w:p w14:paraId="67586ACA">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100.39</w:t>
                  </w:r>
                </w:p>
              </w:tc>
              <w:tc>
                <w:tcPr>
                  <w:tcW w:w="444" w:type="pct"/>
                  <w:tcBorders>
                    <w:tl2br w:val="nil"/>
                    <w:tr2bl w:val="nil"/>
                  </w:tcBorders>
                  <w:vAlign w:val="center"/>
                </w:tcPr>
                <w:p w14:paraId="60A64FD7">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57.37</w:t>
                  </w:r>
                </w:p>
              </w:tc>
              <w:tc>
                <w:tcPr>
                  <w:tcW w:w="528" w:type="pct"/>
                  <w:tcBorders>
                    <w:tl2br w:val="nil"/>
                    <w:tr2bl w:val="nil"/>
                  </w:tcBorders>
                  <w:vAlign w:val="center"/>
                </w:tcPr>
                <w:p w14:paraId="6BC07DE1">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12.91</w:t>
                  </w:r>
                </w:p>
              </w:tc>
              <w:tc>
                <w:tcPr>
                  <w:tcW w:w="854" w:type="pct"/>
                  <w:tcBorders>
                    <w:tl2br w:val="nil"/>
                    <w:tr2bl w:val="nil"/>
                  </w:tcBorders>
                  <w:vAlign w:val="center"/>
                </w:tcPr>
                <w:p w14:paraId="302996FA">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4.3</w:t>
                  </w:r>
                  <w:r>
                    <w:rPr>
                      <w:rFonts w:hint="default" w:eastAsia="仿宋" w:cs="Times New Roman"/>
                      <w:color w:val="auto"/>
                      <w:sz w:val="21"/>
                      <w:szCs w:val="21"/>
                      <w:highlight w:val="none"/>
                      <w:lang w:val="en-US" w:eastAsia="zh-CN"/>
                    </w:rPr>
                    <w:t>×10</w:t>
                  </w:r>
                  <w:r>
                    <w:rPr>
                      <w:rFonts w:hint="eastAsia" w:eastAsia="仿宋" w:cs="Times New Roman"/>
                      <w:color w:val="auto"/>
                      <w:sz w:val="21"/>
                      <w:szCs w:val="21"/>
                      <w:highlight w:val="none"/>
                      <w:vertAlign w:val="superscript"/>
                      <w:lang w:val="en-US" w:eastAsia="zh-CN"/>
                    </w:rPr>
                    <w:t>7</w:t>
                  </w:r>
                </w:p>
              </w:tc>
              <w:tc>
                <w:tcPr>
                  <w:tcW w:w="435" w:type="pct"/>
                  <w:tcBorders>
                    <w:tl2br w:val="nil"/>
                    <w:tr2bl w:val="nil"/>
                  </w:tcBorders>
                  <w:vAlign w:val="center"/>
                </w:tcPr>
                <w:p w14:paraId="70B32917">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14.24</w:t>
                  </w:r>
                </w:p>
              </w:tc>
              <w:tc>
                <w:tcPr>
                  <w:tcW w:w="439" w:type="pct"/>
                  <w:tcBorders>
                    <w:tl2br w:val="nil"/>
                    <w:tr2bl w:val="nil"/>
                  </w:tcBorders>
                  <w:vAlign w:val="center"/>
                </w:tcPr>
                <w:p w14:paraId="24D7E1D2">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308" w:type="pct"/>
                  <w:tcBorders>
                    <w:tl2br w:val="nil"/>
                    <w:tr2bl w:val="nil"/>
                  </w:tcBorders>
                  <w:vAlign w:val="center"/>
                </w:tcPr>
                <w:p w14:paraId="5DC732A0">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2.3</w:t>
                  </w:r>
                </w:p>
              </w:tc>
              <w:tc>
                <w:tcPr>
                  <w:tcW w:w="326" w:type="pct"/>
                  <w:tcBorders>
                    <w:tl2br w:val="nil"/>
                    <w:tr2bl w:val="nil"/>
                  </w:tcBorders>
                  <w:vAlign w:val="center"/>
                </w:tcPr>
                <w:p w14:paraId="62BD83FA">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14.34</w:t>
                  </w:r>
                </w:p>
              </w:tc>
            </w:tr>
            <w:tr w14:paraId="5E9FF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12" w:type="pct"/>
                  <w:vMerge w:val="continue"/>
                  <w:tcBorders>
                    <w:tl2br w:val="nil"/>
                    <w:tr2bl w:val="nil"/>
                  </w:tcBorders>
                  <w:vAlign w:val="center"/>
                </w:tcPr>
                <w:p w14:paraId="3FF5DC32">
                  <w:pPr>
                    <w:keepNext w:val="0"/>
                    <w:keepLines w:val="0"/>
                    <w:pageBreakBefore w:val="0"/>
                    <w:widowControl/>
                    <w:kinsoku/>
                    <w:wordWrap/>
                    <w:overflowPunct/>
                    <w:bidi w:val="0"/>
                    <w:snapToGrid w:val="0"/>
                    <w:jc w:val="center"/>
                    <w:textAlignment w:val="center"/>
                    <w:rPr>
                      <w:rFonts w:hint="eastAsia" w:eastAsia="仿宋" w:cs="Times New Roman"/>
                      <w:color w:val="auto"/>
                      <w:sz w:val="21"/>
                      <w:szCs w:val="21"/>
                      <w:highlight w:val="none"/>
                      <w:lang w:val="en-US" w:eastAsia="zh-CN"/>
                    </w:rPr>
                  </w:pPr>
                </w:p>
              </w:tc>
              <w:tc>
                <w:tcPr>
                  <w:tcW w:w="788" w:type="pct"/>
                  <w:tcBorders>
                    <w:tl2br w:val="nil"/>
                    <w:tr2bl w:val="nil"/>
                  </w:tcBorders>
                  <w:vAlign w:val="center"/>
                </w:tcPr>
                <w:p w14:paraId="358069E2">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处理工艺</w:t>
                  </w:r>
                </w:p>
              </w:tc>
              <w:tc>
                <w:tcPr>
                  <w:tcW w:w="3799" w:type="pct"/>
                  <w:gridSpan w:val="8"/>
                  <w:tcBorders>
                    <w:tl2br w:val="nil"/>
                    <w:tr2bl w:val="nil"/>
                  </w:tcBorders>
                  <w:vAlign w:val="center"/>
                </w:tcPr>
                <w:p w14:paraId="5C579DD5">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排入院区污水处理站集中处理，后接管至金坛第一污水处理厂处理</w:t>
                  </w:r>
                </w:p>
              </w:tc>
            </w:tr>
            <w:tr w14:paraId="1A7FB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12" w:type="pct"/>
                  <w:vMerge w:val="continue"/>
                  <w:tcBorders>
                    <w:tl2br w:val="nil"/>
                    <w:tr2bl w:val="nil"/>
                  </w:tcBorders>
                  <w:vAlign w:val="center"/>
                </w:tcPr>
                <w:p w14:paraId="4B4FD6CE">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p>
              </w:tc>
              <w:tc>
                <w:tcPr>
                  <w:tcW w:w="788" w:type="pct"/>
                  <w:tcBorders>
                    <w:tl2br w:val="nil"/>
                    <w:tr2bl w:val="nil"/>
                  </w:tcBorders>
                  <w:vAlign w:val="center"/>
                </w:tcPr>
                <w:p w14:paraId="6E714BFD">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排放</w:t>
                  </w:r>
                  <w:r>
                    <w:rPr>
                      <w:rFonts w:hint="default" w:eastAsia="仿宋" w:cs="Times New Roman"/>
                      <w:color w:val="auto"/>
                      <w:sz w:val="21"/>
                      <w:szCs w:val="21"/>
                      <w:highlight w:val="none"/>
                      <w:lang w:val="en-US" w:eastAsia="zh-CN"/>
                    </w:rPr>
                    <w:t>浓度（mg/L）</w:t>
                  </w:r>
                </w:p>
              </w:tc>
              <w:tc>
                <w:tcPr>
                  <w:tcW w:w="463" w:type="pct"/>
                  <w:tcBorders>
                    <w:tl2br w:val="nil"/>
                    <w:tr2bl w:val="nil"/>
                  </w:tcBorders>
                  <w:vAlign w:val="center"/>
                </w:tcPr>
                <w:p w14:paraId="17C167C3">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200</w:t>
                  </w:r>
                </w:p>
              </w:tc>
              <w:tc>
                <w:tcPr>
                  <w:tcW w:w="444" w:type="pct"/>
                  <w:tcBorders>
                    <w:tl2br w:val="nil"/>
                    <w:tr2bl w:val="nil"/>
                  </w:tcBorders>
                  <w:vAlign w:val="center"/>
                </w:tcPr>
                <w:p w14:paraId="741704E8">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60</w:t>
                  </w:r>
                </w:p>
              </w:tc>
              <w:tc>
                <w:tcPr>
                  <w:tcW w:w="528" w:type="pct"/>
                  <w:tcBorders>
                    <w:tl2br w:val="nil"/>
                    <w:tr2bl w:val="nil"/>
                  </w:tcBorders>
                  <w:vAlign w:val="center"/>
                </w:tcPr>
                <w:p w14:paraId="40CBB760">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30</w:t>
                  </w:r>
                </w:p>
              </w:tc>
              <w:tc>
                <w:tcPr>
                  <w:tcW w:w="854" w:type="pct"/>
                  <w:tcBorders>
                    <w:tl2br w:val="nil"/>
                    <w:tr2bl w:val="nil"/>
                  </w:tcBorders>
                  <w:vAlign w:val="center"/>
                </w:tcPr>
                <w:p w14:paraId="05338CA1">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5000</w:t>
                  </w:r>
                </w:p>
              </w:tc>
              <w:tc>
                <w:tcPr>
                  <w:tcW w:w="435" w:type="pct"/>
                  <w:tcBorders>
                    <w:tl2br w:val="nil"/>
                    <w:tr2bl w:val="nil"/>
                  </w:tcBorders>
                  <w:vAlign w:val="center"/>
                </w:tcPr>
                <w:p w14:paraId="2CB52FD3">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w:t>
                  </w:r>
                </w:p>
              </w:tc>
              <w:tc>
                <w:tcPr>
                  <w:tcW w:w="439" w:type="pct"/>
                  <w:tcBorders>
                    <w:tl2br w:val="nil"/>
                    <w:tr2bl w:val="nil"/>
                  </w:tcBorders>
                  <w:vAlign w:val="center"/>
                </w:tcPr>
                <w:p w14:paraId="024FC7C8">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w:t>
                  </w:r>
                </w:p>
              </w:tc>
              <w:tc>
                <w:tcPr>
                  <w:tcW w:w="308" w:type="pct"/>
                  <w:tcBorders>
                    <w:tl2br w:val="nil"/>
                    <w:tr2bl w:val="nil"/>
                  </w:tcBorders>
                  <w:vAlign w:val="center"/>
                </w:tcPr>
                <w:p w14:paraId="37492D45">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w:t>
                  </w:r>
                </w:p>
              </w:tc>
              <w:tc>
                <w:tcPr>
                  <w:tcW w:w="326" w:type="pct"/>
                  <w:tcBorders>
                    <w:tl2br w:val="nil"/>
                    <w:tr2bl w:val="nil"/>
                  </w:tcBorders>
                  <w:vAlign w:val="center"/>
                </w:tcPr>
                <w:p w14:paraId="72E8DC11">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40</w:t>
                  </w:r>
                </w:p>
              </w:tc>
            </w:tr>
            <w:tr w14:paraId="79E3D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2" w:type="pct"/>
                  <w:vMerge w:val="continue"/>
                  <w:tcBorders>
                    <w:tl2br w:val="nil"/>
                    <w:tr2bl w:val="nil"/>
                  </w:tcBorders>
                  <w:vAlign w:val="center"/>
                </w:tcPr>
                <w:p w14:paraId="3E09BD9F">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p>
              </w:tc>
              <w:tc>
                <w:tcPr>
                  <w:tcW w:w="788" w:type="pct"/>
                  <w:tcBorders>
                    <w:tl2br w:val="nil"/>
                    <w:tr2bl w:val="nil"/>
                  </w:tcBorders>
                  <w:vAlign w:val="center"/>
                </w:tcPr>
                <w:p w14:paraId="07233BB7">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排放</w:t>
                  </w:r>
                  <w:r>
                    <w:rPr>
                      <w:rFonts w:hint="default" w:eastAsia="仿宋" w:cs="Times New Roman"/>
                      <w:color w:val="auto"/>
                      <w:sz w:val="21"/>
                      <w:szCs w:val="21"/>
                      <w:highlight w:val="none"/>
                      <w:lang w:val="en-US" w:eastAsia="zh-CN"/>
                    </w:rPr>
                    <w:t>量（t/a）</w:t>
                  </w:r>
                </w:p>
              </w:tc>
              <w:tc>
                <w:tcPr>
                  <w:tcW w:w="463" w:type="pct"/>
                  <w:tcBorders>
                    <w:tl2br w:val="nil"/>
                    <w:tr2bl w:val="nil"/>
                  </w:tcBorders>
                  <w:vAlign w:val="center"/>
                </w:tcPr>
                <w:p w14:paraId="2AA9FB64">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57.36</w:t>
                  </w:r>
                </w:p>
              </w:tc>
              <w:tc>
                <w:tcPr>
                  <w:tcW w:w="444" w:type="pct"/>
                  <w:tcBorders>
                    <w:tl2br w:val="nil"/>
                    <w:tr2bl w:val="nil"/>
                  </w:tcBorders>
                  <w:vAlign w:val="center"/>
                </w:tcPr>
                <w:p w14:paraId="7CB9939E">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17.21</w:t>
                  </w:r>
                </w:p>
              </w:tc>
              <w:tc>
                <w:tcPr>
                  <w:tcW w:w="528" w:type="pct"/>
                  <w:tcBorders>
                    <w:tl2br w:val="nil"/>
                    <w:tr2bl w:val="nil"/>
                  </w:tcBorders>
                  <w:vAlign w:val="center"/>
                </w:tcPr>
                <w:p w14:paraId="72B4914F">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8.60</w:t>
                  </w:r>
                </w:p>
              </w:tc>
              <w:tc>
                <w:tcPr>
                  <w:tcW w:w="854" w:type="pct"/>
                  <w:tcBorders>
                    <w:tl2br w:val="nil"/>
                    <w:tr2bl w:val="nil"/>
                  </w:tcBorders>
                  <w:vAlign w:val="center"/>
                </w:tcPr>
                <w:p w14:paraId="368DF469">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1.43</w:t>
                  </w:r>
                  <w:r>
                    <w:rPr>
                      <w:rFonts w:hint="default" w:eastAsia="仿宋" w:cs="Times New Roman"/>
                      <w:color w:val="auto"/>
                      <w:sz w:val="21"/>
                      <w:szCs w:val="21"/>
                      <w:highlight w:val="none"/>
                      <w:lang w:val="en-US" w:eastAsia="zh-CN"/>
                    </w:rPr>
                    <w:t>×10</w:t>
                  </w:r>
                  <w:r>
                    <w:rPr>
                      <w:rFonts w:hint="eastAsia" w:eastAsia="仿宋" w:cs="Times New Roman"/>
                      <w:color w:val="auto"/>
                      <w:sz w:val="21"/>
                      <w:szCs w:val="21"/>
                      <w:highlight w:val="none"/>
                      <w:vertAlign w:val="superscript"/>
                      <w:lang w:val="en-US" w:eastAsia="zh-CN"/>
                    </w:rPr>
                    <w:t>6</w:t>
                  </w:r>
                </w:p>
              </w:tc>
              <w:tc>
                <w:tcPr>
                  <w:tcW w:w="435" w:type="pct"/>
                  <w:tcBorders>
                    <w:tl2br w:val="nil"/>
                    <w:tr2bl w:val="nil"/>
                  </w:tcBorders>
                  <w:vAlign w:val="center"/>
                </w:tcPr>
                <w:p w14:paraId="2A243BC8">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5.7</w:t>
                  </w:r>
                </w:p>
              </w:tc>
              <w:tc>
                <w:tcPr>
                  <w:tcW w:w="439" w:type="pct"/>
                  <w:tcBorders>
                    <w:tl2br w:val="nil"/>
                    <w:tr2bl w:val="nil"/>
                  </w:tcBorders>
                  <w:vAlign w:val="center"/>
                </w:tcPr>
                <w:p w14:paraId="44D29692">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2.29</w:t>
                  </w:r>
                </w:p>
              </w:tc>
              <w:tc>
                <w:tcPr>
                  <w:tcW w:w="308" w:type="pct"/>
                  <w:tcBorders>
                    <w:tl2br w:val="nil"/>
                    <w:tr2bl w:val="nil"/>
                  </w:tcBorders>
                  <w:vAlign w:val="center"/>
                </w:tcPr>
                <w:p w14:paraId="6B960013">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1.43</w:t>
                  </w:r>
                </w:p>
              </w:tc>
              <w:tc>
                <w:tcPr>
                  <w:tcW w:w="326" w:type="pct"/>
                  <w:tcBorders>
                    <w:tl2br w:val="nil"/>
                    <w:tr2bl w:val="nil"/>
                  </w:tcBorders>
                  <w:vAlign w:val="center"/>
                </w:tcPr>
                <w:p w14:paraId="1388A1E6">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11.47</w:t>
                  </w:r>
                </w:p>
              </w:tc>
            </w:tr>
            <w:tr w14:paraId="2F6C4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00" w:type="pct"/>
                  <w:gridSpan w:val="2"/>
                  <w:tcBorders>
                    <w:tl2br w:val="nil"/>
                    <w:tr2bl w:val="nil"/>
                  </w:tcBorders>
                  <w:vAlign w:val="center"/>
                </w:tcPr>
                <w:p w14:paraId="53E75DD0">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default" w:eastAsia="仿宋" w:cs="Times New Roman"/>
                      <w:color w:val="auto"/>
                      <w:sz w:val="21"/>
                      <w:szCs w:val="21"/>
                      <w:highlight w:val="none"/>
                      <w:lang w:val="en-US" w:eastAsia="zh-CN"/>
                    </w:rPr>
                    <w:t>《医疗机构水污染物排放标准》（GB18466-2005）表2中</w:t>
                  </w:r>
                  <w:r>
                    <w:rPr>
                      <w:rFonts w:hint="eastAsia" w:eastAsia="仿宋" w:cs="Times New Roman"/>
                      <w:color w:val="auto"/>
                      <w:sz w:val="21"/>
                      <w:szCs w:val="21"/>
                      <w:highlight w:val="none"/>
                      <w:lang w:val="en-US" w:eastAsia="zh-CN"/>
                    </w:rPr>
                    <w:t>“</w:t>
                  </w:r>
                  <w:r>
                    <w:rPr>
                      <w:rFonts w:hint="default" w:eastAsia="仿宋" w:cs="Times New Roman"/>
                      <w:color w:val="auto"/>
                      <w:sz w:val="21"/>
                      <w:szCs w:val="21"/>
                      <w:highlight w:val="none"/>
                      <w:lang w:val="en-US" w:eastAsia="zh-CN"/>
                    </w:rPr>
                    <w:t>预处理标准</w:t>
                  </w:r>
                  <w:r>
                    <w:rPr>
                      <w:rFonts w:hint="eastAsia" w:eastAsia="仿宋" w:cs="Times New Roman"/>
                      <w:color w:val="auto"/>
                      <w:sz w:val="21"/>
                      <w:szCs w:val="21"/>
                      <w:highlight w:val="none"/>
                      <w:lang w:val="en-US" w:eastAsia="zh-CN"/>
                    </w:rPr>
                    <w:t>”</w:t>
                  </w:r>
                  <w:r>
                    <w:rPr>
                      <w:rFonts w:hint="default" w:eastAsia="仿宋" w:cs="Times New Roman"/>
                      <w:color w:val="auto"/>
                      <w:sz w:val="21"/>
                      <w:szCs w:val="21"/>
                      <w:highlight w:val="none"/>
                      <w:lang w:val="en-US" w:eastAsia="zh-CN"/>
                    </w:rPr>
                    <w:t>（mg/L）</w:t>
                  </w:r>
                </w:p>
              </w:tc>
              <w:tc>
                <w:tcPr>
                  <w:tcW w:w="463" w:type="pct"/>
                  <w:tcBorders>
                    <w:tl2br w:val="nil"/>
                    <w:tr2bl w:val="nil"/>
                  </w:tcBorders>
                  <w:vAlign w:val="center"/>
                </w:tcPr>
                <w:p w14:paraId="2ED22D65">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250</w:t>
                  </w:r>
                </w:p>
              </w:tc>
              <w:tc>
                <w:tcPr>
                  <w:tcW w:w="444" w:type="pct"/>
                  <w:tcBorders>
                    <w:tl2br w:val="nil"/>
                    <w:tr2bl w:val="nil"/>
                  </w:tcBorders>
                  <w:vAlign w:val="center"/>
                </w:tcPr>
                <w:p w14:paraId="551386F3">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60</w:t>
                  </w:r>
                </w:p>
              </w:tc>
              <w:tc>
                <w:tcPr>
                  <w:tcW w:w="528" w:type="pct"/>
                  <w:tcBorders>
                    <w:tl2br w:val="nil"/>
                    <w:tr2bl w:val="nil"/>
                  </w:tcBorders>
                  <w:vAlign w:val="center"/>
                </w:tcPr>
                <w:p w14:paraId="6B74318A">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default" w:eastAsia="仿宋" w:cs="Times New Roman"/>
                      <w:color w:val="auto"/>
                      <w:sz w:val="21"/>
                      <w:szCs w:val="21"/>
                      <w:highlight w:val="none"/>
                      <w:lang w:val="en-US" w:eastAsia="zh-CN"/>
                    </w:rPr>
                    <w:t>/</w:t>
                  </w:r>
                </w:p>
              </w:tc>
              <w:tc>
                <w:tcPr>
                  <w:tcW w:w="854" w:type="pct"/>
                  <w:tcBorders>
                    <w:tl2br w:val="nil"/>
                    <w:tr2bl w:val="nil"/>
                  </w:tcBorders>
                  <w:vAlign w:val="center"/>
                </w:tcPr>
                <w:p w14:paraId="1FD3204A">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5000</w:t>
                  </w:r>
                </w:p>
              </w:tc>
              <w:tc>
                <w:tcPr>
                  <w:tcW w:w="435" w:type="pct"/>
                  <w:tcBorders>
                    <w:tl2br w:val="nil"/>
                    <w:tr2bl w:val="nil"/>
                  </w:tcBorders>
                  <w:vAlign w:val="center"/>
                </w:tcPr>
                <w:p w14:paraId="6F332614">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w:t>
                  </w:r>
                </w:p>
              </w:tc>
              <w:tc>
                <w:tcPr>
                  <w:tcW w:w="439" w:type="pct"/>
                  <w:tcBorders>
                    <w:tl2br w:val="nil"/>
                    <w:tr2bl w:val="nil"/>
                  </w:tcBorders>
                  <w:vAlign w:val="center"/>
                </w:tcPr>
                <w:p w14:paraId="70182EC3">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w:t>
                  </w:r>
                </w:p>
              </w:tc>
              <w:tc>
                <w:tcPr>
                  <w:tcW w:w="308" w:type="pct"/>
                  <w:tcBorders>
                    <w:tl2br w:val="nil"/>
                    <w:tr2bl w:val="nil"/>
                  </w:tcBorders>
                  <w:vAlign w:val="center"/>
                </w:tcPr>
                <w:p w14:paraId="3891F424">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326" w:type="pct"/>
                  <w:tcBorders>
                    <w:tl2br w:val="nil"/>
                    <w:tr2bl w:val="nil"/>
                  </w:tcBorders>
                  <w:vAlign w:val="center"/>
                </w:tcPr>
                <w:p w14:paraId="683B1A11">
                  <w:pPr>
                    <w:keepNext w:val="0"/>
                    <w:keepLines w:val="0"/>
                    <w:pageBreakBefore w:val="0"/>
                    <w:widowControl/>
                    <w:kinsoku/>
                    <w:wordWrap/>
                    <w:overflowPunct/>
                    <w:bidi w:val="0"/>
                    <w:snapToGrid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bl>
          <w:p w14:paraId="0233139F">
            <w:pPr>
              <w:spacing w:line="360" w:lineRule="auto"/>
              <w:ind w:firstLine="480" w:firstLineChars="200"/>
              <w:rPr>
                <w:rFonts w:hint="default" w:eastAsia="仿宋" w:cs="Times New Roman"/>
                <w:color w:val="auto"/>
                <w:kern w:val="0"/>
                <w:sz w:val="24"/>
                <w:szCs w:val="24"/>
                <w:highlight w:val="none"/>
                <w:lang w:val="en-US" w:eastAsia="zh-CN"/>
              </w:rPr>
            </w:pPr>
            <w:r>
              <w:rPr>
                <w:rFonts w:hint="default" w:eastAsia="仿宋" w:cs="Times New Roman"/>
                <w:color w:val="auto"/>
                <w:kern w:val="0"/>
                <w:sz w:val="24"/>
                <w:szCs w:val="24"/>
                <w:highlight w:val="none"/>
                <w:lang w:val="en-US" w:eastAsia="zh-CN"/>
              </w:rPr>
              <w:t>由表</w:t>
            </w:r>
            <w:r>
              <w:rPr>
                <w:rFonts w:hint="eastAsia" w:eastAsia="仿宋" w:cs="Times New Roman"/>
                <w:color w:val="auto"/>
                <w:kern w:val="0"/>
                <w:sz w:val="24"/>
                <w:szCs w:val="24"/>
                <w:highlight w:val="none"/>
                <w:lang w:val="en-US" w:eastAsia="zh-CN"/>
              </w:rPr>
              <w:t>4-9</w:t>
            </w:r>
            <w:r>
              <w:rPr>
                <w:rFonts w:hint="default" w:eastAsia="仿宋" w:cs="Times New Roman"/>
                <w:color w:val="auto"/>
                <w:kern w:val="0"/>
                <w:sz w:val="24"/>
                <w:szCs w:val="24"/>
                <w:highlight w:val="none"/>
                <w:lang w:val="en-US" w:eastAsia="zh-CN"/>
              </w:rPr>
              <w:t>可知，</w:t>
            </w:r>
            <w:r>
              <w:rPr>
                <w:rFonts w:hint="eastAsia" w:eastAsia="仿宋" w:cs="Times New Roman"/>
                <w:color w:val="auto"/>
                <w:kern w:val="0"/>
                <w:sz w:val="24"/>
                <w:szCs w:val="24"/>
                <w:highlight w:val="none"/>
                <w:lang w:val="en-US" w:eastAsia="zh-CN"/>
              </w:rPr>
              <w:t>扩建后全院综合废水经院区污水处理站处理达到《医疗机构水污染物排放标准》（GB18466-2005）表2中预处理标准。并接管至金坛第一污水处理厂进一步处理达标后排入丹金溧漕河，</w:t>
            </w:r>
            <w:r>
              <w:rPr>
                <w:rFonts w:hint="default" w:eastAsia="仿宋" w:cs="Times New Roman"/>
                <w:color w:val="auto"/>
                <w:kern w:val="0"/>
                <w:sz w:val="24"/>
                <w:szCs w:val="24"/>
                <w:highlight w:val="none"/>
                <w:lang w:val="en-US" w:eastAsia="zh-CN"/>
              </w:rPr>
              <w:t>对周围水环境影响较小。</w:t>
            </w:r>
          </w:p>
          <w:p w14:paraId="50029BEF">
            <w:pPr>
              <w:spacing w:line="360" w:lineRule="auto"/>
              <w:rPr>
                <w:rFonts w:hint="eastAsia" w:ascii="Times New Roman" w:hAnsi="Times New Roman" w:eastAsia="仿宋" w:cs="Times New Roman"/>
                <w:color w:val="auto"/>
                <w:kern w:val="0"/>
                <w:sz w:val="24"/>
                <w:szCs w:val="24"/>
                <w:highlight w:val="none"/>
                <w:lang w:val="en-US" w:eastAsia="zh-CN" w:bidi="ar-SA"/>
              </w:rPr>
            </w:pPr>
            <w:r>
              <w:rPr>
                <w:rFonts w:hint="eastAsia" w:ascii="Times New Roman" w:hAnsi="Times New Roman" w:eastAsia="仿宋" w:cs="Times New Roman"/>
                <w:color w:val="auto"/>
                <w:kern w:val="0"/>
                <w:sz w:val="24"/>
                <w:szCs w:val="24"/>
                <w:highlight w:val="none"/>
                <w:lang w:val="en-US" w:eastAsia="zh-CN" w:bidi="ar-SA"/>
              </w:rPr>
              <w:t>（四）</w:t>
            </w:r>
            <w:r>
              <w:rPr>
                <w:rFonts w:hint="default" w:ascii="Times New Roman" w:hAnsi="Times New Roman" w:eastAsia="仿宋" w:cs="Times New Roman"/>
                <w:color w:val="auto"/>
                <w:kern w:val="0"/>
                <w:sz w:val="24"/>
                <w:szCs w:val="24"/>
                <w:highlight w:val="none"/>
                <w:lang w:val="en-US" w:eastAsia="zh-CN" w:bidi="ar-SA"/>
              </w:rPr>
              <w:t>排放口基本</w:t>
            </w:r>
            <w:r>
              <w:rPr>
                <w:rFonts w:hint="eastAsia" w:ascii="Times New Roman" w:hAnsi="Times New Roman" w:eastAsia="仿宋" w:cs="Times New Roman"/>
                <w:color w:val="auto"/>
                <w:kern w:val="0"/>
                <w:sz w:val="24"/>
                <w:szCs w:val="24"/>
                <w:highlight w:val="none"/>
                <w:lang w:val="en-US" w:eastAsia="zh-CN" w:bidi="ar-SA"/>
              </w:rPr>
              <w:t>信息</w:t>
            </w:r>
          </w:p>
          <w:p w14:paraId="14BD44FF">
            <w:pPr>
              <w:spacing w:line="360" w:lineRule="auto"/>
              <w:ind w:firstLine="480" w:firstLineChars="200"/>
              <w:rPr>
                <w:rFonts w:hint="eastAsia"/>
                <w:color w:val="FF0000"/>
                <w:sz w:val="24"/>
                <w:lang w:bidi="ar"/>
              </w:rPr>
            </w:pPr>
            <w:r>
              <w:rPr>
                <w:rFonts w:hint="eastAsia" w:eastAsia="仿宋" w:cs="Times New Roman"/>
                <w:color w:val="auto"/>
                <w:kern w:val="0"/>
                <w:sz w:val="24"/>
                <w:szCs w:val="24"/>
                <w:highlight w:val="none"/>
                <w:lang w:val="en-US" w:eastAsia="zh-CN"/>
              </w:rPr>
              <w:t>本项目废水类别、污染物及污染治理设施信息见表4-10。</w:t>
            </w:r>
          </w:p>
          <w:p w14:paraId="158CCB15">
            <w:pPr>
              <w:jc w:val="center"/>
              <w:rPr>
                <w:rFonts w:hint="eastAsia" w:ascii="Times New Roman" w:hAnsi="Times New Roman" w:eastAsia="仿宋" w:cs="Times New Roman"/>
                <w:b/>
                <w:bCs/>
                <w:color w:val="auto"/>
                <w:kern w:val="2"/>
                <w:sz w:val="22"/>
                <w:szCs w:val="22"/>
                <w:highlight w:val="none"/>
                <w:lang w:val="en-US" w:eastAsia="zh-CN" w:bidi="ar-SA"/>
              </w:rPr>
            </w:pPr>
            <w:r>
              <w:rPr>
                <w:rFonts w:hint="eastAsia" w:ascii="Times New Roman" w:hAnsi="Times New Roman" w:eastAsia="仿宋" w:cs="Times New Roman"/>
                <w:b/>
                <w:bCs/>
                <w:color w:val="auto"/>
                <w:kern w:val="2"/>
                <w:sz w:val="22"/>
                <w:szCs w:val="22"/>
                <w:highlight w:val="none"/>
                <w:lang w:val="en-US" w:eastAsia="zh-CN" w:bidi="ar-SA"/>
              </w:rPr>
              <w:t>表4-</w:t>
            </w:r>
            <w:r>
              <w:rPr>
                <w:rFonts w:hint="eastAsia" w:eastAsia="仿宋" w:cs="Times New Roman"/>
                <w:b/>
                <w:bCs/>
                <w:color w:val="auto"/>
                <w:kern w:val="2"/>
                <w:sz w:val="22"/>
                <w:szCs w:val="22"/>
                <w:highlight w:val="none"/>
                <w:lang w:val="en-US" w:eastAsia="zh-CN" w:bidi="ar-SA"/>
              </w:rPr>
              <w:t>10</w:t>
            </w:r>
            <w:r>
              <w:rPr>
                <w:rFonts w:hint="eastAsia" w:ascii="Times New Roman" w:hAnsi="Times New Roman" w:eastAsia="仿宋" w:cs="Times New Roman"/>
                <w:b/>
                <w:bCs/>
                <w:color w:val="auto"/>
                <w:kern w:val="2"/>
                <w:sz w:val="22"/>
                <w:szCs w:val="22"/>
                <w:highlight w:val="none"/>
                <w:lang w:val="en-US" w:eastAsia="zh-CN" w:bidi="ar-SA"/>
              </w:rPr>
              <w:t xml:space="preserve">  项目废水类别、污染物及污染治理设施信息表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336"/>
              <w:gridCol w:w="797"/>
              <w:gridCol w:w="677"/>
              <w:gridCol w:w="958"/>
              <w:gridCol w:w="797"/>
              <w:gridCol w:w="855"/>
              <w:gridCol w:w="945"/>
              <w:gridCol w:w="780"/>
              <w:gridCol w:w="938"/>
              <w:gridCol w:w="1245"/>
            </w:tblGrid>
            <w:tr w14:paraId="20B64B0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PrEx>
              <w:trPr>
                <w:trHeight w:val="262" w:hRule="atLeast"/>
                <w:jc w:val="center"/>
              </w:trPr>
              <w:tc>
                <w:tcPr>
                  <w:tcW w:w="202" w:type="pct"/>
                  <w:vMerge w:val="restart"/>
                  <w:noWrap w:val="0"/>
                  <w:vAlign w:val="center"/>
                </w:tcPr>
                <w:p w14:paraId="046D6690">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废水类别</w:t>
                  </w:r>
                </w:p>
              </w:tc>
              <w:tc>
                <w:tcPr>
                  <w:tcW w:w="478" w:type="pct"/>
                  <w:vMerge w:val="restart"/>
                  <w:noWrap w:val="0"/>
                  <w:vAlign w:val="center"/>
                </w:tcPr>
                <w:p w14:paraId="5690D212">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污染物种类</w:t>
                  </w:r>
                </w:p>
              </w:tc>
              <w:tc>
                <w:tcPr>
                  <w:tcW w:w="406" w:type="pct"/>
                  <w:vMerge w:val="restart"/>
                  <w:noWrap w:val="0"/>
                  <w:vAlign w:val="center"/>
                </w:tcPr>
                <w:p w14:paraId="70A0CE44">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排放去向</w:t>
                  </w:r>
                </w:p>
              </w:tc>
              <w:tc>
                <w:tcPr>
                  <w:tcW w:w="575" w:type="pct"/>
                  <w:vMerge w:val="restart"/>
                  <w:noWrap w:val="0"/>
                  <w:vAlign w:val="center"/>
                </w:tcPr>
                <w:p w14:paraId="7AC2534D">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排放规律</w:t>
                  </w:r>
                </w:p>
              </w:tc>
              <w:tc>
                <w:tcPr>
                  <w:tcW w:w="1558" w:type="pct"/>
                  <w:gridSpan w:val="3"/>
                  <w:noWrap w:val="0"/>
                  <w:vAlign w:val="center"/>
                </w:tcPr>
                <w:p w14:paraId="17A6BC73">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污染治理措施</w:t>
                  </w:r>
                </w:p>
              </w:tc>
              <w:tc>
                <w:tcPr>
                  <w:tcW w:w="468" w:type="pct"/>
                  <w:vMerge w:val="restart"/>
                  <w:noWrap w:val="0"/>
                  <w:vAlign w:val="center"/>
                </w:tcPr>
                <w:p w14:paraId="7E5E3997">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排放口编号</w:t>
                  </w:r>
                </w:p>
              </w:tc>
              <w:tc>
                <w:tcPr>
                  <w:tcW w:w="563" w:type="pct"/>
                  <w:vMerge w:val="restart"/>
                  <w:noWrap w:val="0"/>
                  <w:vAlign w:val="center"/>
                </w:tcPr>
                <w:p w14:paraId="0AE16CBE">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排放口设置是否符合要求</w:t>
                  </w:r>
                </w:p>
              </w:tc>
              <w:tc>
                <w:tcPr>
                  <w:tcW w:w="747" w:type="pct"/>
                  <w:vMerge w:val="restart"/>
                  <w:noWrap w:val="0"/>
                  <w:vAlign w:val="center"/>
                </w:tcPr>
                <w:p w14:paraId="5D838D65">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排放口类型</w:t>
                  </w:r>
                </w:p>
              </w:tc>
            </w:tr>
            <w:tr w14:paraId="421C6B2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62" w:hRule="atLeast"/>
                <w:jc w:val="center"/>
              </w:trPr>
              <w:tc>
                <w:tcPr>
                  <w:tcW w:w="202" w:type="pct"/>
                  <w:vMerge w:val="continue"/>
                  <w:noWrap w:val="0"/>
                  <w:vAlign w:val="center"/>
                </w:tcPr>
                <w:p w14:paraId="34128B39">
                  <w:pPr>
                    <w:adjustRightInd w:val="0"/>
                    <w:snapToGrid w:val="0"/>
                    <w:jc w:val="center"/>
                    <w:rPr>
                      <w:color w:val="FF0000"/>
                      <w:sz w:val="18"/>
                      <w:szCs w:val="18"/>
                    </w:rPr>
                  </w:pPr>
                </w:p>
              </w:tc>
              <w:tc>
                <w:tcPr>
                  <w:tcW w:w="478" w:type="pct"/>
                  <w:vMerge w:val="continue"/>
                  <w:noWrap w:val="0"/>
                  <w:vAlign w:val="center"/>
                </w:tcPr>
                <w:p w14:paraId="25F2630D">
                  <w:pPr>
                    <w:adjustRightInd w:val="0"/>
                    <w:snapToGrid w:val="0"/>
                    <w:jc w:val="center"/>
                    <w:rPr>
                      <w:color w:val="FF0000"/>
                      <w:sz w:val="18"/>
                      <w:szCs w:val="18"/>
                    </w:rPr>
                  </w:pPr>
                </w:p>
              </w:tc>
              <w:tc>
                <w:tcPr>
                  <w:tcW w:w="406" w:type="pct"/>
                  <w:vMerge w:val="continue"/>
                  <w:noWrap w:val="0"/>
                  <w:vAlign w:val="center"/>
                </w:tcPr>
                <w:p w14:paraId="477FEFDE">
                  <w:pPr>
                    <w:adjustRightInd w:val="0"/>
                    <w:snapToGrid w:val="0"/>
                    <w:jc w:val="center"/>
                    <w:rPr>
                      <w:color w:val="FF0000"/>
                      <w:sz w:val="18"/>
                      <w:szCs w:val="18"/>
                    </w:rPr>
                  </w:pPr>
                </w:p>
              </w:tc>
              <w:tc>
                <w:tcPr>
                  <w:tcW w:w="575" w:type="pct"/>
                  <w:vMerge w:val="continue"/>
                  <w:noWrap w:val="0"/>
                  <w:vAlign w:val="center"/>
                </w:tcPr>
                <w:p w14:paraId="7B54AAD7">
                  <w:pPr>
                    <w:adjustRightInd w:val="0"/>
                    <w:snapToGrid w:val="0"/>
                    <w:jc w:val="center"/>
                    <w:rPr>
                      <w:color w:val="FF0000"/>
                      <w:sz w:val="18"/>
                      <w:szCs w:val="18"/>
                    </w:rPr>
                  </w:pPr>
                </w:p>
              </w:tc>
              <w:tc>
                <w:tcPr>
                  <w:tcW w:w="478" w:type="pct"/>
                  <w:noWrap w:val="0"/>
                  <w:vAlign w:val="center"/>
                </w:tcPr>
                <w:p w14:paraId="064194EB">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污染治理措施编号</w:t>
                  </w:r>
                </w:p>
              </w:tc>
              <w:tc>
                <w:tcPr>
                  <w:tcW w:w="513" w:type="pct"/>
                  <w:noWrap w:val="0"/>
                  <w:vAlign w:val="center"/>
                </w:tcPr>
                <w:p w14:paraId="4A5193BB">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污染治理措施名称</w:t>
                  </w:r>
                </w:p>
              </w:tc>
              <w:tc>
                <w:tcPr>
                  <w:tcW w:w="566" w:type="pct"/>
                  <w:noWrap w:val="0"/>
                  <w:vAlign w:val="center"/>
                </w:tcPr>
                <w:p w14:paraId="5263F558">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污染治理措施工艺</w:t>
                  </w:r>
                </w:p>
              </w:tc>
              <w:tc>
                <w:tcPr>
                  <w:tcW w:w="468" w:type="pct"/>
                  <w:vMerge w:val="continue"/>
                  <w:noWrap w:val="0"/>
                  <w:vAlign w:val="center"/>
                </w:tcPr>
                <w:p w14:paraId="14B4FDB0">
                  <w:pPr>
                    <w:adjustRightInd w:val="0"/>
                    <w:snapToGrid w:val="0"/>
                    <w:jc w:val="center"/>
                    <w:rPr>
                      <w:b/>
                      <w:color w:val="FF0000"/>
                      <w:sz w:val="18"/>
                      <w:szCs w:val="18"/>
                    </w:rPr>
                  </w:pPr>
                </w:p>
              </w:tc>
              <w:tc>
                <w:tcPr>
                  <w:tcW w:w="563" w:type="pct"/>
                  <w:vMerge w:val="continue"/>
                  <w:noWrap w:val="0"/>
                  <w:vAlign w:val="center"/>
                </w:tcPr>
                <w:p w14:paraId="3A91030E">
                  <w:pPr>
                    <w:adjustRightInd w:val="0"/>
                    <w:snapToGrid w:val="0"/>
                    <w:jc w:val="center"/>
                    <w:rPr>
                      <w:b/>
                      <w:color w:val="FF0000"/>
                      <w:sz w:val="18"/>
                      <w:szCs w:val="18"/>
                    </w:rPr>
                  </w:pPr>
                </w:p>
              </w:tc>
              <w:tc>
                <w:tcPr>
                  <w:tcW w:w="747" w:type="pct"/>
                  <w:vMerge w:val="continue"/>
                  <w:noWrap w:val="0"/>
                  <w:vAlign w:val="center"/>
                </w:tcPr>
                <w:p w14:paraId="02C48811">
                  <w:pPr>
                    <w:adjustRightInd w:val="0"/>
                    <w:snapToGrid w:val="0"/>
                    <w:jc w:val="center"/>
                    <w:rPr>
                      <w:b/>
                      <w:color w:val="FF0000"/>
                      <w:sz w:val="18"/>
                      <w:szCs w:val="18"/>
                    </w:rPr>
                  </w:pPr>
                </w:p>
              </w:tc>
            </w:tr>
            <w:tr w14:paraId="4ED6424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614" w:hRule="atLeast"/>
                <w:jc w:val="center"/>
              </w:trPr>
              <w:tc>
                <w:tcPr>
                  <w:tcW w:w="202" w:type="pct"/>
                  <w:noWrap w:val="0"/>
                  <w:vAlign w:val="center"/>
                </w:tcPr>
                <w:p w14:paraId="28911732">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医院废水</w:t>
                  </w:r>
                </w:p>
              </w:tc>
              <w:tc>
                <w:tcPr>
                  <w:tcW w:w="478" w:type="pct"/>
                  <w:noWrap w:val="0"/>
                  <w:vAlign w:val="center"/>
                </w:tcPr>
                <w:p w14:paraId="459A9C2C">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pH、</w:t>
                  </w:r>
                  <w:r>
                    <w:rPr>
                      <w:rFonts w:hint="default" w:ascii="Times New Roman" w:hAnsi="Times New Roman" w:eastAsia="仿宋" w:cs="Times New Roman"/>
                      <w:color w:val="auto"/>
                      <w:kern w:val="0"/>
                      <w:sz w:val="21"/>
                      <w:szCs w:val="21"/>
                      <w:highlight w:val="none"/>
                      <w:lang w:val="en-US" w:eastAsia="zh-CN"/>
                    </w:rPr>
                    <w:t>COD、SS、NH3-N</w:t>
                  </w:r>
                  <w:r>
                    <w:rPr>
                      <w:rFonts w:hint="eastAsia" w:ascii="Times New Roman" w:hAnsi="Times New Roman" w:eastAsia="仿宋" w:cs="Times New Roman"/>
                      <w:color w:val="auto"/>
                      <w:kern w:val="0"/>
                      <w:sz w:val="21"/>
                      <w:szCs w:val="21"/>
                      <w:highlight w:val="none"/>
                      <w:lang w:val="en-US" w:eastAsia="zh-CN"/>
                    </w:rPr>
                    <w:t>、TP、粪大肠菌群、动植物油、总余氯</w:t>
                  </w:r>
                </w:p>
              </w:tc>
              <w:tc>
                <w:tcPr>
                  <w:tcW w:w="406" w:type="pct"/>
                  <w:noWrap w:val="0"/>
                  <w:vAlign w:val="center"/>
                </w:tcPr>
                <w:p w14:paraId="4A7E2C09">
                  <w:pPr>
                    <w:keepNext w:val="0"/>
                    <w:keepLines w:val="0"/>
                    <w:pageBreakBefore w:val="0"/>
                    <w:kinsoku/>
                    <w:wordWrap/>
                    <w:overflowPunct/>
                    <w:bidi w:val="0"/>
                    <w:snapToGrid w:val="0"/>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金坛区第一污水处理厂</w:t>
                  </w:r>
                </w:p>
              </w:tc>
              <w:tc>
                <w:tcPr>
                  <w:tcW w:w="575" w:type="pct"/>
                  <w:noWrap w:val="0"/>
                  <w:vAlign w:val="center"/>
                </w:tcPr>
                <w:p w14:paraId="071EF785">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连续排放，流量不稳定且无规律，但不属于冲击型排放</w:t>
                  </w:r>
                </w:p>
              </w:tc>
              <w:tc>
                <w:tcPr>
                  <w:tcW w:w="478" w:type="pct"/>
                  <w:noWrap w:val="0"/>
                  <w:vAlign w:val="center"/>
                </w:tcPr>
                <w:p w14:paraId="4FE7705E">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TW001</w:t>
                  </w:r>
                </w:p>
              </w:tc>
              <w:tc>
                <w:tcPr>
                  <w:tcW w:w="513" w:type="pct"/>
                  <w:noWrap w:val="0"/>
                  <w:vAlign w:val="center"/>
                </w:tcPr>
                <w:p w14:paraId="4A10D0BD">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污水处理站</w:t>
                  </w:r>
                </w:p>
              </w:tc>
              <w:tc>
                <w:tcPr>
                  <w:tcW w:w="566" w:type="pct"/>
                  <w:noWrap w:val="0"/>
                  <w:vAlign w:val="center"/>
                </w:tcPr>
                <w:p w14:paraId="53B7115C">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“酸碱中和+生物接触氧化+沉淀+消毒”的处理工艺</w:t>
                  </w:r>
                </w:p>
              </w:tc>
              <w:tc>
                <w:tcPr>
                  <w:tcW w:w="468" w:type="pct"/>
                  <w:noWrap w:val="0"/>
                  <w:vAlign w:val="center"/>
                </w:tcPr>
                <w:p w14:paraId="12175AFD">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DW001</w:t>
                  </w:r>
                </w:p>
              </w:tc>
              <w:tc>
                <w:tcPr>
                  <w:tcW w:w="563" w:type="pct"/>
                  <w:noWrap w:val="0"/>
                  <w:vAlign w:val="center"/>
                </w:tcPr>
                <w:p w14:paraId="2312A54A">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☑是</w:t>
                  </w:r>
                </w:p>
                <w:p w14:paraId="561E79E9">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w:t>
                  </w:r>
                  <w:r>
                    <w:rPr>
                      <w:rFonts w:hint="default" w:ascii="Times New Roman" w:hAnsi="Times New Roman" w:eastAsia="仿宋" w:cs="Times New Roman"/>
                      <w:color w:val="auto"/>
                      <w:kern w:val="0"/>
                      <w:sz w:val="21"/>
                      <w:szCs w:val="21"/>
                      <w:highlight w:val="none"/>
                      <w:lang w:val="en-US" w:eastAsia="zh-CN"/>
                    </w:rPr>
                    <w:t>否</w:t>
                  </w:r>
                </w:p>
                <w:p w14:paraId="522CA88E">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p>
              </w:tc>
              <w:tc>
                <w:tcPr>
                  <w:tcW w:w="747" w:type="pct"/>
                  <w:noWrap w:val="0"/>
                  <w:vAlign w:val="center"/>
                </w:tcPr>
                <w:p w14:paraId="6075856B">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☑企业总排</w:t>
                  </w:r>
                </w:p>
                <w:p w14:paraId="0295F48A">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□雨水排放</w:t>
                  </w:r>
                </w:p>
                <w:p w14:paraId="18597493">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□清下水排放</w:t>
                  </w:r>
                </w:p>
                <w:p w14:paraId="60E8C4B0">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□温排水排放</w:t>
                  </w:r>
                </w:p>
                <w:p w14:paraId="5260A900">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□车间或车间处置设施排放口</w:t>
                  </w:r>
                </w:p>
              </w:tc>
            </w:tr>
          </w:tbl>
          <w:p w14:paraId="30B58705">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表4-</w:t>
            </w:r>
            <w:r>
              <w:rPr>
                <w:rFonts w:hint="eastAsia" w:ascii="Times New Roman" w:hAnsi="Times New Roman" w:eastAsia="仿宋" w:cs="Times New Roman"/>
                <w:b/>
                <w:bCs/>
                <w:color w:val="auto"/>
                <w:kern w:val="2"/>
                <w:sz w:val="22"/>
                <w:szCs w:val="22"/>
                <w:highlight w:val="none"/>
                <w:lang w:val="en-US" w:eastAsia="zh-CN" w:bidi="ar-SA"/>
              </w:rPr>
              <w:t>11</w:t>
            </w:r>
            <w:r>
              <w:rPr>
                <w:rFonts w:hint="default" w:ascii="Times New Roman" w:hAnsi="Times New Roman" w:eastAsia="仿宋" w:cs="Times New Roman"/>
                <w:b/>
                <w:bCs/>
                <w:color w:val="auto"/>
                <w:kern w:val="2"/>
                <w:sz w:val="22"/>
                <w:szCs w:val="22"/>
                <w:highlight w:val="none"/>
                <w:lang w:val="en-US" w:eastAsia="zh-CN" w:bidi="ar-SA"/>
              </w:rPr>
              <w:t xml:space="preserve"> 排放口基本情况表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048"/>
              <w:gridCol w:w="1143"/>
              <w:gridCol w:w="1201"/>
              <w:gridCol w:w="795"/>
              <w:gridCol w:w="810"/>
              <w:gridCol w:w="687"/>
              <w:gridCol w:w="830"/>
              <w:gridCol w:w="898"/>
            </w:tblGrid>
            <w:tr w14:paraId="3BF4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43" w:type="pct"/>
                  <w:vMerge w:val="restart"/>
                  <w:tcBorders>
                    <w:tl2br w:val="nil"/>
                    <w:tr2bl w:val="nil"/>
                  </w:tcBorders>
                  <w:vAlign w:val="center"/>
                </w:tcPr>
                <w:p w14:paraId="5769EE02">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排放口</w:t>
                  </w:r>
                </w:p>
                <w:p w14:paraId="2EA247DA">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编号</w:t>
                  </w:r>
                </w:p>
              </w:tc>
              <w:tc>
                <w:tcPr>
                  <w:tcW w:w="1317" w:type="pct"/>
                  <w:gridSpan w:val="2"/>
                  <w:tcBorders>
                    <w:tl2br w:val="nil"/>
                    <w:tr2bl w:val="nil"/>
                  </w:tcBorders>
                  <w:vAlign w:val="center"/>
                </w:tcPr>
                <w:p w14:paraId="06EA52B2">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排放口地理坐标</w:t>
                  </w:r>
                </w:p>
              </w:tc>
              <w:tc>
                <w:tcPr>
                  <w:tcW w:w="722" w:type="pct"/>
                  <w:vMerge w:val="restart"/>
                  <w:tcBorders>
                    <w:tl2br w:val="nil"/>
                    <w:tr2bl w:val="nil"/>
                  </w:tcBorders>
                  <w:vAlign w:val="center"/>
                </w:tcPr>
                <w:p w14:paraId="489FE1B5">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废水排放量/（t/a）</w:t>
                  </w:r>
                </w:p>
              </w:tc>
              <w:tc>
                <w:tcPr>
                  <w:tcW w:w="478" w:type="pct"/>
                  <w:vMerge w:val="restart"/>
                  <w:tcBorders>
                    <w:tl2br w:val="nil"/>
                    <w:tr2bl w:val="nil"/>
                  </w:tcBorders>
                  <w:vAlign w:val="center"/>
                </w:tcPr>
                <w:p w14:paraId="32ABBB5F">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排放</w:t>
                  </w:r>
                </w:p>
                <w:p w14:paraId="766B16B3">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去向</w:t>
                  </w:r>
                </w:p>
              </w:tc>
              <w:tc>
                <w:tcPr>
                  <w:tcW w:w="487" w:type="pct"/>
                  <w:vMerge w:val="restart"/>
                  <w:tcBorders>
                    <w:tl2br w:val="nil"/>
                    <w:tr2bl w:val="nil"/>
                  </w:tcBorders>
                  <w:vAlign w:val="center"/>
                </w:tcPr>
                <w:p w14:paraId="7270E21A">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排放</w:t>
                  </w:r>
                </w:p>
                <w:p w14:paraId="6EABF4AC">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规律</w:t>
                  </w:r>
                </w:p>
              </w:tc>
              <w:tc>
                <w:tcPr>
                  <w:tcW w:w="1451" w:type="pct"/>
                  <w:gridSpan w:val="3"/>
                  <w:tcBorders>
                    <w:tl2br w:val="nil"/>
                    <w:tr2bl w:val="nil"/>
                  </w:tcBorders>
                  <w:vAlign w:val="center"/>
                </w:tcPr>
                <w:p w14:paraId="49868732">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受纳污水处理厂信息</w:t>
                  </w:r>
                </w:p>
              </w:tc>
            </w:tr>
            <w:tr w14:paraId="4166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43" w:type="pct"/>
                  <w:vMerge w:val="continue"/>
                  <w:tcBorders>
                    <w:tl2br w:val="nil"/>
                    <w:tr2bl w:val="nil"/>
                  </w:tcBorders>
                  <w:vAlign w:val="center"/>
                </w:tcPr>
                <w:p w14:paraId="2E631316">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p>
              </w:tc>
              <w:tc>
                <w:tcPr>
                  <w:tcW w:w="630" w:type="pct"/>
                  <w:tcBorders>
                    <w:tl2br w:val="nil"/>
                    <w:tr2bl w:val="nil"/>
                  </w:tcBorders>
                  <w:vAlign w:val="center"/>
                </w:tcPr>
                <w:p w14:paraId="6590B365">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经度</w:t>
                  </w:r>
                </w:p>
              </w:tc>
              <w:tc>
                <w:tcPr>
                  <w:tcW w:w="687" w:type="pct"/>
                  <w:tcBorders>
                    <w:tl2br w:val="nil"/>
                    <w:tr2bl w:val="nil"/>
                  </w:tcBorders>
                  <w:vAlign w:val="center"/>
                </w:tcPr>
                <w:p w14:paraId="6FB84468">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纬度</w:t>
                  </w:r>
                </w:p>
              </w:tc>
              <w:tc>
                <w:tcPr>
                  <w:tcW w:w="722" w:type="pct"/>
                  <w:vMerge w:val="continue"/>
                  <w:tcBorders>
                    <w:tl2br w:val="nil"/>
                    <w:tr2bl w:val="nil"/>
                  </w:tcBorders>
                  <w:vAlign w:val="center"/>
                </w:tcPr>
                <w:p w14:paraId="42A449F8">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p>
              </w:tc>
              <w:tc>
                <w:tcPr>
                  <w:tcW w:w="478" w:type="pct"/>
                  <w:vMerge w:val="continue"/>
                  <w:tcBorders>
                    <w:tl2br w:val="nil"/>
                    <w:tr2bl w:val="nil"/>
                  </w:tcBorders>
                  <w:vAlign w:val="center"/>
                </w:tcPr>
                <w:p w14:paraId="43FB6267">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p>
              </w:tc>
              <w:tc>
                <w:tcPr>
                  <w:tcW w:w="487" w:type="pct"/>
                  <w:vMerge w:val="continue"/>
                  <w:tcBorders>
                    <w:tl2br w:val="nil"/>
                    <w:tr2bl w:val="nil"/>
                  </w:tcBorders>
                  <w:vAlign w:val="center"/>
                </w:tcPr>
                <w:p w14:paraId="11842CEE">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p>
              </w:tc>
              <w:tc>
                <w:tcPr>
                  <w:tcW w:w="413" w:type="pct"/>
                  <w:tcBorders>
                    <w:tl2br w:val="nil"/>
                    <w:tr2bl w:val="nil"/>
                  </w:tcBorders>
                  <w:vAlign w:val="center"/>
                </w:tcPr>
                <w:p w14:paraId="5D278BB2">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名称</w:t>
                  </w:r>
                </w:p>
              </w:tc>
              <w:tc>
                <w:tcPr>
                  <w:tcW w:w="499" w:type="pct"/>
                  <w:tcBorders>
                    <w:tl2br w:val="nil"/>
                    <w:tr2bl w:val="nil"/>
                  </w:tcBorders>
                  <w:vAlign w:val="center"/>
                </w:tcPr>
                <w:p w14:paraId="1ACEEEE8">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污染物</w:t>
                  </w:r>
                </w:p>
              </w:tc>
              <w:tc>
                <w:tcPr>
                  <w:tcW w:w="538" w:type="pct"/>
                  <w:tcBorders>
                    <w:tl2br w:val="nil"/>
                    <w:tr2bl w:val="nil"/>
                  </w:tcBorders>
                  <w:vAlign w:val="center"/>
                </w:tcPr>
                <w:p w14:paraId="4B049E03">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限值/(mg/L)</w:t>
                  </w:r>
                </w:p>
              </w:tc>
            </w:tr>
            <w:tr w14:paraId="6EB9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 w:type="pct"/>
                  <w:vMerge w:val="restart"/>
                  <w:tcBorders>
                    <w:tl2br w:val="nil"/>
                    <w:tr2bl w:val="nil"/>
                  </w:tcBorders>
                  <w:vAlign w:val="center"/>
                </w:tcPr>
                <w:p w14:paraId="710C6ECA">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DW001</w:t>
                  </w:r>
                </w:p>
              </w:tc>
              <w:tc>
                <w:tcPr>
                  <w:tcW w:w="630" w:type="pct"/>
                  <w:vMerge w:val="restart"/>
                  <w:tcBorders>
                    <w:tl2br w:val="nil"/>
                    <w:tr2bl w:val="nil"/>
                  </w:tcBorders>
                  <w:vAlign w:val="center"/>
                </w:tcPr>
                <w:p w14:paraId="54EF54B1">
                  <w:pPr>
                    <w:pStyle w:val="27"/>
                    <w:keepNext w:val="0"/>
                    <w:keepLines w:val="0"/>
                    <w:pageBreakBefore w:val="0"/>
                    <w:kinsoku/>
                    <w:wordWrap/>
                    <w:overflowPunct/>
                    <w:bidi w:val="0"/>
                    <w:snapToGrid w:val="0"/>
                    <w:spacing w:before="0" w:beforeAutospacing="0" w:after="0" w:afterAutospacing="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119.554745</w:t>
                  </w:r>
                </w:p>
              </w:tc>
              <w:tc>
                <w:tcPr>
                  <w:tcW w:w="687" w:type="pct"/>
                  <w:vMerge w:val="restart"/>
                  <w:tcBorders>
                    <w:tl2br w:val="nil"/>
                    <w:tr2bl w:val="nil"/>
                  </w:tcBorders>
                  <w:vAlign w:val="center"/>
                </w:tcPr>
                <w:p w14:paraId="2F2E37E4">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31.735666</w:t>
                  </w:r>
                </w:p>
              </w:tc>
              <w:tc>
                <w:tcPr>
                  <w:tcW w:w="722" w:type="pct"/>
                  <w:vMerge w:val="restart"/>
                  <w:tcBorders>
                    <w:tl2br w:val="nil"/>
                    <w:tr2bl w:val="nil"/>
                  </w:tcBorders>
                  <w:vAlign w:val="center"/>
                </w:tcPr>
                <w:p w14:paraId="6B80DA86">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73687</w:t>
                  </w:r>
                </w:p>
              </w:tc>
              <w:tc>
                <w:tcPr>
                  <w:tcW w:w="478" w:type="pct"/>
                  <w:vMerge w:val="restart"/>
                  <w:tcBorders>
                    <w:tl2br w:val="nil"/>
                    <w:tr2bl w:val="nil"/>
                  </w:tcBorders>
                  <w:vAlign w:val="center"/>
                </w:tcPr>
                <w:p w14:paraId="2EDEC39A">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进入城市污水处理厂</w:t>
                  </w:r>
                </w:p>
              </w:tc>
              <w:tc>
                <w:tcPr>
                  <w:tcW w:w="487" w:type="pct"/>
                  <w:vMerge w:val="restart"/>
                  <w:tcBorders>
                    <w:tl2br w:val="nil"/>
                    <w:tr2bl w:val="nil"/>
                  </w:tcBorders>
                  <w:vAlign w:val="center"/>
                </w:tcPr>
                <w:p w14:paraId="32DEA84E">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连续</w:t>
                  </w:r>
                  <w:r>
                    <w:rPr>
                      <w:rFonts w:hint="default" w:ascii="Times New Roman" w:hAnsi="Times New Roman" w:eastAsia="仿宋" w:cs="Times New Roman"/>
                      <w:color w:val="auto"/>
                      <w:kern w:val="0"/>
                      <w:sz w:val="21"/>
                      <w:szCs w:val="21"/>
                      <w:highlight w:val="none"/>
                    </w:rPr>
                    <w:t>排放</w:t>
                  </w:r>
                </w:p>
              </w:tc>
              <w:tc>
                <w:tcPr>
                  <w:tcW w:w="413" w:type="pct"/>
                  <w:vMerge w:val="restart"/>
                  <w:tcBorders>
                    <w:tl2br w:val="nil"/>
                    <w:tr2bl w:val="nil"/>
                  </w:tcBorders>
                  <w:vAlign w:val="center"/>
                </w:tcPr>
                <w:p w14:paraId="77A2C662">
                  <w:pPr>
                    <w:keepNext w:val="0"/>
                    <w:keepLines w:val="0"/>
                    <w:pageBreakBefore w:val="0"/>
                    <w:kinsoku/>
                    <w:wordWrap/>
                    <w:overflowPunct/>
                    <w:autoSpaceDE w:val="0"/>
                    <w:autoSpaceDN w:val="0"/>
                    <w:bidi w:val="0"/>
                    <w:adjustRightInd w:val="0"/>
                    <w:snapToGrid w:val="0"/>
                    <w:jc w:val="center"/>
                    <w:rPr>
                      <w:rFonts w:hint="eastAsia" w:ascii="Times New Roman" w:hAnsi="Times New Roman" w:eastAsia="仿宋" w:cs="Times New Roman"/>
                      <w:color w:val="auto"/>
                      <w:kern w:val="0"/>
                      <w:sz w:val="21"/>
                      <w:szCs w:val="21"/>
                      <w:highlight w:val="none"/>
                      <w:lang w:eastAsia="zh-CN"/>
                    </w:rPr>
                  </w:pPr>
                  <w:r>
                    <w:rPr>
                      <w:rFonts w:hint="eastAsia" w:eastAsia="仿宋" w:cs="Times New Roman"/>
                      <w:color w:val="auto"/>
                      <w:kern w:val="0"/>
                      <w:sz w:val="21"/>
                      <w:szCs w:val="21"/>
                      <w:highlight w:val="none"/>
                      <w:lang w:eastAsia="zh-CN"/>
                    </w:rPr>
                    <w:t>常州金坛区第</w:t>
                  </w:r>
                  <w:r>
                    <w:rPr>
                      <w:rFonts w:hint="eastAsia" w:eastAsia="仿宋" w:cs="Times New Roman"/>
                      <w:color w:val="auto"/>
                      <w:kern w:val="0"/>
                      <w:sz w:val="21"/>
                      <w:szCs w:val="21"/>
                      <w:highlight w:val="none"/>
                      <w:lang w:val="en-US" w:eastAsia="zh-CN"/>
                    </w:rPr>
                    <w:t>一</w:t>
                  </w:r>
                  <w:r>
                    <w:rPr>
                      <w:rFonts w:hint="eastAsia" w:eastAsia="仿宋" w:cs="Times New Roman"/>
                      <w:color w:val="auto"/>
                      <w:kern w:val="0"/>
                      <w:sz w:val="21"/>
                      <w:szCs w:val="21"/>
                      <w:highlight w:val="none"/>
                      <w:lang w:eastAsia="zh-CN"/>
                    </w:rPr>
                    <w:t>污水处理有限公司</w:t>
                  </w:r>
                </w:p>
              </w:tc>
              <w:tc>
                <w:tcPr>
                  <w:tcW w:w="499" w:type="pct"/>
                  <w:tcBorders>
                    <w:tl2br w:val="nil"/>
                    <w:tr2bl w:val="nil"/>
                  </w:tcBorders>
                  <w:vAlign w:val="center"/>
                </w:tcPr>
                <w:p w14:paraId="733DA9F8">
                  <w:pPr>
                    <w:keepNext w:val="0"/>
                    <w:keepLines w:val="0"/>
                    <w:pageBreakBefore w:val="0"/>
                    <w:kinsoku/>
                    <w:wordWrap/>
                    <w:overflowPunct/>
                    <w:bidi w:val="0"/>
                    <w:snapToGrid w:val="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pH</w:t>
                  </w:r>
                </w:p>
              </w:tc>
              <w:tc>
                <w:tcPr>
                  <w:tcW w:w="538" w:type="pct"/>
                  <w:tcBorders>
                    <w:tl2br w:val="nil"/>
                    <w:tr2bl w:val="nil"/>
                  </w:tcBorders>
                  <w:vAlign w:val="center"/>
                </w:tcPr>
                <w:p w14:paraId="26A587EE">
                  <w:pPr>
                    <w:keepNext w:val="0"/>
                    <w:keepLines w:val="0"/>
                    <w:pageBreakBefore w:val="0"/>
                    <w:kinsoku/>
                    <w:wordWrap/>
                    <w:overflowPunct/>
                    <w:bidi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rPr>
                    <w:t>6-9</w:t>
                  </w:r>
                </w:p>
              </w:tc>
            </w:tr>
            <w:tr w14:paraId="7E14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 w:type="pct"/>
                  <w:vMerge w:val="continue"/>
                  <w:tcBorders>
                    <w:tl2br w:val="nil"/>
                    <w:tr2bl w:val="nil"/>
                  </w:tcBorders>
                  <w:vAlign w:val="center"/>
                </w:tcPr>
                <w:p w14:paraId="03361689">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630" w:type="pct"/>
                  <w:vMerge w:val="continue"/>
                  <w:tcBorders>
                    <w:tl2br w:val="nil"/>
                    <w:tr2bl w:val="nil"/>
                  </w:tcBorders>
                  <w:vAlign w:val="center"/>
                </w:tcPr>
                <w:p w14:paraId="77B58DAA">
                  <w:pPr>
                    <w:pStyle w:val="27"/>
                    <w:keepNext w:val="0"/>
                    <w:keepLines w:val="0"/>
                    <w:pageBreakBefore w:val="0"/>
                    <w:kinsoku/>
                    <w:wordWrap/>
                    <w:overflowPunct/>
                    <w:bidi w:val="0"/>
                    <w:snapToGrid w:val="0"/>
                    <w:spacing w:before="0" w:beforeAutospacing="0" w:after="0" w:afterAutospacing="0"/>
                    <w:jc w:val="center"/>
                    <w:rPr>
                      <w:rFonts w:hint="default" w:ascii="Times New Roman" w:hAnsi="Times New Roman" w:eastAsia="仿宋" w:cs="Times New Roman"/>
                      <w:color w:val="auto"/>
                      <w:sz w:val="21"/>
                      <w:szCs w:val="21"/>
                      <w:highlight w:val="none"/>
                      <w:lang w:val="en-US" w:eastAsia="zh-CN"/>
                    </w:rPr>
                  </w:pPr>
                </w:p>
              </w:tc>
              <w:tc>
                <w:tcPr>
                  <w:tcW w:w="687" w:type="pct"/>
                  <w:vMerge w:val="continue"/>
                  <w:tcBorders>
                    <w:tl2br w:val="nil"/>
                    <w:tr2bl w:val="nil"/>
                  </w:tcBorders>
                  <w:vAlign w:val="center"/>
                </w:tcPr>
                <w:p w14:paraId="6AA4E29E">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p>
              </w:tc>
              <w:tc>
                <w:tcPr>
                  <w:tcW w:w="722" w:type="pct"/>
                  <w:vMerge w:val="continue"/>
                  <w:tcBorders>
                    <w:tl2br w:val="nil"/>
                    <w:tr2bl w:val="nil"/>
                  </w:tcBorders>
                  <w:vAlign w:val="center"/>
                </w:tcPr>
                <w:p w14:paraId="23E3C9A4">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p>
              </w:tc>
              <w:tc>
                <w:tcPr>
                  <w:tcW w:w="478" w:type="pct"/>
                  <w:vMerge w:val="continue"/>
                  <w:tcBorders>
                    <w:tl2br w:val="nil"/>
                    <w:tr2bl w:val="nil"/>
                  </w:tcBorders>
                  <w:vAlign w:val="center"/>
                </w:tcPr>
                <w:p w14:paraId="289806C3">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87" w:type="pct"/>
                  <w:vMerge w:val="continue"/>
                  <w:tcBorders>
                    <w:tl2br w:val="nil"/>
                    <w:tr2bl w:val="nil"/>
                  </w:tcBorders>
                  <w:vAlign w:val="center"/>
                </w:tcPr>
                <w:p w14:paraId="35059417">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13" w:type="pct"/>
                  <w:vMerge w:val="continue"/>
                  <w:tcBorders>
                    <w:tl2br w:val="nil"/>
                    <w:tr2bl w:val="nil"/>
                  </w:tcBorders>
                  <w:vAlign w:val="center"/>
                </w:tcPr>
                <w:p w14:paraId="209099DF">
                  <w:pPr>
                    <w:keepNext w:val="0"/>
                    <w:keepLines w:val="0"/>
                    <w:pageBreakBefore w:val="0"/>
                    <w:kinsoku/>
                    <w:wordWrap/>
                    <w:overflowPunct/>
                    <w:autoSpaceDE w:val="0"/>
                    <w:autoSpaceDN w:val="0"/>
                    <w:bidi w:val="0"/>
                    <w:adjustRightInd w:val="0"/>
                    <w:snapToGrid w:val="0"/>
                    <w:jc w:val="center"/>
                    <w:rPr>
                      <w:rFonts w:hint="eastAsia" w:ascii="Times New Roman" w:hAnsi="Times New Roman" w:eastAsia="仿宋" w:cs="Times New Roman"/>
                      <w:color w:val="auto"/>
                      <w:kern w:val="0"/>
                      <w:sz w:val="21"/>
                      <w:szCs w:val="21"/>
                      <w:highlight w:val="none"/>
                      <w:lang w:eastAsia="zh-CN"/>
                    </w:rPr>
                  </w:pPr>
                </w:p>
              </w:tc>
              <w:tc>
                <w:tcPr>
                  <w:tcW w:w="499" w:type="pct"/>
                  <w:tcBorders>
                    <w:tl2br w:val="nil"/>
                    <w:tr2bl w:val="nil"/>
                  </w:tcBorders>
                  <w:vAlign w:val="center"/>
                </w:tcPr>
                <w:p w14:paraId="791E0980">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COD</w:t>
                  </w:r>
                </w:p>
              </w:tc>
              <w:tc>
                <w:tcPr>
                  <w:tcW w:w="538" w:type="pct"/>
                  <w:tcBorders>
                    <w:tl2br w:val="nil"/>
                    <w:tr2bl w:val="nil"/>
                  </w:tcBorders>
                  <w:vAlign w:val="center"/>
                </w:tcPr>
                <w:p w14:paraId="619A7321">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sz w:val="21"/>
                      <w:szCs w:val="21"/>
                      <w:highlight w:val="none"/>
                      <w:lang w:val="en-US" w:eastAsia="zh-CN"/>
                    </w:rPr>
                    <w:t>50</w:t>
                  </w:r>
                </w:p>
              </w:tc>
            </w:tr>
            <w:tr w14:paraId="0E81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 w:type="pct"/>
                  <w:vMerge w:val="continue"/>
                  <w:tcBorders>
                    <w:tl2br w:val="nil"/>
                    <w:tr2bl w:val="nil"/>
                  </w:tcBorders>
                  <w:vAlign w:val="center"/>
                </w:tcPr>
                <w:p w14:paraId="16E0E316">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sz w:val="21"/>
                      <w:szCs w:val="21"/>
                      <w:highlight w:val="none"/>
                    </w:rPr>
                  </w:pPr>
                </w:p>
              </w:tc>
              <w:tc>
                <w:tcPr>
                  <w:tcW w:w="630" w:type="pct"/>
                  <w:vMerge w:val="continue"/>
                  <w:tcBorders>
                    <w:tl2br w:val="nil"/>
                    <w:tr2bl w:val="nil"/>
                  </w:tcBorders>
                  <w:vAlign w:val="center"/>
                </w:tcPr>
                <w:p w14:paraId="631BDEB7">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sz w:val="21"/>
                      <w:szCs w:val="21"/>
                      <w:highlight w:val="none"/>
                    </w:rPr>
                  </w:pPr>
                </w:p>
              </w:tc>
              <w:tc>
                <w:tcPr>
                  <w:tcW w:w="687" w:type="pct"/>
                  <w:vMerge w:val="continue"/>
                  <w:tcBorders>
                    <w:tl2br w:val="nil"/>
                    <w:tr2bl w:val="nil"/>
                  </w:tcBorders>
                  <w:vAlign w:val="center"/>
                </w:tcPr>
                <w:p w14:paraId="2AD99114">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sz w:val="21"/>
                      <w:szCs w:val="21"/>
                      <w:highlight w:val="none"/>
                    </w:rPr>
                  </w:pPr>
                </w:p>
              </w:tc>
              <w:tc>
                <w:tcPr>
                  <w:tcW w:w="722" w:type="pct"/>
                  <w:vMerge w:val="continue"/>
                  <w:tcBorders>
                    <w:tl2br w:val="nil"/>
                    <w:tr2bl w:val="nil"/>
                  </w:tcBorders>
                  <w:vAlign w:val="center"/>
                </w:tcPr>
                <w:p w14:paraId="6BD508E0">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sz w:val="21"/>
                      <w:szCs w:val="21"/>
                      <w:highlight w:val="none"/>
                    </w:rPr>
                  </w:pPr>
                </w:p>
              </w:tc>
              <w:tc>
                <w:tcPr>
                  <w:tcW w:w="478" w:type="pct"/>
                  <w:vMerge w:val="continue"/>
                  <w:tcBorders>
                    <w:tl2br w:val="nil"/>
                    <w:tr2bl w:val="nil"/>
                  </w:tcBorders>
                  <w:vAlign w:val="center"/>
                </w:tcPr>
                <w:p w14:paraId="6C5AEE5F">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sz w:val="21"/>
                      <w:szCs w:val="21"/>
                      <w:highlight w:val="none"/>
                    </w:rPr>
                  </w:pPr>
                </w:p>
              </w:tc>
              <w:tc>
                <w:tcPr>
                  <w:tcW w:w="487" w:type="pct"/>
                  <w:vMerge w:val="continue"/>
                  <w:tcBorders>
                    <w:tl2br w:val="nil"/>
                    <w:tr2bl w:val="nil"/>
                  </w:tcBorders>
                  <w:vAlign w:val="center"/>
                </w:tcPr>
                <w:p w14:paraId="6AE7200D">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sz w:val="21"/>
                      <w:szCs w:val="21"/>
                      <w:highlight w:val="none"/>
                    </w:rPr>
                  </w:pPr>
                </w:p>
              </w:tc>
              <w:tc>
                <w:tcPr>
                  <w:tcW w:w="413" w:type="pct"/>
                  <w:vMerge w:val="continue"/>
                  <w:tcBorders>
                    <w:tl2br w:val="nil"/>
                    <w:tr2bl w:val="nil"/>
                  </w:tcBorders>
                  <w:vAlign w:val="center"/>
                </w:tcPr>
                <w:p w14:paraId="13BF1F80">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sz w:val="21"/>
                      <w:szCs w:val="21"/>
                      <w:highlight w:val="none"/>
                    </w:rPr>
                  </w:pPr>
                </w:p>
              </w:tc>
              <w:tc>
                <w:tcPr>
                  <w:tcW w:w="499" w:type="pct"/>
                  <w:tcBorders>
                    <w:tl2br w:val="nil"/>
                    <w:tr2bl w:val="nil"/>
                  </w:tcBorders>
                  <w:vAlign w:val="center"/>
                </w:tcPr>
                <w:p w14:paraId="2F9C8151">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SS</w:t>
                  </w:r>
                </w:p>
              </w:tc>
              <w:tc>
                <w:tcPr>
                  <w:tcW w:w="538" w:type="pct"/>
                  <w:tcBorders>
                    <w:tl2br w:val="nil"/>
                    <w:tr2bl w:val="nil"/>
                  </w:tcBorders>
                  <w:vAlign w:val="center"/>
                </w:tcPr>
                <w:p w14:paraId="3627241D">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sz w:val="21"/>
                      <w:szCs w:val="21"/>
                      <w:highlight w:val="none"/>
                      <w:lang w:val="en-US" w:eastAsia="zh-CN"/>
                    </w:rPr>
                    <w:t>10</w:t>
                  </w:r>
                </w:p>
              </w:tc>
            </w:tr>
            <w:tr w14:paraId="6C7E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 w:type="pct"/>
                  <w:vMerge w:val="continue"/>
                  <w:tcBorders>
                    <w:tl2br w:val="nil"/>
                    <w:tr2bl w:val="nil"/>
                  </w:tcBorders>
                  <w:vAlign w:val="center"/>
                </w:tcPr>
                <w:p w14:paraId="765579D4">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630" w:type="pct"/>
                  <w:vMerge w:val="continue"/>
                  <w:tcBorders>
                    <w:tl2br w:val="nil"/>
                    <w:tr2bl w:val="nil"/>
                  </w:tcBorders>
                  <w:vAlign w:val="center"/>
                </w:tcPr>
                <w:p w14:paraId="199DE6CA">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687" w:type="pct"/>
                  <w:vMerge w:val="continue"/>
                  <w:tcBorders>
                    <w:tl2br w:val="nil"/>
                    <w:tr2bl w:val="nil"/>
                  </w:tcBorders>
                  <w:vAlign w:val="center"/>
                </w:tcPr>
                <w:p w14:paraId="44F24152">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722" w:type="pct"/>
                  <w:vMerge w:val="continue"/>
                  <w:tcBorders>
                    <w:tl2br w:val="nil"/>
                    <w:tr2bl w:val="nil"/>
                  </w:tcBorders>
                  <w:vAlign w:val="center"/>
                </w:tcPr>
                <w:p w14:paraId="46C4312A">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78" w:type="pct"/>
                  <w:vMerge w:val="continue"/>
                  <w:tcBorders>
                    <w:tl2br w:val="nil"/>
                    <w:tr2bl w:val="nil"/>
                  </w:tcBorders>
                  <w:vAlign w:val="center"/>
                </w:tcPr>
                <w:p w14:paraId="0BC16174">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87" w:type="pct"/>
                  <w:vMerge w:val="continue"/>
                  <w:tcBorders>
                    <w:tl2br w:val="nil"/>
                    <w:tr2bl w:val="nil"/>
                  </w:tcBorders>
                  <w:vAlign w:val="center"/>
                </w:tcPr>
                <w:p w14:paraId="3707DEFF">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13" w:type="pct"/>
                  <w:vMerge w:val="continue"/>
                  <w:tcBorders>
                    <w:tl2br w:val="nil"/>
                    <w:tr2bl w:val="nil"/>
                  </w:tcBorders>
                  <w:vAlign w:val="center"/>
                </w:tcPr>
                <w:p w14:paraId="22CF6575">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99" w:type="pct"/>
                  <w:tcBorders>
                    <w:tl2br w:val="nil"/>
                    <w:tr2bl w:val="nil"/>
                  </w:tcBorders>
                  <w:vAlign w:val="center"/>
                </w:tcPr>
                <w:p w14:paraId="6A3F3F40">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p>
              </w:tc>
              <w:tc>
                <w:tcPr>
                  <w:tcW w:w="538" w:type="pct"/>
                  <w:tcBorders>
                    <w:tl2br w:val="nil"/>
                    <w:tr2bl w:val="nil"/>
                  </w:tcBorders>
                  <w:vAlign w:val="center"/>
                </w:tcPr>
                <w:p w14:paraId="3F6FCFCD">
                  <w:pPr>
                    <w:keepNext w:val="0"/>
                    <w:keepLines w:val="0"/>
                    <w:pageBreakBefore w:val="0"/>
                    <w:kinsoku/>
                    <w:wordWrap/>
                    <w:overflowPunct/>
                    <w:bidi w:val="0"/>
                    <w:snapToGrid w:val="0"/>
                    <w:jc w:val="center"/>
                    <w:rPr>
                      <w:rFonts w:hint="eastAsia" w:ascii="Times New Roman" w:hAnsi="Times New Roman" w:eastAsia="仿宋" w:cs="Times New Roman"/>
                      <w:color w:val="auto"/>
                      <w:kern w:val="0"/>
                      <w:sz w:val="21"/>
                      <w:szCs w:val="21"/>
                      <w:highlight w:val="none"/>
                      <w:lang w:eastAsia="zh-CN"/>
                    </w:rPr>
                  </w:pPr>
                  <w:r>
                    <w:rPr>
                      <w:rFonts w:hint="eastAsia" w:eastAsia="仿宋" w:cs="Times New Roman"/>
                      <w:color w:val="auto"/>
                      <w:sz w:val="21"/>
                      <w:szCs w:val="21"/>
                      <w:highlight w:val="none"/>
                      <w:lang w:val="en-US" w:eastAsia="zh-CN"/>
                    </w:rPr>
                    <w:t>4</w:t>
                  </w:r>
                </w:p>
              </w:tc>
            </w:tr>
            <w:tr w14:paraId="3106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 w:type="pct"/>
                  <w:vMerge w:val="continue"/>
                  <w:tcBorders>
                    <w:tl2br w:val="nil"/>
                    <w:tr2bl w:val="nil"/>
                  </w:tcBorders>
                  <w:vAlign w:val="center"/>
                </w:tcPr>
                <w:p w14:paraId="2FAC81FF">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630" w:type="pct"/>
                  <w:vMerge w:val="continue"/>
                  <w:tcBorders>
                    <w:tl2br w:val="nil"/>
                    <w:tr2bl w:val="nil"/>
                  </w:tcBorders>
                  <w:vAlign w:val="center"/>
                </w:tcPr>
                <w:p w14:paraId="0EE0C0C0">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687" w:type="pct"/>
                  <w:vMerge w:val="continue"/>
                  <w:tcBorders>
                    <w:tl2br w:val="nil"/>
                    <w:tr2bl w:val="nil"/>
                  </w:tcBorders>
                  <w:vAlign w:val="center"/>
                </w:tcPr>
                <w:p w14:paraId="7C892AFA">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722" w:type="pct"/>
                  <w:vMerge w:val="continue"/>
                  <w:tcBorders>
                    <w:tl2br w:val="nil"/>
                    <w:tr2bl w:val="nil"/>
                  </w:tcBorders>
                  <w:vAlign w:val="center"/>
                </w:tcPr>
                <w:p w14:paraId="6D183ED7">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78" w:type="pct"/>
                  <w:vMerge w:val="continue"/>
                  <w:tcBorders>
                    <w:tl2br w:val="nil"/>
                    <w:tr2bl w:val="nil"/>
                  </w:tcBorders>
                  <w:vAlign w:val="center"/>
                </w:tcPr>
                <w:p w14:paraId="20B11D9F">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87" w:type="pct"/>
                  <w:vMerge w:val="continue"/>
                  <w:tcBorders>
                    <w:tl2br w:val="nil"/>
                    <w:tr2bl w:val="nil"/>
                  </w:tcBorders>
                  <w:vAlign w:val="center"/>
                </w:tcPr>
                <w:p w14:paraId="7418665C">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13" w:type="pct"/>
                  <w:vMerge w:val="continue"/>
                  <w:tcBorders>
                    <w:tl2br w:val="nil"/>
                    <w:tr2bl w:val="nil"/>
                  </w:tcBorders>
                  <w:vAlign w:val="center"/>
                </w:tcPr>
                <w:p w14:paraId="64DA87F1">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99" w:type="pct"/>
                  <w:tcBorders>
                    <w:tl2br w:val="nil"/>
                    <w:tr2bl w:val="nil"/>
                  </w:tcBorders>
                  <w:vAlign w:val="center"/>
                </w:tcPr>
                <w:p w14:paraId="5D31E944">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TN</w:t>
                  </w:r>
                </w:p>
              </w:tc>
              <w:tc>
                <w:tcPr>
                  <w:tcW w:w="538" w:type="pct"/>
                  <w:tcBorders>
                    <w:tl2br w:val="nil"/>
                    <w:tr2bl w:val="nil"/>
                  </w:tcBorders>
                  <w:vAlign w:val="center"/>
                </w:tcPr>
                <w:p w14:paraId="5346AD3F">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sz w:val="21"/>
                      <w:szCs w:val="21"/>
                      <w:highlight w:val="none"/>
                      <w:lang w:val="en-US" w:eastAsia="zh-CN"/>
                    </w:rPr>
                    <w:t>12</w:t>
                  </w:r>
                </w:p>
              </w:tc>
            </w:tr>
            <w:tr w14:paraId="1CCB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 w:type="pct"/>
                  <w:vMerge w:val="continue"/>
                  <w:tcBorders>
                    <w:tl2br w:val="nil"/>
                    <w:tr2bl w:val="nil"/>
                  </w:tcBorders>
                  <w:vAlign w:val="center"/>
                </w:tcPr>
                <w:p w14:paraId="241758AD">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630" w:type="pct"/>
                  <w:vMerge w:val="continue"/>
                  <w:tcBorders>
                    <w:tl2br w:val="nil"/>
                    <w:tr2bl w:val="nil"/>
                  </w:tcBorders>
                  <w:vAlign w:val="center"/>
                </w:tcPr>
                <w:p w14:paraId="043AC9C0">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687" w:type="pct"/>
                  <w:vMerge w:val="continue"/>
                  <w:tcBorders>
                    <w:tl2br w:val="nil"/>
                    <w:tr2bl w:val="nil"/>
                  </w:tcBorders>
                  <w:vAlign w:val="center"/>
                </w:tcPr>
                <w:p w14:paraId="37ED3CC2">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722" w:type="pct"/>
                  <w:vMerge w:val="continue"/>
                  <w:tcBorders>
                    <w:tl2br w:val="nil"/>
                    <w:tr2bl w:val="nil"/>
                  </w:tcBorders>
                  <w:vAlign w:val="center"/>
                </w:tcPr>
                <w:p w14:paraId="366B7B07">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78" w:type="pct"/>
                  <w:vMerge w:val="continue"/>
                  <w:tcBorders>
                    <w:tl2br w:val="nil"/>
                    <w:tr2bl w:val="nil"/>
                  </w:tcBorders>
                  <w:vAlign w:val="center"/>
                </w:tcPr>
                <w:p w14:paraId="28CC790E">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87" w:type="pct"/>
                  <w:vMerge w:val="continue"/>
                  <w:tcBorders>
                    <w:tl2br w:val="nil"/>
                    <w:tr2bl w:val="nil"/>
                  </w:tcBorders>
                  <w:vAlign w:val="center"/>
                </w:tcPr>
                <w:p w14:paraId="22FE32C0">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13" w:type="pct"/>
                  <w:vMerge w:val="continue"/>
                  <w:tcBorders>
                    <w:tl2br w:val="nil"/>
                    <w:tr2bl w:val="nil"/>
                  </w:tcBorders>
                  <w:vAlign w:val="center"/>
                </w:tcPr>
                <w:p w14:paraId="36E815D8">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99" w:type="pct"/>
                  <w:tcBorders>
                    <w:tl2br w:val="nil"/>
                    <w:tr2bl w:val="nil"/>
                  </w:tcBorders>
                  <w:vAlign w:val="center"/>
                </w:tcPr>
                <w:p w14:paraId="0D037B56">
                  <w:pPr>
                    <w:keepNext w:val="0"/>
                    <w:keepLines w:val="0"/>
                    <w:pageBreakBefore w:val="0"/>
                    <w:kinsoku/>
                    <w:wordWrap/>
                    <w:overflowPunct/>
                    <w:bidi w:val="0"/>
                    <w:snapToGrid w:val="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TP</w:t>
                  </w:r>
                </w:p>
              </w:tc>
              <w:tc>
                <w:tcPr>
                  <w:tcW w:w="538" w:type="pct"/>
                  <w:tcBorders>
                    <w:tl2br w:val="nil"/>
                    <w:tr2bl w:val="nil"/>
                  </w:tcBorders>
                  <w:vAlign w:val="center"/>
                </w:tcPr>
                <w:p w14:paraId="3F062427">
                  <w:pPr>
                    <w:keepNext w:val="0"/>
                    <w:keepLines w:val="0"/>
                    <w:pageBreakBefore w:val="0"/>
                    <w:kinsoku/>
                    <w:wordWrap/>
                    <w:overflowPunct/>
                    <w:bidi w:val="0"/>
                    <w:snapToGrid w:val="0"/>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0.58</w:t>
                  </w:r>
                </w:p>
              </w:tc>
            </w:tr>
            <w:tr w14:paraId="0D7B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 w:type="pct"/>
                  <w:vMerge w:val="continue"/>
                  <w:tcBorders>
                    <w:tl2br w:val="nil"/>
                    <w:tr2bl w:val="nil"/>
                  </w:tcBorders>
                  <w:vAlign w:val="center"/>
                </w:tcPr>
                <w:p w14:paraId="249CC07C">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630" w:type="pct"/>
                  <w:vMerge w:val="continue"/>
                  <w:tcBorders>
                    <w:tl2br w:val="nil"/>
                    <w:tr2bl w:val="nil"/>
                  </w:tcBorders>
                  <w:vAlign w:val="center"/>
                </w:tcPr>
                <w:p w14:paraId="5C8BCA80">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687" w:type="pct"/>
                  <w:vMerge w:val="continue"/>
                  <w:tcBorders>
                    <w:tl2br w:val="nil"/>
                    <w:tr2bl w:val="nil"/>
                  </w:tcBorders>
                  <w:vAlign w:val="center"/>
                </w:tcPr>
                <w:p w14:paraId="684DF668">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722" w:type="pct"/>
                  <w:vMerge w:val="continue"/>
                  <w:tcBorders>
                    <w:tl2br w:val="nil"/>
                    <w:tr2bl w:val="nil"/>
                  </w:tcBorders>
                  <w:vAlign w:val="center"/>
                </w:tcPr>
                <w:p w14:paraId="7F1CDC88">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78" w:type="pct"/>
                  <w:vMerge w:val="continue"/>
                  <w:tcBorders>
                    <w:tl2br w:val="nil"/>
                    <w:tr2bl w:val="nil"/>
                  </w:tcBorders>
                  <w:vAlign w:val="center"/>
                </w:tcPr>
                <w:p w14:paraId="31F80FE2">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87" w:type="pct"/>
                  <w:vMerge w:val="continue"/>
                  <w:tcBorders>
                    <w:tl2br w:val="nil"/>
                    <w:tr2bl w:val="nil"/>
                  </w:tcBorders>
                  <w:vAlign w:val="center"/>
                </w:tcPr>
                <w:p w14:paraId="59C6BEA9">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13" w:type="pct"/>
                  <w:vMerge w:val="continue"/>
                  <w:tcBorders>
                    <w:tl2br w:val="nil"/>
                    <w:tr2bl w:val="nil"/>
                  </w:tcBorders>
                  <w:vAlign w:val="center"/>
                </w:tcPr>
                <w:p w14:paraId="41646FDB">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99" w:type="pct"/>
                  <w:tcBorders>
                    <w:tl2br w:val="nil"/>
                    <w:tr2bl w:val="nil"/>
                  </w:tcBorders>
                  <w:vAlign w:val="center"/>
                </w:tcPr>
                <w:p w14:paraId="45EC650F">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动植物油</w:t>
                  </w:r>
                </w:p>
              </w:tc>
              <w:tc>
                <w:tcPr>
                  <w:tcW w:w="538" w:type="pct"/>
                  <w:tcBorders>
                    <w:tl2br w:val="nil"/>
                    <w:tr2bl w:val="nil"/>
                  </w:tcBorders>
                  <w:vAlign w:val="center"/>
                </w:tcPr>
                <w:p w14:paraId="36EF3DD3">
                  <w:pPr>
                    <w:keepNext w:val="0"/>
                    <w:keepLines w:val="0"/>
                    <w:pageBreakBefore w:val="0"/>
                    <w:kinsoku/>
                    <w:wordWrap/>
                    <w:overflowPunct/>
                    <w:bidi w:val="0"/>
                    <w:snapToGrid w:val="0"/>
                    <w:jc w:val="center"/>
                    <w:rPr>
                      <w:rFonts w:hint="eastAsia" w:ascii="Times New Roman" w:hAnsi="Times New Roman" w:eastAsia="仿宋" w:cs="Times New Roman"/>
                      <w:color w:val="auto"/>
                      <w:kern w:val="0"/>
                      <w:sz w:val="21"/>
                      <w:szCs w:val="21"/>
                      <w:highlight w:val="none"/>
                      <w:lang w:eastAsia="zh-CN"/>
                    </w:rPr>
                  </w:pPr>
                  <w:r>
                    <w:rPr>
                      <w:rFonts w:hint="eastAsia" w:eastAsia="仿宋" w:cs="Times New Roman"/>
                      <w:color w:val="auto"/>
                      <w:kern w:val="0"/>
                      <w:sz w:val="21"/>
                      <w:szCs w:val="21"/>
                      <w:highlight w:val="none"/>
                      <w:lang w:val="en-US" w:eastAsia="zh-CN"/>
                    </w:rPr>
                    <w:t>1</w:t>
                  </w:r>
                </w:p>
              </w:tc>
            </w:tr>
            <w:tr w14:paraId="7C42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 w:type="pct"/>
                  <w:vMerge w:val="continue"/>
                  <w:tcBorders>
                    <w:tl2br w:val="nil"/>
                    <w:tr2bl w:val="nil"/>
                  </w:tcBorders>
                  <w:vAlign w:val="center"/>
                </w:tcPr>
                <w:p w14:paraId="7668C153">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630" w:type="pct"/>
                  <w:vMerge w:val="continue"/>
                  <w:tcBorders>
                    <w:tl2br w:val="nil"/>
                    <w:tr2bl w:val="nil"/>
                  </w:tcBorders>
                  <w:vAlign w:val="center"/>
                </w:tcPr>
                <w:p w14:paraId="0734B189">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687" w:type="pct"/>
                  <w:vMerge w:val="continue"/>
                  <w:tcBorders>
                    <w:tl2br w:val="nil"/>
                    <w:tr2bl w:val="nil"/>
                  </w:tcBorders>
                  <w:vAlign w:val="center"/>
                </w:tcPr>
                <w:p w14:paraId="787E7224">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722" w:type="pct"/>
                  <w:vMerge w:val="continue"/>
                  <w:tcBorders>
                    <w:tl2br w:val="nil"/>
                    <w:tr2bl w:val="nil"/>
                  </w:tcBorders>
                  <w:vAlign w:val="center"/>
                </w:tcPr>
                <w:p w14:paraId="47C25E91">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78" w:type="pct"/>
                  <w:vMerge w:val="continue"/>
                  <w:tcBorders>
                    <w:tl2br w:val="nil"/>
                    <w:tr2bl w:val="nil"/>
                  </w:tcBorders>
                  <w:vAlign w:val="center"/>
                </w:tcPr>
                <w:p w14:paraId="0E65AAE8">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87" w:type="pct"/>
                  <w:vMerge w:val="continue"/>
                  <w:tcBorders>
                    <w:tl2br w:val="nil"/>
                    <w:tr2bl w:val="nil"/>
                  </w:tcBorders>
                  <w:vAlign w:val="center"/>
                </w:tcPr>
                <w:p w14:paraId="34DF1F8E">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13" w:type="pct"/>
                  <w:vMerge w:val="continue"/>
                  <w:tcBorders>
                    <w:tl2br w:val="nil"/>
                    <w:tr2bl w:val="nil"/>
                  </w:tcBorders>
                  <w:vAlign w:val="center"/>
                </w:tcPr>
                <w:p w14:paraId="0BB4D7E0">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99" w:type="pct"/>
                  <w:tcBorders>
                    <w:tl2br w:val="nil"/>
                    <w:tr2bl w:val="nil"/>
                  </w:tcBorders>
                  <w:vAlign w:val="center"/>
                </w:tcPr>
                <w:p w14:paraId="412F10AE">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粪大肠菌群数</w:t>
                  </w:r>
                </w:p>
              </w:tc>
              <w:tc>
                <w:tcPr>
                  <w:tcW w:w="538" w:type="pct"/>
                  <w:tcBorders>
                    <w:tl2br w:val="nil"/>
                    <w:tr2bl w:val="nil"/>
                  </w:tcBorders>
                  <w:vAlign w:val="center"/>
                </w:tcPr>
                <w:p w14:paraId="4FEDA0D4">
                  <w:pPr>
                    <w:keepNext w:val="0"/>
                    <w:keepLines w:val="0"/>
                    <w:pageBreakBefore w:val="0"/>
                    <w:kinsoku/>
                    <w:wordWrap/>
                    <w:overflowPunct/>
                    <w:bidi w:val="0"/>
                    <w:snapToGrid w:val="0"/>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1000（个/L）</w:t>
                  </w:r>
                </w:p>
              </w:tc>
            </w:tr>
            <w:tr w14:paraId="31A5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3" w:type="pct"/>
                  <w:vMerge w:val="continue"/>
                  <w:tcBorders>
                    <w:tl2br w:val="nil"/>
                    <w:tr2bl w:val="nil"/>
                  </w:tcBorders>
                  <w:vAlign w:val="center"/>
                </w:tcPr>
                <w:p w14:paraId="39468BD9">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630" w:type="pct"/>
                  <w:vMerge w:val="continue"/>
                  <w:tcBorders>
                    <w:tl2br w:val="nil"/>
                    <w:tr2bl w:val="nil"/>
                  </w:tcBorders>
                  <w:vAlign w:val="center"/>
                </w:tcPr>
                <w:p w14:paraId="57D84C4E">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687" w:type="pct"/>
                  <w:vMerge w:val="continue"/>
                  <w:tcBorders>
                    <w:tl2br w:val="nil"/>
                    <w:tr2bl w:val="nil"/>
                  </w:tcBorders>
                  <w:vAlign w:val="center"/>
                </w:tcPr>
                <w:p w14:paraId="6497253A">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722" w:type="pct"/>
                  <w:vMerge w:val="continue"/>
                  <w:tcBorders>
                    <w:tl2br w:val="nil"/>
                    <w:tr2bl w:val="nil"/>
                  </w:tcBorders>
                  <w:vAlign w:val="center"/>
                </w:tcPr>
                <w:p w14:paraId="7DC1AAF5">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78" w:type="pct"/>
                  <w:vMerge w:val="continue"/>
                  <w:tcBorders>
                    <w:tl2br w:val="nil"/>
                    <w:tr2bl w:val="nil"/>
                  </w:tcBorders>
                  <w:vAlign w:val="center"/>
                </w:tcPr>
                <w:p w14:paraId="40189956">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87" w:type="pct"/>
                  <w:vMerge w:val="continue"/>
                  <w:tcBorders>
                    <w:tl2br w:val="nil"/>
                    <w:tr2bl w:val="nil"/>
                  </w:tcBorders>
                  <w:vAlign w:val="center"/>
                </w:tcPr>
                <w:p w14:paraId="20DF5785">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13" w:type="pct"/>
                  <w:vMerge w:val="continue"/>
                  <w:tcBorders>
                    <w:tl2br w:val="nil"/>
                    <w:tr2bl w:val="nil"/>
                  </w:tcBorders>
                  <w:vAlign w:val="center"/>
                </w:tcPr>
                <w:p w14:paraId="23EEF0DE">
                  <w:pPr>
                    <w:keepNext w:val="0"/>
                    <w:keepLines w:val="0"/>
                    <w:pageBreakBefore w:val="0"/>
                    <w:kinsoku/>
                    <w:wordWrap/>
                    <w:overflowPunct/>
                    <w:autoSpaceDE w:val="0"/>
                    <w:autoSpaceDN w:val="0"/>
                    <w:bidi w:val="0"/>
                    <w:adjustRightInd w:val="0"/>
                    <w:snapToGrid w:val="0"/>
                    <w:jc w:val="center"/>
                    <w:rPr>
                      <w:rFonts w:hint="default" w:ascii="Times New Roman" w:hAnsi="Times New Roman" w:eastAsia="仿宋" w:cs="Times New Roman"/>
                      <w:color w:val="auto"/>
                      <w:kern w:val="0"/>
                      <w:sz w:val="21"/>
                      <w:szCs w:val="21"/>
                      <w:highlight w:val="none"/>
                    </w:rPr>
                  </w:pPr>
                </w:p>
              </w:tc>
              <w:tc>
                <w:tcPr>
                  <w:tcW w:w="499" w:type="pct"/>
                  <w:tcBorders>
                    <w:tl2br w:val="nil"/>
                    <w:tr2bl w:val="nil"/>
                  </w:tcBorders>
                  <w:vAlign w:val="center"/>
                </w:tcPr>
                <w:p w14:paraId="3FD64B5A">
                  <w:pPr>
                    <w:keepNext w:val="0"/>
                    <w:keepLines w:val="0"/>
                    <w:pageBreakBefore w:val="0"/>
                    <w:kinsoku/>
                    <w:wordWrap/>
                    <w:overflowPunct/>
                    <w:bidi w:val="0"/>
                    <w:snapToGrid w:val="0"/>
                    <w:jc w:val="center"/>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总余氯</w:t>
                  </w:r>
                </w:p>
              </w:tc>
              <w:tc>
                <w:tcPr>
                  <w:tcW w:w="538" w:type="pct"/>
                  <w:tcBorders>
                    <w:tl2br w:val="nil"/>
                    <w:tr2bl w:val="nil"/>
                  </w:tcBorders>
                  <w:vAlign w:val="center"/>
                </w:tcPr>
                <w:p w14:paraId="7DABBB89">
                  <w:pPr>
                    <w:keepNext w:val="0"/>
                    <w:keepLines w:val="0"/>
                    <w:pageBreakBefore w:val="0"/>
                    <w:kinsoku/>
                    <w:wordWrap/>
                    <w:overflowPunct/>
                    <w:bidi w:val="0"/>
                    <w:snapToGrid w:val="0"/>
                    <w:jc w:val="center"/>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0.5</w:t>
                  </w:r>
                </w:p>
              </w:tc>
            </w:tr>
          </w:tbl>
          <w:p w14:paraId="6090D65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t>（五）监测要求</w:t>
            </w:r>
          </w:p>
          <w:p w14:paraId="19EBD6A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eastAsia" w:ascii="Times New Roman" w:hAnsi="Times New Roman" w:eastAsia="仿宋" w:cs="Times New Roman"/>
                <w:color w:val="auto"/>
                <w:kern w:val="0"/>
                <w:sz w:val="24"/>
                <w:szCs w:val="24"/>
                <w:highlight w:val="none"/>
                <w:lang w:val="en-US" w:eastAsia="zh-CN"/>
              </w:rPr>
              <w:t>扩建后全院共计1</w:t>
            </w:r>
            <w:r>
              <w:rPr>
                <w:rFonts w:hint="eastAsia" w:eastAsia="仿宋" w:cs="Times New Roman"/>
                <w:color w:val="auto"/>
                <w:kern w:val="0"/>
                <w:sz w:val="24"/>
                <w:szCs w:val="24"/>
                <w:highlight w:val="none"/>
                <w:lang w:val="en-US" w:eastAsia="zh-CN"/>
              </w:rPr>
              <w:t>550</w:t>
            </w:r>
            <w:r>
              <w:rPr>
                <w:rFonts w:hint="eastAsia" w:ascii="Times New Roman" w:hAnsi="Times New Roman" w:eastAsia="仿宋" w:cs="Times New Roman"/>
                <w:color w:val="auto"/>
                <w:kern w:val="0"/>
                <w:sz w:val="24"/>
                <w:szCs w:val="24"/>
                <w:highlight w:val="none"/>
                <w:lang w:val="en-US" w:eastAsia="zh-CN"/>
              </w:rPr>
              <w:t>张床位，根据《固定污染源排污许可分类管理名录》（2019年版），全院属于四十九、卫生84—107、医院841中床位500张及以上的（不含专科医院8415中的精神病、康复和运动康复医院以及疗养院8416），为重点管理。</w:t>
            </w:r>
          </w:p>
          <w:p w14:paraId="2470823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color w:val="auto"/>
                <w:kern w:val="0"/>
                <w:sz w:val="24"/>
                <w:szCs w:val="24"/>
                <w:highlight w:val="none"/>
              </w:rPr>
              <w:t>根据</w:t>
            </w:r>
            <w:r>
              <w:rPr>
                <w:rFonts w:hint="default" w:ascii="Times New Roman" w:hAnsi="Times New Roman" w:eastAsia="仿宋" w:cs="Times New Roman"/>
                <w:color w:val="auto"/>
                <w:sz w:val="24"/>
                <w:szCs w:val="24"/>
                <w:highlight w:val="none"/>
              </w:rPr>
              <w:t>《排污单位自行监测技术指南 总则》（HJ819-2017）</w:t>
            </w:r>
            <w:r>
              <w:rPr>
                <w:rFonts w:hint="eastAsia" w:eastAsia="仿宋" w:cs="Times New Roman"/>
                <w:color w:val="auto"/>
                <w:sz w:val="24"/>
                <w:szCs w:val="24"/>
                <w:highlight w:val="none"/>
                <w:lang w:eastAsia="zh-CN"/>
              </w:rPr>
              <w:t>、</w:t>
            </w:r>
            <w:r>
              <w:rPr>
                <w:rFonts w:hint="default" w:ascii="Times New Roman" w:hAnsi="Times New Roman" w:eastAsia="仿宋" w:cs="Times New Roman"/>
                <w:color w:val="auto"/>
                <w:kern w:val="0"/>
                <w:sz w:val="24"/>
                <w:szCs w:val="24"/>
                <w:highlight w:val="none"/>
              </w:rPr>
              <w:t>《排污许可证申请与核发技术规范 医疗机构》（HJ 1105-2020），需</w:t>
            </w:r>
            <w:r>
              <w:rPr>
                <w:rFonts w:hint="eastAsia" w:eastAsia="仿宋" w:cs="Times New Roman"/>
                <w:color w:val="auto"/>
                <w:kern w:val="0"/>
                <w:sz w:val="24"/>
                <w:szCs w:val="24"/>
                <w:highlight w:val="none"/>
                <w:lang w:val="en-US" w:eastAsia="zh-CN"/>
              </w:rPr>
              <w:t>在排污单位污水总排口设置监测点位，具体监测计划如下表</w:t>
            </w:r>
            <w:r>
              <w:rPr>
                <w:rFonts w:hint="default" w:ascii="Times New Roman" w:hAnsi="Times New Roman" w:eastAsia="仿宋" w:cs="Times New Roman"/>
                <w:color w:val="auto"/>
                <w:kern w:val="0"/>
                <w:sz w:val="24"/>
                <w:szCs w:val="24"/>
                <w:highlight w:val="none"/>
              </w:rPr>
              <w:t>。</w:t>
            </w:r>
          </w:p>
          <w:p w14:paraId="1BFF4D34">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表4-</w:t>
            </w:r>
            <w:r>
              <w:rPr>
                <w:rFonts w:hint="eastAsia" w:ascii="Times New Roman" w:hAnsi="Times New Roman" w:eastAsia="仿宋" w:cs="Times New Roman"/>
                <w:b/>
                <w:bCs/>
                <w:color w:val="auto"/>
                <w:kern w:val="2"/>
                <w:sz w:val="22"/>
                <w:szCs w:val="22"/>
                <w:highlight w:val="none"/>
                <w:lang w:val="en-US" w:eastAsia="zh-CN" w:bidi="ar-SA"/>
              </w:rPr>
              <w:t>12</w:t>
            </w:r>
            <w:r>
              <w:rPr>
                <w:rFonts w:hint="default" w:ascii="Times New Roman" w:hAnsi="Times New Roman" w:eastAsia="仿宋" w:cs="Times New Roman"/>
                <w:b/>
                <w:bCs/>
                <w:color w:val="auto"/>
                <w:kern w:val="2"/>
                <w:sz w:val="22"/>
                <w:szCs w:val="22"/>
                <w:highlight w:val="none"/>
                <w:lang w:val="en-US" w:eastAsia="zh-CN" w:bidi="ar-SA"/>
              </w:rPr>
              <w:t xml:space="preserve"> 环境监测计划</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3"/>
              <w:gridCol w:w="1191"/>
              <w:gridCol w:w="1651"/>
              <w:gridCol w:w="1323"/>
              <w:gridCol w:w="1965"/>
              <w:gridCol w:w="1122"/>
            </w:tblGrid>
            <w:tr w14:paraId="20A7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39" w:type="pct"/>
                  <w:tcBorders>
                    <w:tl2br w:val="nil"/>
                    <w:tr2bl w:val="nil"/>
                  </w:tcBorders>
                  <w:vAlign w:val="center"/>
                </w:tcPr>
                <w:p w14:paraId="5BD7527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类别</w:t>
                  </w:r>
                </w:p>
              </w:tc>
              <w:tc>
                <w:tcPr>
                  <w:tcW w:w="716" w:type="pct"/>
                  <w:tcBorders>
                    <w:tl2br w:val="nil"/>
                    <w:tr2bl w:val="nil"/>
                  </w:tcBorders>
                  <w:vAlign w:val="center"/>
                </w:tcPr>
                <w:p w14:paraId="63684E8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监测位置</w:t>
                  </w:r>
                </w:p>
              </w:tc>
              <w:tc>
                <w:tcPr>
                  <w:tcW w:w="992" w:type="pct"/>
                  <w:tcBorders>
                    <w:tl2br w:val="nil"/>
                    <w:tr2bl w:val="nil"/>
                  </w:tcBorders>
                  <w:vAlign w:val="center"/>
                </w:tcPr>
                <w:p w14:paraId="655BBE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监测指标</w:t>
                  </w:r>
                </w:p>
              </w:tc>
              <w:tc>
                <w:tcPr>
                  <w:tcW w:w="795" w:type="pct"/>
                  <w:tcBorders>
                    <w:tl2br w:val="nil"/>
                    <w:tr2bl w:val="nil"/>
                  </w:tcBorders>
                  <w:vAlign w:val="center"/>
                </w:tcPr>
                <w:p w14:paraId="2566F3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default" w:ascii="Times New Roman" w:hAnsi="Times New Roman" w:eastAsia="仿宋" w:cs="Times New Roman"/>
                      <w:b/>
                      <w:bCs/>
                      <w:color w:val="auto"/>
                      <w:kern w:val="0"/>
                      <w:sz w:val="21"/>
                      <w:szCs w:val="21"/>
                      <w:highlight w:val="none"/>
                    </w:rPr>
                    <w:t>监测频</w:t>
                  </w:r>
                  <w:r>
                    <w:rPr>
                      <w:rFonts w:hint="eastAsia" w:eastAsia="仿宋" w:cs="Times New Roman"/>
                      <w:b/>
                      <w:bCs/>
                      <w:color w:val="auto"/>
                      <w:kern w:val="0"/>
                      <w:sz w:val="21"/>
                      <w:szCs w:val="21"/>
                      <w:highlight w:val="none"/>
                      <w:lang w:val="en-US" w:eastAsia="zh-CN"/>
                    </w:rPr>
                    <w:t>次</w:t>
                  </w:r>
                </w:p>
              </w:tc>
              <w:tc>
                <w:tcPr>
                  <w:tcW w:w="1181" w:type="pct"/>
                  <w:tcBorders>
                    <w:tl2br w:val="nil"/>
                    <w:tr2bl w:val="nil"/>
                  </w:tcBorders>
                  <w:vAlign w:val="center"/>
                </w:tcPr>
                <w:p w14:paraId="744D8F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排放标准</w:t>
                  </w:r>
                </w:p>
              </w:tc>
              <w:tc>
                <w:tcPr>
                  <w:tcW w:w="674" w:type="pct"/>
                  <w:tcBorders>
                    <w:tl2br w:val="nil"/>
                    <w:tr2bl w:val="nil"/>
                  </w:tcBorders>
                  <w:vAlign w:val="center"/>
                </w:tcPr>
                <w:p w14:paraId="719908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监测单位</w:t>
                  </w:r>
                </w:p>
              </w:tc>
            </w:tr>
            <w:tr w14:paraId="3CBB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39" w:type="pct"/>
                  <w:vMerge w:val="restart"/>
                  <w:tcBorders>
                    <w:tl2br w:val="nil"/>
                    <w:tr2bl w:val="nil"/>
                  </w:tcBorders>
                  <w:vAlign w:val="center"/>
                </w:tcPr>
                <w:p w14:paraId="1603FF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废水</w:t>
                  </w:r>
                </w:p>
              </w:tc>
              <w:tc>
                <w:tcPr>
                  <w:tcW w:w="716" w:type="pct"/>
                  <w:vMerge w:val="restart"/>
                  <w:tcBorders>
                    <w:tl2br w:val="nil"/>
                    <w:tr2bl w:val="nil"/>
                  </w:tcBorders>
                  <w:vAlign w:val="center"/>
                </w:tcPr>
                <w:p w14:paraId="3AFD6D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污水接管口</w:t>
                  </w:r>
                </w:p>
              </w:tc>
              <w:tc>
                <w:tcPr>
                  <w:tcW w:w="992" w:type="pct"/>
                  <w:tcBorders>
                    <w:tl2br w:val="nil"/>
                    <w:tr2bl w:val="nil"/>
                  </w:tcBorders>
                  <w:vAlign w:val="center"/>
                </w:tcPr>
                <w:p w14:paraId="5BF5B4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流量</w:t>
                  </w:r>
                </w:p>
              </w:tc>
              <w:tc>
                <w:tcPr>
                  <w:tcW w:w="795" w:type="pct"/>
                  <w:tcBorders>
                    <w:tl2br w:val="nil"/>
                    <w:tr2bl w:val="nil"/>
                  </w:tcBorders>
                  <w:vAlign w:val="center"/>
                </w:tcPr>
                <w:p w14:paraId="141508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eastAsia="zh-CN"/>
                    </w:rPr>
                  </w:pPr>
                  <w:r>
                    <w:rPr>
                      <w:rFonts w:hint="eastAsia" w:eastAsia="仿宋" w:cs="Times New Roman"/>
                      <w:color w:val="auto"/>
                      <w:kern w:val="0"/>
                      <w:sz w:val="21"/>
                      <w:szCs w:val="21"/>
                      <w:highlight w:val="none"/>
                      <w:lang w:val="en-US" w:eastAsia="zh-CN"/>
                    </w:rPr>
                    <w:t>自动监测</w:t>
                  </w:r>
                </w:p>
              </w:tc>
              <w:tc>
                <w:tcPr>
                  <w:tcW w:w="1181" w:type="pct"/>
                  <w:vMerge w:val="restart"/>
                  <w:tcBorders>
                    <w:tl2br w:val="nil"/>
                    <w:tr2bl w:val="nil"/>
                  </w:tcBorders>
                  <w:vAlign w:val="center"/>
                </w:tcPr>
                <w:p w14:paraId="48E779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《医疗机构水污染物排放标准》（GB18466-2005）表2</w:t>
                  </w:r>
                </w:p>
              </w:tc>
              <w:tc>
                <w:tcPr>
                  <w:tcW w:w="674" w:type="pct"/>
                  <w:vMerge w:val="restart"/>
                  <w:tcBorders>
                    <w:tl2br w:val="nil"/>
                    <w:tr2bl w:val="nil"/>
                  </w:tcBorders>
                  <w:vAlign w:val="center"/>
                </w:tcPr>
                <w:p w14:paraId="3C0498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有资质的环境监测机构</w:t>
                  </w:r>
                </w:p>
              </w:tc>
            </w:tr>
            <w:tr w14:paraId="3FB4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39" w:type="pct"/>
                  <w:vMerge w:val="continue"/>
                  <w:tcBorders>
                    <w:tl2br w:val="nil"/>
                    <w:tr2bl w:val="nil"/>
                  </w:tcBorders>
                  <w:vAlign w:val="center"/>
                </w:tcPr>
                <w:p w14:paraId="38B4B5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6" w:type="pct"/>
                  <w:vMerge w:val="continue"/>
                  <w:tcBorders>
                    <w:tl2br w:val="nil"/>
                    <w:tr2bl w:val="nil"/>
                  </w:tcBorders>
                  <w:vAlign w:val="center"/>
                </w:tcPr>
                <w:p w14:paraId="1A99A5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992" w:type="pct"/>
                  <w:tcBorders>
                    <w:tl2br w:val="nil"/>
                    <w:tr2bl w:val="nil"/>
                  </w:tcBorders>
                  <w:vAlign w:val="center"/>
                </w:tcPr>
                <w:p w14:paraId="2BE2CA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pH值</w:t>
                  </w:r>
                </w:p>
              </w:tc>
              <w:tc>
                <w:tcPr>
                  <w:tcW w:w="795" w:type="pct"/>
                  <w:tcBorders>
                    <w:tl2br w:val="nil"/>
                    <w:tr2bl w:val="nil"/>
                  </w:tcBorders>
                  <w:vAlign w:val="center"/>
                </w:tcPr>
                <w:p w14:paraId="55387FD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12小时</w:t>
                  </w:r>
                </w:p>
              </w:tc>
              <w:tc>
                <w:tcPr>
                  <w:tcW w:w="1181" w:type="pct"/>
                  <w:vMerge w:val="continue"/>
                  <w:tcBorders>
                    <w:tl2br w:val="nil"/>
                    <w:tr2bl w:val="nil"/>
                  </w:tcBorders>
                  <w:vAlign w:val="center"/>
                </w:tcPr>
                <w:p w14:paraId="4220FE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p>
              </w:tc>
              <w:tc>
                <w:tcPr>
                  <w:tcW w:w="674" w:type="pct"/>
                  <w:vMerge w:val="continue"/>
                  <w:tcBorders>
                    <w:tl2br w:val="nil"/>
                    <w:tr2bl w:val="nil"/>
                  </w:tcBorders>
                  <w:vAlign w:val="center"/>
                </w:tcPr>
                <w:p w14:paraId="548D80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3E5D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39" w:type="pct"/>
                  <w:vMerge w:val="continue"/>
                  <w:tcBorders>
                    <w:tl2br w:val="nil"/>
                    <w:tr2bl w:val="nil"/>
                  </w:tcBorders>
                  <w:vAlign w:val="center"/>
                </w:tcPr>
                <w:p w14:paraId="6AA76FC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6" w:type="pct"/>
                  <w:vMerge w:val="continue"/>
                  <w:tcBorders>
                    <w:tl2br w:val="nil"/>
                    <w:tr2bl w:val="nil"/>
                  </w:tcBorders>
                  <w:vAlign w:val="center"/>
                </w:tcPr>
                <w:p w14:paraId="43228BD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992" w:type="pct"/>
                  <w:tcBorders>
                    <w:tl2br w:val="nil"/>
                    <w:tr2bl w:val="nil"/>
                  </w:tcBorders>
                  <w:vAlign w:val="center"/>
                </w:tcPr>
                <w:p w14:paraId="6008E7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COD</w:t>
                  </w:r>
                  <w:r>
                    <w:rPr>
                      <w:rFonts w:hint="default" w:ascii="Times New Roman" w:hAnsi="Times New Roman" w:eastAsia="仿宋" w:cs="Times New Roman"/>
                      <w:color w:val="auto"/>
                      <w:kern w:val="0"/>
                      <w:sz w:val="21"/>
                      <w:szCs w:val="21"/>
                      <w:highlight w:val="none"/>
                      <w:vertAlign w:val="subscript"/>
                    </w:rPr>
                    <w:t>Cr</w:t>
                  </w:r>
                  <w:r>
                    <w:rPr>
                      <w:rFonts w:hint="default" w:ascii="Times New Roman" w:hAnsi="Times New Roman" w:eastAsia="仿宋" w:cs="Times New Roman"/>
                      <w:color w:val="auto"/>
                      <w:kern w:val="0"/>
                      <w:sz w:val="21"/>
                      <w:szCs w:val="21"/>
                      <w:highlight w:val="none"/>
                    </w:rPr>
                    <w:t>、SS</w:t>
                  </w:r>
                </w:p>
              </w:tc>
              <w:tc>
                <w:tcPr>
                  <w:tcW w:w="795" w:type="pct"/>
                  <w:tcBorders>
                    <w:tl2br w:val="nil"/>
                    <w:tr2bl w:val="nil"/>
                  </w:tcBorders>
                  <w:vAlign w:val="center"/>
                </w:tcPr>
                <w:p w14:paraId="6CB47B3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周</w:t>
                  </w:r>
                </w:p>
              </w:tc>
              <w:tc>
                <w:tcPr>
                  <w:tcW w:w="1181" w:type="pct"/>
                  <w:vMerge w:val="continue"/>
                  <w:tcBorders>
                    <w:tl2br w:val="nil"/>
                    <w:tr2bl w:val="nil"/>
                  </w:tcBorders>
                  <w:vAlign w:val="center"/>
                </w:tcPr>
                <w:p w14:paraId="6107D5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p>
              </w:tc>
              <w:tc>
                <w:tcPr>
                  <w:tcW w:w="674" w:type="pct"/>
                  <w:vMerge w:val="continue"/>
                  <w:tcBorders>
                    <w:tl2br w:val="nil"/>
                    <w:tr2bl w:val="nil"/>
                  </w:tcBorders>
                  <w:vAlign w:val="center"/>
                </w:tcPr>
                <w:p w14:paraId="1DC8D9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7959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39" w:type="pct"/>
                  <w:vMerge w:val="continue"/>
                  <w:tcBorders>
                    <w:tl2br w:val="nil"/>
                    <w:tr2bl w:val="nil"/>
                  </w:tcBorders>
                  <w:vAlign w:val="center"/>
                </w:tcPr>
                <w:p w14:paraId="3E70F57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6" w:type="pct"/>
                  <w:vMerge w:val="continue"/>
                  <w:tcBorders>
                    <w:tl2br w:val="nil"/>
                    <w:tr2bl w:val="nil"/>
                  </w:tcBorders>
                  <w:vAlign w:val="center"/>
                </w:tcPr>
                <w:p w14:paraId="1C1EA2A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992" w:type="pct"/>
                  <w:tcBorders>
                    <w:tl2br w:val="nil"/>
                    <w:tr2bl w:val="nil"/>
                  </w:tcBorders>
                  <w:vAlign w:val="center"/>
                </w:tcPr>
                <w:p w14:paraId="6C28CC8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粪大肠杆菌</w:t>
                  </w:r>
                </w:p>
              </w:tc>
              <w:tc>
                <w:tcPr>
                  <w:tcW w:w="795" w:type="pct"/>
                  <w:tcBorders>
                    <w:tl2br w:val="nil"/>
                    <w:tr2bl w:val="nil"/>
                  </w:tcBorders>
                  <w:vAlign w:val="center"/>
                </w:tcPr>
                <w:p w14:paraId="1D40EC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月</w:t>
                  </w:r>
                </w:p>
              </w:tc>
              <w:tc>
                <w:tcPr>
                  <w:tcW w:w="1181" w:type="pct"/>
                  <w:vMerge w:val="continue"/>
                  <w:tcBorders>
                    <w:tl2br w:val="nil"/>
                    <w:tr2bl w:val="nil"/>
                  </w:tcBorders>
                  <w:vAlign w:val="center"/>
                </w:tcPr>
                <w:p w14:paraId="61078D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p>
              </w:tc>
              <w:tc>
                <w:tcPr>
                  <w:tcW w:w="674" w:type="pct"/>
                  <w:vMerge w:val="continue"/>
                  <w:tcBorders>
                    <w:tl2br w:val="nil"/>
                    <w:tr2bl w:val="nil"/>
                  </w:tcBorders>
                  <w:vAlign w:val="center"/>
                </w:tcPr>
                <w:p w14:paraId="1561D4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166D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39" w:type="pct"/>
                  <w:vMerge w:val="continue"/>
                  <w:tcBorders>
                    <w:tl2br w:val="nil"/>
                    <w:tr2bl w:val="nil"/>
                  </w:tcBorders>
                  <w:vAlign w:val="center"/>
                </w:tcPr>
                <w:p w14:paraId="126E4B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6" w:type="pct"/>
                  <w:vMerge w:val="continue"/>
                  <w:tcBorders>
                    <w:tl2br w:val="nil"/>
                    <w:tr2bl w:val="nil"/>
                  </w:tcBorders>
                  <w:vAlign w:val="center"/>
                </w:tcPr>
                <w:p w14:paraId="7B5CA1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992" w:type="pct"/>
                  <w:tcBorders>
                    <w:tl2br w:val="nil"/>
                    <w:tr2bl w:val="nil"/>
                  </w:tcBorders>
                  <w:vAlign w:val="center"/>
                </w:tcPr>
                <w:p w14:paraId="044F84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动植物油</w:t>
                  </w:r>
                </w:p>
              </w:tc>
              <w:tc>
                <w:tcPr>
                  <w:tcW w:w="795" w:type="pct"/>
                  <w:tcBorders>
                    <w:tl2br w:val="nil"/>
                    <w:tr2bl w:val="nil"/>
                  </w:tcBorders>
                  <w:vAlign w:val="center"/>
                </w:tcPr>
                <w:p w14:paraId="52091C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季度</w:t>
                  </w:r>
                </w:p>
              </w:tc>
              <w:tc>
                <w:tcPr>
                  <w:tcW w:w="1181" w:type="pct"/>
                  <w:vMerge w:val="continue"/>
                  <w:tcBorders>
                    <w:tl2br w:val="nil"/>
                    <w:tr2bl w:val="nil"/>
                  </w:tcBorders>
                  <w:vAlign w:val="center"/>
                </w:tcPr>
                <w:p w14:paraId="6D7684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p>
              </w:tc>
              <w:tc>
                <w:tcPr>
                  <w:tcW w:w="674" w:type="pct"/>
                  <w:vMerge w:val="continue"/>
                  <w:tcBorders>
                    <w:tl2br w:val="nil"/>
                    <w:tr2bl w:val="nil"/>
                  </w:tcBorders>
                  <w:vAlign w:val="center"/>
                </w:tcPr>
                <w:p w14:paraId="0E02252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r>
            <w:tr w14:paraId="131D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39" w:type="pct"/>
                  <w:vMerge w:val="continue"/>
                  <w:tcBorders>
                    <w:tl2br w:val="nil"/>
                    <w:tr2bl w:val="nil"/>
                  </w:tcBorders>
                  <w:vAlign w:val="center"/>
                </w:tcPr>
                <w:p w14:paraId="65DBB7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716" w:type="pct"/>
                  <w:vMerge w:val="continue"/>
                  <w:tcBorders>
                    <w:tl2br w:val="nil"/>
                    <w:tr2bl w:val="nil"/>
                  </w:tcBorders>
                  <w:vAlign w:val="center"/>
                </w:tcPr>
                <w:p w14:paraId="58D5A1F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c>
                <w:tcPr>
                  <w:tcW w:w="992" w:type="pct"/>
                  <w:tcBorders>
                    <w:tl2br w:val="nil"/>
                    <w:tr2bl w:val="nil"/>
                  </w:tcBorders>
                  <w:vAlign w:val="center"/>
                </w:tcPr>
                <w:p w14:paraId="094FBE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rPr>
                    <w:t>SS、NH</w:t>
                  </w:r>
                  <w:r>
                    <w:rPr>
                      <w:rFonts w:hint="default" w:ascii="Times New Roman" w:hAnsi="Times New Roman" w:eastAsia="仿宋" w:cs="Times New Roman"/>
                      <w:color w:val="auto"/>
                      <w:kern w:val="0"/>
                      <w:sz w:val="21"/>
                      <w:szCs w:val="21"/>
                      <w:highlight w:val="none"/>
                      <w:vertAlign w:val="subscript"/>
                    </w:rPr>
                    <w:t>3</w:t>
                  </w:r>
                  <w:r>
                    <w:rPr>
                      <w:rFonts w:hint="default" w:ascii="Times New Roman" w:hAnsi="Times New Roman" w:eastAsia="仿宋" w:cs="Times New Roman"/>
                      <w:color w:val="auto"/>
                      <w:kern w:val="0"/>
                      <w:sz w:val="21"/>
                      <w:szCs w:val="21"/>
                      <w:highlight w:val="none"/>
                    </w:rPr>
                    <w:t>-N、TP</w:t>
                  </w:r>
                  <w:r>
                    <w:rPr>
                      <w:rFonts w:hint="eastAsia" w:eastAsia="仿宋" w:cs="Times New Roman"/>
                      <w:color w:val="auto"/>
                      <w:kern w:val="0"/>
                      <w:sz w:val="21"/>
                      <w:szCs w:val="21"/>
                      <w:highlight w:val="none"/>
                      <w:lang w:eastAsia="zh-CN"/>
                    </w:rPr>
                    <w:t>、总余氯</w:t>
                  </w:r>
                </w:p>
              </w:tc>
              <w:tc>
                <w:tcPr>
                  <w:tcW w:w="795" w:type="pct"/>
                  <w:tcBorders>
                    <w:tl2br w:val="nil"/>
                    <w:tr2bl w:val="nil"/>
                  </w:tcBorders>
                  <w:vAlign w:val="center"/>
                </w:tcPr>
                <w:p w14:paraId="597D5AA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半年</w:t>
                  </w:r>
                </w:p>
              </w:tc>
              <w:tc>
                <w:tcPr>
                  <w:tcW w:w="1181" w:type="pct"/>
                  <w:vMerge w:val="continue"/>
                  <w:tcBorders>
                    <w:tl2br w:val="nil"/>
                    <w:tr2bl w:val="nil"/>
                  </w:tcBorders>
                  <w:vAlign w:val="center"/>
                </w:tcPr>
                <w:p w14:paraId="648A681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rPr>
                  </w:pPr>
                </w:p>
              </w:tc>
              <w:tc>
                <w:tcPr>
                  <w:tcW w:w="674" w:type="pct"/>
                  <w:vMerge w:val="continue"/>
                  <w:tcBorders>
                    <w:tl2br w:val="nil"/>
                    <w:tr2bl w:val="nil"/>
                  </w:tcBorders>
                  <w:vAlign w:val="center"/>
                </w:tcPr>
                <w:p w14:paraId="0395FD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p>
              </w:tc>
            </w:tr>
            <w:bookmarkEnd w:id="7"/>
          </w:tbl>
          <w:p w14:paraId="341E2078">
            <w:pPr>
              <w:tabs>
                <w:tab w:val="left" w:pos="425"/>
              </w:tabs>
              <w:adjustRightInd w:val="0"/>
              <w:snapToGrid w:val="0"/>
              <w:spacing w:line="360" w:lineRule="auto"/>
              <w:rPr>
                <w:rFonts w:hint="default" w:ascii="Times New Roman" w:hAnsi="Times New Roman" w:cs="Times New Roman"/>
                <w:color w:val="FF0000"/>
                <w:kern w:val="0"/>
                <w:szCs w:val="21"/>
              </w:rPr>
            </w:pPr>
          </w:p>
        </w:tc>
      </w:tr>
      <w:tr w14:paraId="1DEAF8B6">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CellMar>
            <w:top w:w="0" w:type="dxa"/>
            <w:left w:w="108" w:type="dxa"/>
            <w:bottom w:w="0" w:type="dxa"/>
            <w:right w:w="108" w:type="dxa"/>
          </w:tblCellMar>
        </w:tblPrEx>
        <w:trPr>
          <w:gridBefore w:val="1"/>
          <w:gridAfter w:val="1"/>
          <w:wBefore w:w="17" w:type="dxa"/>
          <w:wAfter w:w="18" w:type="dxa"/>
          <w:trHeight w:val="90" w:hRule="atLeast"/>
          <w:jc w:val="center"/>
        </w:trPr>
        <w:tc>
          <w:tcPr>
            <w:tcW w:w="534" w:type="dxa"/>
            <w:shd w:val="clear" w:color="auto" w:fill="auto"/>
            <w:vAlign w:val="center"/>
          </w:tcPr>
          <w:p w14:paraId="292F5730">
            <w:pPr>
              <w:adjustRightInd w:val="0"/>
              <w:snapToGrid w:val="0"/>
              <w:spacing w:line="360" w:lineRule="auto"/>
              <w:jc w:val="center"/>
              <w:rPr>
                <w:rFonts w:hint="default" w:ascii="Times New Roman" w:hAnsi="Times New Roman" w:cs="Times New Roman"/>
                <w:b/>
                <w:color w:val="FF0000"/>
                <w:sz w:val="24"/>
              </w:rPr>
            </w:pPr>
          </w:p>
        </w:tc>
        <w:tc>
          <w:tcPr>
            <w:tcW w:w="8526" w:type="dxa"/>
            <w:shd w:val="clear" w:color="auto" w:fill="auto"/>
          </w:tcPr>
          <w:p w14:paraId="4761936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仿宋" w:cs="Times New Roman"/>
                <w:b/>
                <w:bCs/>
                <w:color w:val="auto"/>
                <w:kern w:val="0"/>
                <w:sz w:val="24"/>
                <w:szCs w:val="24"/>
                <w:highlight w:val="none"/>
                <w:lang w:val="en-US" w:eastAsia="zh-CN"/>
              </w:rPr>
            </w:pPr>
            <w:r>
              <w:rPr>
                <w:rFonts w:hint="default" w:ascii="Times New Roman" w:hAnsi="Times New Roman" w:eastAsia="仿宋" w:cs="Times New Roman"/>
                <w:b/>
                <w:bCs/>
                <w:color w:val="auto"/>
                <w:kern w:val="0"/>
                <w:sz w:val="24"/>
                <w:szCs w:val="24"/>
                <w:highlight w:val="none"/>
                <w:lang w:val="en-US" w:eastAsia="zh-CN"/>
              </w:rPr>
              <w:t>三、噪声</w:t>
            </w:r>
          </w:p>
          <w:p w14:paraId="62F5D05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t>（一）</w:t>
            </w:r>
            <w:r>
              <w:rPr>
                <w:rFonts w:hint="default" w:ascii="Times New Roman" w:hAnsi="Times New Roman" w:eastAsia="仿宋" w:cs="Times New Roman"/>
                <w:color w:val="auto"/>
                <w:kern w:val="0"/>
                <w:sz w:val="24"/>
                <w:szCs w:val="24"/>
                <w:highlight w:val="none"/>
                <w:lang w:val="en-US" w:eastAsia="zh-CN"/>
              </w:rPr>
              <w:t>噪声源强</w:t>
            </w:r>
            <w:r>
              <w:rPr>
                <w:rFonts w:hint="eastAsia" w:ascii="Times New Roman" w:hAnsi="Times New Roman" w:eastAsia="仿宋" w:cs="Times New Roman"/>
                <w:color w:val="auto"/>
                <w:kern w:val="0"/>
                <w:sz w:val="24"/>
                <w:szCs w:val="24"/>
                <w:highlight w:val="none"/>
                <w:lang w:val="en-US" w:eastAsia="zh-CN"/>
              </w:rPr>
              <w:t>及降噪措施</w:t>
            </w:r>
          </w:p>
          <w:p w14:paraId="483AB8B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lang w:val="en-US" w:eastAsia="zh-CN"/>
              </w:rPr>
            </w:pPr>
            <w:r>
              <w:rPr>
                <w:rFonts w:hint="eastAsia" w:ascii="Times New Roman" w:hAnsi="Times New Roman" w:eastAsia="仿宋" w:cs="Times New Roman"/>
                <w:color w:val="auto"/>
                <w:kern w:val="0"/>
                <w:sz w:val="24"/>
                <w:szCs w:val="24"/>
                <w:highlight w:val="none"/>
                <w:lang w:val="en-US" w:eastAsia="zh-CN"/>
              </w:rPr>
              <w:t>1、噪声源强</w:t>
            </w:r>
          </w:p>
          <w:p w14:paraId="4F81255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t>本项目噪声源主要为</w:t>
            </w:r>
            <w:r>
              <w:rPr>
                <w:rFonts w:hint="eastAsia" w:eastAsia="仿宋" w:cs="Times New Roman"/>
                <w:color w:val="auto"/>
                <w:kern w:val="0"/>
                <w:sz w:val="24"/>
                <w:szCs w:val="24"/>
                <w:highlight w:val="none"/>
                <w:lang w:val="en-US" w:eastAsia="zh-CN"/>
              </w:rPr>
              <w:t>空调机组、风机</w:t>
            </w:r>
            <w:r>
              <w:rPr>
                <w:rFonts w:hint="eastAsia" w:ascii="Times New Roman" w:hAnsi="Times New Roman" w:eastAsia="仿宋" w:cs="Times New Roman"/>
                <w:color w:val="auto"/>
                <w:kern w:val="0"/>
                <w:sz w:val="24"/>
                <w:szCs w:val="24"/>
                <w:highlight w:val="none"/>
                <w:lang w:val="en-US" w:eastAsia="zh-CN"/>
              </w:rPr>
              <w:t>等设备</w:t>
            </w:r>
            <w:r>
              <w:rPr>
                <w:rFonts w:hint="eastAsia" w:eastAsia="仿宋" w:cs="Times New Roman"/>
                <w:color w:val="auto"/>
                <w:kern w:val="0"/>
                <w:sz w:val="24"/>
                <w:szCs w:val="24"/>
                <w:highlight w:val="none"/>
                <w:lang w:val="en-US" w:eastAsia="zh-CN"/>
              </w:rPr>
              <w:t>噪声，交通噪声、人群活动</w:t>
            </w:r>
            <w:r>
              <w:rPr>
                <w:rFonts w:hint="eastAsia" w:ascii="Times New Roman" w:hAnsi="Times New Roman" w:eastAsia="仿宋" w:cs="Times New Roman"/>
                <w:color w:val="auto"/>
                <w:kern w:val="0"/>
                <w:sz w:val="24"/>
                <w:szCs w:val="24"/>
                <w:highlight w:val="none"/>
                <w:lang w:val="en-US" w:eastAsia="zh-CN"/>
              </w:rPr>
              <w:t>噪声，噪声源强在参考同类型项目，其噪声级为75～85dB（A），本项目噪声源强具体见表4-1</w:t>
            </w:r>
            <w:r>
              <w:rPr>
                <w:rFonts w:hint="eastAsia" w:eastAsia="仿宋" w:cs="Times New Roman"/>
                <w:color w:val="auto"/>
                <w:kern w:val="0"/>
                <w:sz w:val="24"/>
                <w:szCs w:val="24"/>
                <w:highlight w:val="none"/>
                <w:lang w:val="en-US" w:eastAsia="zh-CN"/>
              </w:rPr>
              <w:t>3</w:t>
            </w:r>
            <w:r>
              <w:rPr>
                <w:rFonts w:hint="eastAsia" w:ascii="Times New Roman" w:hAnsi="Times New Roman" w:eastAsia="仿宋" w:cs="Times New Roman"/>
                <w:color w:val="auto"/>
                <w:kern w:val="0"/>
                <w:sz w:val="24"/>
                <w:szCs w:val="24"/>
                <w:highlight w:val="none"/>
                <w:lang w:val="en-US" w:eastAsia="zh-CN"/>
              </w:rPr>
              <w:t>。</w:t>
            </w:r>
          </w:p>
          <w:p w14:paraId="4474EC57">
            <w:pPr>
              <w:jc w:val="center"/>
              <w:rPr>
                <w:rFonts w:hint="eastAsia"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表4-</w:t>
            </w:r>
            <w:r>
              <w:rPr>
                <w:rFonts w:hint="eastAsia" w:ascii="Times New Roman" w:hAnsi="Times New Roman" w:eastAsia="仿宋" w:cs="Times New Roman"/>
                <w:b/>
                <w:bCs/>
                <w:color w:val="auto"/>
                <w:kern w:val="2"/>
                <w:sz w:val="22"/>
                <w:szCs w:val="22"/>
                <w:highlight w:val="none"/>
                <w:lang w:val="en-US" w:eastAsia="zh-CN" w:bidi="ar-SA"/>
              </w:rPr>
              <w:t>13</w:t>
            </w:r>
            <w:r>
              <w:rPr>
                <w:rFonts w:hint="default" w:ascii="Times New Roman" w:hAnsi="Times New Roman" w:eastAsia="仿宋" w:cs="Times New Roman"/>
                <w:b/>
                <w:bCs/>
                <w:color w:val="auto"/>
                <w:kern w:val="2"/>
                <w:sz w:val="22"/>
                <w:szCs w:val="22"/>
                <w:highlight w:val="none"/>
                <w:lang w:val="en-US" w:eastAsia="zh-CN" w:bidi="ar-SA"/>
              </w:rPr>
              <w:t xml:space="preserve">  </w:t>
            </w:r>
            <w:r>
              <w:rPr>
                <w:rFonts w:hint="eastAsia" w:ascii="Times New Roman" w:hAnsi="Times New Roman" w:eastAsia="仿宋" w:cs="Times New Roman"/>
                <w:b/>
                <w:bCs/>
                <w:color w:val="auto"/>
                <w:kern w:val="2"/>
                <w:sz w:val="22"/>
                <w:szCs w:val="22"/>
                <w:highlight w:val="none"/>
                <w:lang w:val="en-US" w:eastAsia="zh-CN" w:bidi="ar-SA"/>
              </w:rPr>
              <w:t>项目主要噪声源强一览表（单位：dB(A)）</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18"/>
              <w:gridCol w:w="883"/>
              <w:gridCol w:w="848"/>
              <w:gridCol w:w="667"/>
              <w:gridCol w:w="1598"/>
              <w:gridCol w:w="2596"/>
              <w:gridCol w:w="1297"/>
            </w:tblGrid>
            <w:tr w14:paraId="4DF05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252" w:type="pct"/>
                  <w:vMerge w:val="restart"/>
                  <w:noWrap w:val="0"/>
                  <w:vAlign w:val="center"/>
                </w:tcPr>
                <w:p w14:paraId="7B9CCF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序号</w:t>
                  </w:r>
                </w:p>
              </w:tc>
              <w:tc>
                <w:tcPr>
                  <w:tcW w:w="531" w:type="pct"/>
                  <w:vMerge w:val="restart"/>
                  <w:noWrap w:val="0"/>
                  <w:vAlign w:val="center"/>
                </w:tcPr>
                <w:p w14:paraId="03E124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声源名称</w:t>
                  </w:r>
                </w:p>
              </w:tc>
              <w:tc>
                <w:tcPr>
                  <w:tcW w:w="510" w:type="pct"/>
                  <w:vMerge w:val="restart"/>
                  <w:noWrap w:val="0"/>
                  <w:vAlign w:val="center"/>
                </w:tcPr>
                <w:p w14:paraId="559BE7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数量</w:t>
                  </w:r>
                </w:p>
                <w:p w14:paraId="20E4ED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（台/套）</w:t>
                  </w:r>
                </w:p>
              </w:tc>
              <w:tc>
                <w:tcPr>
                  <w:tcW w:w="401" w:type="pct"/>
                  <w:vMerge w:val="restart"/>
                  <w:noWrap w:val="0"/>
                  <w:vAlign w:val="center"/>
                </w:tcPr>
                <w:p w14:paraId="3EDB87D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型号</w:t>
                  </w:r>
                </w:p>
              </w:tc>
              <w:tc>
                <w:tcPr>
                  <w:tcW w:w="961" w:type="pct"/>
                  <w:noWrap w:val="0"/>
                  <w:vAlign w:val="center"/>
                </w:tcPr>
                <w:p w14:paraId="39D9BF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声源源强</w:t>
                  </w:r>
                </w:p>
              </w:tc>
              <w:tc>
                <w:tcPr>
                  <w:tcW w:w="1561" w:type="pct"/>
                  <w:vMerge w:val="restart"/>
                  <w:noWrap w:val="0"/>
                  <w:vAlign w:val="center"/>
                </w:tcPr>
                <w:p w14:paraId="400BBB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声源控制措施</w:t>
                  </w:r>
                </w:p>
              </w:tc>
              <w:tc>
                <w:tcPr>
                  <w:tcW w:w="780" w:type="pct"/>
                  <w:vMerge w:val="restart"/>
                  <w:noWrap w:val="0"/>
                  <w:vAlign w:val="center"/>
                </w:tcPr>
                <w:p w14:paraId="10AA3BB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运行时段</w:t>
                  </w:r>
                </w:p>
              </w:tc>
            </w:tr>
            <w:tr w14:paraId="65A44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52" w:type="pct"/>
                  <w:vMerge w:val="continue"/>
                  <w:noWrap w:val="0"/>
                  <w:vAlign w:val="center"/>
                </w:tcPr>
                <w:p w14:paraId="36165C7F">
                  <w:pPr>
                    <w:adjustRightInd w:val="0"/>
                    <w:snapToGrid w:val="0"/>
                    <w:jc w:val="center"/>
                    <w:rPr>
                      <w:b/>
                      <w:bCs/>
                      <w:color w:val="FF0000"/>
                      <w:szCs w:val="21"/>
                    </w:rPr>
                  </w:pPr>
                </w:p>
              </w:tc>
              <w:tc>
                <w:tcPr>
                  <w:tcW w:w="531" w:type="pct"/>
                  <w:vMerge w:val="continue"/>
                  <w:noWrap w:val="0"/>
                  <w:vAlign w:val="center"/>
                </w:tcPr>
                <w:p w14:paraId="7B42C185">
                  <w:pPr>
                    <w:adjustRightInd w:val="0"/>
                    <w:snapToGrid w:val="0"/>
                    <w:jc w:val="center"/>
                    <w:rPr>
                      <w:b/>
                      <w:bCs/>
                      <w:color w:val="FF0000"/>
                      <w:szCs w:val="21"/>
                    </w:rPr>
                  </w:pPr>
                </w:p>
              </w:tc>
              <w:tc>
                <w:tcPr>
                  <w:tcW w:w="510" w:type="pct"/>
                  <w:vMerge w:val="continue"/>
                  <w:noWrap w:val="0"/>
                  <w:vAlign w:val="center"/>
                </w:tcPr>
                <w:p w14:paraId="6E49FDB7">
                  <w:pPr>
                    <w:adjustRightInd w:val="0"/>
                    <w:snapToGrid w:val="0"/>
                    <w:jc w:val="center"/>
                    <w:rPr>
                      <w:b/>
                      <w:bCs/>
                      <w:color w:val="FF0000"/>
                      <w:szCs w:val="21"/>
                    </w:rPr>
                  </w:pPr>
                </w:p>
              </w:tc>
              <w:tc>
                <w:tcPr>
                  <w:tcW w:w="401" w:type="pct"/>
                  <w:vMerge w:val="continue"/>
                  <w:noWrap w:val="0"/>
                  <w:vAlign w:val="center"/>
                </w:tcPr>
                <w:p w14:paraId="12A5B858">
                  <w:pPr>
                    <w:adjustRightInd w:val="0"/>
                    <w:snapToGrid w:val="0"/>
                    <w:jc w:val="center"/>
                    <w:rPr>
                      <w:rFonts w:hint="eastAsia"/>
                      <w:b/>
                      <w:bCs/>
                      <w:color w:val="FF0000"/>
                      <w:szCs w:val="21"/>
                    </w:rPr>
                  </w:pPr>
                </w:p>
              </w:tc>
              <w:tc>
                <w:tcPr>
                  <w:tcW w:w="961" w:type="pct"/>
                  <w:noWrap w:val="0"/>
                  <w:vAlign w:val="center"/>
                </w:tcPr>
                <w:p w14:paraId="1BDFD8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声功率级/dB(A)</w:t>
                  </w:r>
                </w:p>
              </w:tc>
              <w:tc>
                <w:tcPr>
                  <w:tcW w:w="1561" w:type="pct"/>
                  <w:vMerge w:val="continue"/>
                  <w:noWrap w:val="0"/>
                  <w:vAlign w:val="center"/>
                </w:tcPr>
                <w:p w14:paraId="17DF3B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p>
              </w:tc>
              <w:tc>
                <w:tcPr>
                  <w:tcW w:w="780" w:type="pct"/>
                  <w:vMerge w:val="continue"/>
                  <w:noWrap w:val="0"/>
                  <w:vAlign w:val="center"/>
                </w:tcPr>
                <w:p w14:paraId="79EF9FFA">
                  <w:pPr>
                    <w:adjustRightInd w:val="0"/>
                    <w:snapToGrid w:val="0"/>
                    <w:jc w:val="center"/>
                    <w:rPr>
                      <w:b/>
                      <w:bCs/>
                      <w:color w:val="FF0000"/>
                      <w:szCs w:val="21"/>
                    </w:rPr>
                  </w:pPr>
                </w:p>
              </w:tc>
            </w:tr>
            <w:tr w14:paraId="37091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2" w:type="pct"/>
                  <w:noWrap w:val="0"/>
                  <w:vAlign w:val="center"/>
                </w:tcPr>
                <w:p w14:paraId="25294A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w:t>
                  </w:r>
                </w:p>
              </w:tc>
              <w:tc>
                <w:tcPr>
                  <w:tcW w:w="531" w:type="pct"/>
                  <w:noWrap w:val="0"/>
                  <w:vAlign w:val="center"/>
                </w:tcPr>
                <w:p w14:paraId="49FB121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空调机组</w:t>
                  </w:r>
                </w:p>
              </w:tc>
              <w:tc>
                <w:tcPr>
                  <w:tcW w:w="510" w:type="pct"/>
                  <w:noWrap w:val="0"/>
                  <w:vAlign w:val="center"/>
                </w:tcPr>
                <w:p w14:paraId="187334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w:t>
                  </w:r>
                </w:p>
              </w:tc>
              <w:tc>
                <w:tcPr>
                  <w:tcW w:w="401" w:type="pct"/>
                  <w:noWrap w:val="0"/>
                  <w:vAlign w:val="center"/>
                </w:tcPr>
                <w:p w14:paraId="2C106E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w:t>
                  </w:r>
                </w:p>
              </w:tc>
              <w:tc>
                <w:tcPr>
                  <w:tcW w:w="961" w:type="pct"/>
                  <w:noWrap w:val="0"/>
                  <w:vAlign w:val="center"/>
                </w:tcPr>
                <w:p w14:paraId="64F4A1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70</w:t>
                  </w:r>
                </w:p>
              </w:tc>
              <w:tc>
                <w:tcPr>
                  <w:tcW w:w="1561" w:type="pct"/>
                  <w:vMerge w:val="restart"/>
                  <w:noWrap w:val="0"/>
                  <w:vAlign w:val="center"/>
                </w:tcPr>
                <w:p w14:paraId="405674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rPr>
                    <w:t>采用低静音的设备，安装减震垫</w:t>
                  </w:r>
                  <w:r>
                    <w:rPr>
                      <w:rFonts w:hint="eastAsia" w:ascii="Times New Roman" w:hAnsi="Times New Roman" w:eastAsia="仿宋" w:cs="Times New Roman"/>
                      <w:color w:val="auto"/>
                      <w:kern w:val="0"/>
                      <w:sz w:val="21"/>
                      <w:szCs w:val="21"/>
                      <w:highlight w:val="none"/>
                      <w:lang w:val="en-US" w:eastAsia="zh-CN"/>
                    </w:rPr>
                    <w:t>等</w:t>
                  </w:r>
                </w:p>
              </w:tc>
              <w:tc>
                <w:tcPr>
                  <w:tcW w:w="780" w:type="pct"/>
                  <w:vMerge w:val="restart"/>
                  <w:noWrap w:val="0"/>
                  <w:vAlign w:val="center"/>
                </w:tcPr>
                <w:p w14:paraId="50105C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rPr>
                  </w:pPr>
                  <w:r>
                    <w:rPr>
                      <w:rFonts w:hint="eastAsia" w:eastAsia="仿宋" w:cs="Times New Roman"/>
                      <w:color w:val="auto"/>
                      <w:kern w:val="0"/>
                      <w:sz w:val="21"/>
                      <w:szCs w:val="21"/>
                      <w:highlight w:val="none"/>
                      <w:lang w:val="en-US" w:eastAsia="zh-CN"/>
                    </w:rPr>
                    <w:t>24h</w:t>
                  </w:r>
                </w:p>
              </w:tc>
            </w:tr>
            <w:tr w14:paraId="7321D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2" w:type="pct"/>
                  <w:noWrap w:val="0"/>
                  <w:vAlign w:val="center"/>
                </w:tcPr>
                <w:p w14:paraId="10761B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w:t>
                  </w:r>
                </w:p>
              </w:tc>
              <w:tc>
                <w:tcPr>
                  <w:tcW w:w="531" w:type="pct"/>
                  <w:noWrap w:val="0"/>
                  <w:vAlign w:val="center"/>
                </w:tcPr>
                <w:p w14:paraId="0DD467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风机</w:t>
                  </w:r>
                </w:p>
              </w:tc>
              <w:tc>
                <w:tcPr>
                  <w:tcW w:w="510" w:type="pct"/>
                  <w:noWrap w:val="0"/>
                  <w:vAlign w:val="center"/>
                </w:tcPr>
                <w:p w14:paraId="7189E7C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w:t>
                  </w:r>
                </w:p>
              </w:tc>
              <w:tc>
                <w:tcPr>
                  <w:tcW w:w="401" w:type="pct"/>
                  <w:noWrap w:val="0"/>
                  <w:vAlign w:val="center"/>
                </w:tcPr>
                <w:p w14:paraId="198711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w:t>
                  </w:r>
                </w:p>
              </w:tc>
              <w:tc>
                <w:tcPr>
                  <w:tcW w:w="961" w:type="pct"/>
                  <w:noWrap w:val="0"/>
                  <w:vAlign w:val="center"/>
                </w:tcPr>
                <w:p w14:paraId="357C99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65</w:t>
                  </w:r>
                </w:p>
              </w:tc>
              <w:tc>
                <w:tcPr>
                  <w:tcW w:w="1561" w:type="pct"/>
                  <w:vMerge w:val="continue"/>
                  <w:noWrap w:val="0"/>
                  <w:vAlign w:val="center"/>
                </w:tcPr>
                <w:p w14:paraId="0AFC403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780" w:type="pct"/>
                  <w:vMerge w:val="continue"/>
                  <w:noWrap w:val="0"/>
                  <w:vAlign w:val="center"/>
                </w:tcPr>
                <w:p w14:paraId="3A035953">
                  <w:pPr>
                    <w:adjustRightInd w:val="0"/>
                    <w:snapToGrid w:val="0"/>
                    <w:jc w:val="center"/>
                    <w:rPr>
                      <w:color w:val="FF0000"/>
                      <w:sz w:val="18"/>
                      <w:szCs w:val="18"/>
                    </w:rPr>
                  </w:pPr>
                </w:p>
              </w:tc>
            </w:tr>
          </w:tbl>
          <w:p w14:paraId="1190980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t>2、噪声防治措施</w:t>
            </w:r>
          </w:p>
          <w:p w14:paraId="163BBB1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t>本项目噪声源主要为各种生产设备及社会活动噪声。建设单位拟采取相应的降噪、减震措施，具体可参考以下措施：</w:t>
            </w:r>
          </w:p>
          <w:p w14:paraId="191E62A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fldChar w:fldCharType="begin"/>
            </w:r>
            <w:r>
              <w:rPr>
                <w:rFonts w:hint="eastAsia" w:ascii="Times New Roman" w:hAnsi="Times New Roman" w:eastAsia="仿宋" w:cs="Times New Roman"/>
                <w:color w:val="auto"/>
                <w:kern w:val="0"/>
                <w:sz w:val="24"/>
                <w:szCs w:val="24"/>
                <w:highlight w:val="none"/>
                <w:lang w:val="en-US" w:eastAsia="zh-CN"/>
              </w:rPr>
              <w:instrText xml:space="preserve">= 1 \* GB3</w:instrText>
            </w:r>
            <w:r>
              <w:rPr>
                <w:rFonts w:hint="eastAsia" w:ascii="Times New Roman" w:hAnsi="Times New Roman" w:eastAsia="仿宋" w:cs="Times New Roman"/>
                <w:color w:val="auto"/>
                <w:kern w:val="0"/>
                <w:sz w:val="24"/>
                <w:szCs w:val="24"/>
                <w:highlight w:val="none"/>
                <w:lang w:val="en-US" w:eastAsia="zh-CN"/>
              </w:rPr>
              <w:fldChar w:fldCharType="separate"/>
            </w:r>
            <w:r>
              <w:rPr>
                <w:rFonts w:hint="eastAsia" w:ascii="Times New Roman" w:hAnsi="Times New Roman" w:eastAsia="仿宋" w:cs="Times New Roman"/>
                <w:color w:val="auto"/>
                <w:kern w:val="0"/>
                <w:sz w:val="24"/>
                <w:szCs w:val="24"/>
                <w:highlight w:val="none"/>
                <w:lang w:val="en-US" w:eastAsia="zh-CN"/>
              </w:rPr>
              <w:t>①</w:t>
            </w:r>
            <w:r>
              <w:rPr>
                <w:rFonts w:hint="eastAsia" w:ascii="Times New Roman" w:hAnsi="Times New Roman" w:eastAsia="仿宋" w:cs="Times New Roman"/>
                <w:color w:val="auto"/>
                <w:kern w:val="0"/>
                <w:sz w:val="24"/>
                <w:szCs w:val="24"/>
                <w:highlight w:val="none"/>
                <w:lang w:val="en-US" w:eastAsia="zh-CN"/>
              </w:rPr>
              <w:fldChar w:fldCharType="end"/>
            </w:r>
            <w:r>
              <w:rPr>
                <w:rFonts w:hint="eastAsia" w:ascii="Times New Roman" w:hAnsi="Times New Roman" w:eastAsia="仿宋" w:cs="Times New Roman"/>
                <w:color w:val="auto"/>
                <w:kern w:val="0"/>
                <w:sz w:val="24"/>
                <w:szCs w:val="24"/>
                <w:highlight w:val="none"/>
                <w:lang w:val="en-US" w:eastAsia="zh-CN"/>
              </w:rPr>
              <w:t>从声源上控制，选择低噪声和符合国家噪声标准的设备。</w:t>
            </w:r>
          </w:p>
          <w:p w14:paraId="61ABED1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fldChar w:fldCharType="begin"/>
            </w:r>
            <w:r>
              <w:rPr>
                <w:rFonts w:hint="eastAsia" w:ascii="Times New Roman" w:hAnsi="Times New Roman" w:eastAsia="仿宋" w:cs="Times New Roman"/>
                <w:color w:val="auto"/>
                <w:kern w:val="0"/>
                <w:sz w:val="24"/>
                <w:szCs w:val="24"/>
                <w:highlight w:val="none"/>
                <w:lang w:val="en-US" w:eastAsia="zh-CN"/>
              </w:rPr>
              <w:instrText xml:space="preserve">= 2 \* GB3</w:instrText>
            </w:r>
            <w:r>
              <w:rPr>
                <w:rFonts w:hint="eastAsia" w:ascii="Times New Roman" w:hAnsi="Times New Roman" w:eastAsia="仿宋" w:cs="Times New Roman"/>
                <w:color w:val="auto"/>
                <w:kern w:val="0"/>
                <w:sz w:val="24"/>
                <w:szCs w:val="24"/>
                <w:highlight w:val="none"/>
                <w:lang w:val="en-US" w:eastAsia="zh-CN"/>
              </w:rPr>
              <w:fldChar w:fldCharType="separate"/>
            </w:r>
            <w:r>
              <w:rPr>
                <w:rFonts w:hint="eastAsia" w:ascii="Times New Roman" w:hAnsi="Times New Roman" w:eastAsia="仿宋" w:cs="Times New Roman"/>
                <w:color w:val="auto"/>
                <w:kern w:val="0"/>
                <w:sz w:val="24"/>
                <w:szCs w:val="24"/>
                <w:highlight w:val="none"/>
                <w:lang w:val="en-US" w:eastAsia="zh-CN"/>
              </w:rPr>
              <w:t>②</w:t>
            </w:r>
            <w:r>
              <w:rPr>
                <w:rFonts w:hint="eastAsia" w:ascii="Times New Roman" w:hAnsi="Times New Roman" w:eastAsia="仿宋" w:cs="Times New Roman"/>
                <w:color w:val="auto"/>
                <w:kern w:val="0"/>
                <w:sz w:val="24"/>
                <w:szCs w:val="24"/>
                <w:highlight w:val="none"/>
                <w:lang w:val="en-US" w:eastAsia="zh-CN"/>
              </w:rPr>
              <w:fldChar w:fldCharType="end"/>
            </w:r>
            <w:r>
              <w:rPr>
                <w:rFonts w:hint="eastAsia" w:ascii="Times New Roman" w:hAnsi="Times New Roman" w:eastAsia="仿宋" w:cs="Times New Roman"/>
                <w:color w:val="auto"/>
                <w:kern w:val="0"/>
                <w:sz w:val="24"/>
                <w:szCs w:val="24"/>
                <w:highlight w:val="none"/>
                <w:lang w:val="en-US" w:eastAsia="zh-CN"/>
              </w:rPr>
              <w:t>合理布局本项目高噪声的设备，将生产设备全部布置于楼房内部，同时将楼房进行封闭，减少对外界的影响。</w:t>
            </w:r>
          </w:p>
          <w:p w14:paraId="05B65CF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fldChar w:fldCharType="begin"/>
            </w:r>
            <w:r>
              <w:rPr>
                <w:rFonts w:hint="eastAsia" w:ascii="Times New Roman" w:hAnsi="Times New Roman" w:eastAsia="仿宋" w:cs="Times New Roman"/>
                <w:color w:val="auto"/>
                <w:kern w:val="0"/>
                <w:sz w:val="24"/>
                <w:szCs w:val="24"/>
                <w:highlight w:val="none"/>
                <w:lang w:val="en-US" w:eastAsia="zh-CN"/>
              </w:rPr>
              <w:instrText xml:space="preserve">= 3 \* GB3</w:instrText>
            </w:r>
            <w:r>
              <w:rPr>
                <w:rFonts w:hint="eastAsia" w:ascii="Times New Roman" w:hAnsi="Times New Roman" w:eastAsia="仿宋" w:cs="Times New Roman"/>
                <w:color w:val="auto"/>
                <w:kern w:val="0"/>
                <w:sz w:val="24"/>
                <w:szCs w:val="24"/>
                <w:highlight w:val="none"/>
                <w:lang w:val="en-US" w:eastAsia="zh-CN"/>
              </w:rPr>
              <w:fldChar w:fldCharType="separate"/>
            </w:r>
            <w:r>
              <w:rPr>
                <w:rFonts w:hint="eastAsia" w:ascii="Times New Roman" w:hAnsi="Times New Roman" w:eastAsia="仿宋" w:cs="Times New Roman"/>
                <w:color w:val="auto"/>
                <w:kern w:val="0"/>
                <w:sz w:val="24"/>
                <w:szCs w:val="24"/>
                <w:highlight w:val="none"/>
                <w:lang w:val="en-US" w:eastAsia="zh-CN"/>
              </w:rPr>
              <w:t>③</w:t>
            </w:r>
            <w:r>
              <w:rPr>
                <w:rFonts w:hint="eastAsia" w:ascii="Times New Roman" w:hAnsi="Times New Roman" w:eastAsia="仿宋" w:cs="Times New Roman"/>
                <w:color w:val="auto"/>
                <w:kern w:val="0"/>
                <w:sz w:val="24"/>
                <w:szCs w:val="24"/>
                <w:highlight w:val="none"/>
                <w:lang w:val="en-US" w:eastAsia="zh-CN"/>
              </w:rPr>
              <w:fldChar w:fldCharType="end"/>
            </w:r>
            <w:r>
              <w:rPr>
                <w:rFonts w:hint="eastAsia" w:ascii="Times New Roman" w:hAnsi="Times New Roman" w:eastAsia="仿宋" w:cs="Times New Roman"/>
                <w:color w:val="auto"/>
                <w:kern w:val="0"/>
                <w:sz w:val="24"/>
                <w:szCs w:val="24"/>
                <w:highlight w:val="none"/>
                <w:lang w:val="en-US" w:eastAsia="zh-CN"/>
              </w:rPr>
              <w:t>加强对高噪声设备维护，确保设备处于良好的运转状态，杜绝因设备不正常运转时产生的高噪声现象。</w:t>
            </w:r>
          </w:p>
          <w:p w14:paraId="06898AB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fldChar w:fldCharType="begin"/>
            </w:r>
            <w:r>
              <w:rPr>
                <w:rFonts w:hint="eastAsia" w:ascii="Times New Roman" w:hAnsi="Times New Roman" w:eastAsia="仿宋" w:cs="Times New Roman"/>
                <w:color w:val="auto"/>
                <w:kern w:val="0"/>
                <w:sz w:val="24"/>
                <w:szCs w:val="24"/>
                <w:highlight w:val="none"/>
                <w:lang w:val="en-US" w:eastAsia="zh-CN"/>
              </w:rPr>
              <w:instrText xml:space="preserve">= 4 \* GB3</w:instrText>
            </w:r>
            <w:r>
              <w:rPr>
                <w:rFonts w:hint="eastAsia" w:ascii="Times New Roman" w:hAnsi="Times New Roman" w:eastAsia="仿宋" w:cs="Times New Roman"/>
                <w:color w:val="auto"/>
                <w:kern w:val="0"/>
                <w:sz w:val="24"/>
                <w:szCs w:val="24"/>
                <w:highlight w:val="none"/>
                <w:lang w:val="en-US" w:eastAsia="zh-CN"/>
              </w:rPr>
              <w:fldChar w:fldCharType="separate"/>
            </w:r>
            <w:r>
              <w:rPr>
                <w:rFonts w:hint="eastAsia" w:ascii="Times New Roman" w:hAnsi="Times New Roman" w:eastAsia="仿宋" w:cs="Times New Roman"/>
                <w:color w:val="auto"/>
                <w:kern w:val="0"/>
                <w:sz w:val="24"/>
                <w:szCs w:val="24"/>
                <w:highlight w:val="none"/>
                <w:lang w:val="en-US" w:eastAsia="zh-CN"/>
              </w:rPr>
              <w:t>④</w:t>
            </w:r>
            <w:r>
              <w:rPr>
                <w:rFonts w:hint="eastAsia" w:ascii="Times New Roman" w:hAnsi="Times New Roman" w:eastAsia="仿宋" w:cs="Times New Roman"/>
                <w:color w:val="auto"/>
                <w:kern w:val="0"/>
                <w:sz w:val="24"/>
                <w:szCs w:val="24"/>
                <w:highlight w:val="none"/>
                <w:lang w:val="en-US" w:eastAsia="zh-CN"/>
              </w:rPr>
              <w:fldChar w:fldCharType="end"/>
            </w:r>
            <w:r>
              <w:rPr>
                <w:rFonts w:hint="eastAsia" w:ascii="Times New Roman" w:hAnsi="Times New Roman" w:eastAsia="仿宋" w:cs="Times New Roman"/>
                <w:color w:val="auto"/>
                <w:kern w:val="0"/>
                <w:sz w:val="24"/>
                <w:szCs w:val="24"/>
                <w:highlight w:val="none"/>
                <w:lang w:val="en-US" w:eastAsia="zh-CN"/>
              </w:rPr>
              <w:t>风机进、排风管安装消声器，风机与进、排风管采用橡胶柔性接管连接，在风机和基础之间安装隔振器，尽可能增加机座惰性块的重量，一般为2～3倍机组重量。</w:t>
            </w:r>
          </w:p>
          <w:p w14:paraId="2749626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fldChar w:fldCharType="begin"/>
            </w:r>
            <w:r>
              <w:rPr>
                <w:rFonts w:hint="eastAsia" w:ascii="Times New Roman" w:hAnsi="Times New Roman" w:eastAsia="仿宋" w:cs="Times New Roman"/>
                <w:color w:val="auto"/>
                <w:kern w:val="0"/>
                <w:sz w:val="24"/>
                <w:szCs w:val="24"/>
                <w:highlight w:val="none"/>
                <w:lang w:val="en-US" w:eastAsia="zh-CN"/>
              </w:rPr>
              <w:instrText xml:space="preserve">= 5 \* GB3</w:instrText>
            </w:r>
            <w:r>
              <w:rPr>
                <w:rFonts w:hint="eastAsia" w:ascii="Times New Roman" w:hAnsi="Times New Roman" w:eastAsia="仿宋" w:cs="Times New Roman"/>
                <w:color w:val="auto"/>
                <w:kern w:val="0"/>
                <w:sz w:val="24"/>
                <w:szCs w:val="24"/>
                <w:highlight w:val="none"/>
                <w:lang w:val="en-US" w:eastAsia="zh-CN"/>
              </w:rPr>
              <w:fldChar w:fldCharType="separate"/>
            </w:r>
            <w:r>
              <w:rPr>
                <w:rFonts w:hint="eastAsia" w:ascii="Times New Roman" w:hAnsi="Times New Roman" w:eastAsia="仿宋" w:cs="Times New Roman"/>
                <w:color w:val="auto"/>
                <w:kern w:val="0"/>
                <w:sz w:val="24"/>
                <w:szCs w:val="24"/>
                <w:highlight w:val="none"/>
                <w:lang w:val="en-US" w:eastAsia="zh-CN"/>
              </w:rPr>
              <w:t>⑤</w:t>
            </w:r>
            <w:r>
              <w:rPr>
                <w:rFonts w:hint="eastAsia" w:ascii="Times New Roman" w:hAnsi="Times New Roman" w:eastAsia="仿宋" w:cs="Times New Roman"/>
                <w:color w:val="auto"/>
                <w:kern w:val="0"/>
                <w:sz w:val="24"/>
                <w:szCs w:val="24"/>
                <w:highlight w:val="none"/>
                <w:lang w:val="en-US" w:eastAsia="zh-CN"/>
              </w:rPr>
              <w:fldChar w:fldCharType="end"/>
            </w:r>
            <w:r>
              <w:rPr>
                <w:rFonts w:hint="eastAsia" w:ascii="Times New Roman" w:hAnsi="Times New Roman" w:eastAsia="仿宋" w:cs="Times New Roman"/>
                <w:color w:val="auto"/>
                <w:kern w:val="0"/>
                <w:sz w:val="24"/>
                <w:szCs w:val="24"/>
                <w:highlight w:val="none"/>
                <w:lang w:val="en-US" w:eastAsia="zh-CN"/>
              </w:rPr>
              <w:t>在设备和基础之间加弹簧和弹性材料制作的减振器或减振垫层以减少设备基础与墙体振动形成的噪声。</w:t>
            </w:r>
          </w:p>
          <w:p w14:paraId="5FAD2FA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fldChar w:fldCharType="begin"/>
            </w:r>
            <w:r>
              <w:rPr>
                <w:rFonts w:hint="eastAsia" w:ascii="Times New Roman" w:hAnsi="Times New Roman" w:eastAsia="仿宋" w:cs="Times New Roman"/>
                <w:color w:val="auto"/>
                <w:kern w:val="0"/>
                <w:sz w:val="24"/>
                <w:szCs w:val="24"/>
                <w:highlight w:val="none"/>
                <w:lang w:val="en-US" w:eastAsia="zh-CN"/>
              </w:rPr>
              <w:instrText xml:space="preserve">= 6 \* GB3</w:instrText>
            </w:r>
            <w:r>
              <w:rPr>
                <w:rFonts w:hint="eastAsia" w:ascii="Times New Roman" w:hAnsi="Times New Roman" w:eastAsia="仿宋" w:cs="Times New Roman"/>
                <w:color w:val="auto"/>
                <w:kern w:val="0"/>
                <w:sz w:val="24"/>
                <w:szCs w:val="24"/>
                <w:highlight w:val="none"/>
                <w:lang w:val="en-US" w:eastAsia="zh-CN"/>
              </w:rPr>
              <w:fldChar w:fldCharType="separate"/>
            </w:r>
            <w:r>
              <w:rPr>
                <w:rFonts w:hint="eastAsia" w:ascii="Times New Roman" w:hAnsi="Times New Roman" w:eastAsia="仿宋" w:cs="Times New Roman"/>
                <w:color w:val="auto"/>
                <w:kern w:val="0"/>
                <w:sz w:val="24"/>
                <w:szCs w:val="24"/>
                <w:highlight w:val="none"/>
                <w:lang w:val="en-US" w:eastAsia="zh-CN"/>
              </w:rPr>
              <w:t>⑥</w:t>
            </w:r>
            <w:r>
              <w:rPr>
                <w:rFonts w:hint="eastAsia" w:ascii="Times New Roman" w:hAnsi="Times New Roman" w:eastAsia="仿宋" w:cs="Times New Roman"/>
                <w:color w:val="auto"/>
                <w:kern w:val="0"/>
                <w:sz w:val="24"/>
                <w:szCs w:val="24"/>
                <w:highlight w:val="none"/>
                <w:lang w:val="en-US" w:eastAsia="zh-CN"/>
              </w:rPr>
              <w:fldChar w:fldCharType="end"/>
            </w:r>
            <w:r>
              <w:rPr>
                <w:rFonts w:hint="eastAsia" w:ascii="Times New Roman" w:hAnsi="Times New Roman" w:eastAsia="仿宋" w:cs="Times New Roman"/>
                <w:color w:val="auto"/>
                <w:kern w:val="0"/>
                <w:sz w:val="24"/>
                <w:szCs w:val="24"/>
                <w:highlight w:val="none"/>
                <w:lang w:val="en-US" w:eastAsia="zh-CN"/>
              </w:rPr>
              <w:t>在机械设备结构的连接处作减振处理，如采用弹性的连轴节，弹性垫或其它装置。</w:t>
            </w:r>
          </w:p>
          <w:p w14:paraId="71FB248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t>3、排放情况</w:t>
            </w:r>
          </w:p>
          <w:p w14:paraId="196D7D3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根据项目建设内容及《环境影响评价技术导则一声环境》</w:t>
            </w:r>
            <w:r>
              <w:rPr>
                <w:rFonts w:hint="eastAsia" w:ascii="Times New Roman" w:hAnsi="Times New Roman" w:eastAsia="仿宋" w:cs="Times New Roman"/>
                <w:color w:val="auto"/>
                <w:kern w:val="0"/>
                <w:sz w:val="24"/>
                <w:szCs w:val="24"/>
                <w:highlight w:val="none"/>
                <w:lang w:val="en-US" w:eastAsia="zh-CN"/>
              </w:rPr>
              <w:t>（</w:t>
            </w:r>
            <w:r>
              <w:rPr>
                <w:rFonts w:hint="default" w:ascii="Times New Roman" w:hAnsi="Times New Roman" w:eastAsia="仿宋" w:cs="Times New Roman"/>
                <w:color w:val="auto"/>
                <w:kern w:val="0"/>
                <w:sz w:val="24"/>
                <w:szCs w:val="24"/>
                <w:highlight w:val="none"/>
                <w:lang w:val="en-US" w:eastAsia="zh-CN"/>
              </w:rPr>
              <w:t>HJ2.4-2021</w:t>
            </w:r>
            <w:r>
              <w:rPr>
                <w:rFonts w:hint="eastAsia" w:ascii="Times New Roman" w:hAnsi="Times New Roman" w:eastAsia="仿宋" w:cs="Times New Roman"/>
                <w:color w:val="auto"/>
                <w:kern w:val="0"/>
                <w:sz w:val="24"/>
                <w:szCs w:val="24"/>
                <w:highlight w:val="none"/>
                <w:lang w:val="en-US" w:eastAsia="zh-CN"/>
              </w:rPr>
              <w:t>）</w:t>
            </w:r>
            <w:r>
              <w:rPr>
                <w:rFonts w:hint="default" w:ascii="Times New Roman" w:hAnsi="Times New Roman" w:eastAsia="仿宋" w:cs="Times New Roman"/>
                <w:color w:val="auto"/>
                <w:kern w:val="0"/>
                <w:sz w:val="24"/>
                <w:szCs w:val="24"/>
                <w:highlight w:val="none"/>
                <w:lang w:val="en-US" w:eastAsia="zh-CN"/>
              </w:rPr>
              <w:t>的要求，项目环评采用的模型为《环境影响评价技术导则声环境》(HJ2.4.2021)附录A</w:t>
            </w:r>
            <w:r>
              <w:rPr>
                <w:rFonts w:hint="eastAsia" w:ascii="Times New Roman" w:hAnsi="Times New Roman" w:eastAsia="仿宋" w:cs="Times New Roman"/>
                <w:color w:val="auto"/>
                <w:kern w:val="0"/>
                <w:sz w:val="24"/>
                <w:szCs w:val="24"/>
                <w:highlight w:val="none"/>
                <w:lang w:val="en-US" w:eastAsia="zh-CN"/>
              </w:rPr>
              <w:t>（</w:t>
            </w:r>
            <w:r>
              <w:rPr>
                <w:rFonts w:hint="default" w:ascii="Times New Roman" w:hAnsi="Times New Roman" w:eastAsia="仿宋" w:cs="Times New Roman"/>
                <w:color w:val="auto"/>
                <w:kern w:val="0"/>
                <w:sz w:val="24"/>
                <w:szCs w:val="24"/>
                <w:highlight w:val="none"/>
                <w:lang w:val="en-US" w:eastAsia="zh-CN"/>
              </w:rPr>
              <w:t>规范性附录</w:t>
            </w:r>
            <w:r>
              <w:rPr>
                <w:rFonts w:hint="eastAsia" w:ascii="Times New Roman" w:hAnsi="Times New Roman" w:eastAsia="仿宋" w:cs="Times New Roman"/>
                <w:color w:val="auto"/>
                <w:kern w:val="0"/>
                <w:sz w:val="24"/>
                <w:szCs w:val="24"/>
                <w:highlight w:val="none"/>
                <w:lang w:val="en-US" w:eastAsia="zh-CN"/>
              </w:rPr>
              <w:t>）</w:t>
            </w:r>
            <w:r>
              <w:rPr>
                <w:rFonts w:hint="default" w:ascii="Times New Roman" w:hAnsi="Times New Roman" w:eastAsia="仿宋" w:cs="Times New Roman"/>
                <w:color w:val="auto"/>
                <w:kern w:val="0"/>
                <w:sz w:val="24"/>
                <w:szCs w:val="24"/>
                <w:highlight w:val="none"/>
                <w:lang w:val="en-US" w:eastAsia="zh-CN"/>
              </w:rPr>
              <w:t>户外声传播的衰减和附录B</w:t>
            </w:r>
            <w:r>
              <w:rPr>
                <w:rFonts w:hint="eastAsia" w:ascii="Times New Roman" w:hAnsi="Times New Roman" w:eastAsia="仿宋" w:cs="Times New Roman"/>
                <w:color w:val="auto"/>
                <w:kern w:val="0"/>
                <w:sz w:val="24"/>
                <w:szCs w:val="24"/>
                <w:highlight w:val="none"/>
                <w:lang w:val="en-US" w:eastAsia="zh-CN"/>
              </w:rPr>
              <w:t>（</w:t>
            </w:r>
            <w:r>
              <w:rPr>
                <w:rFonts w:hint="default" w:ascii="Times New Roman" w:hAnsi="Times New Roman" w:eastAsia="仿宋" w:cs="Times New Roman"/>
                <w:color w:val="auto"/>
                <w:kern w:val="0"/>
                <w:sz w:val="24"/>
                <w:szCs w:val="24"/>
                <w:highlight w:val="none"/>
                <w:lang w:val="en-US" w:eastAsia="zh-CN"/>
              </w:rPr>
              <w:t>规范性附录</w:t>
            </w:r>
            <w:r>
              <w:rPr>
                <w:rFonts w:hint="eastAsia" w:ascii="Times New Roman" w:hAnsi="Times New Roman" w:eastAsia="仿宋" w:cs="Times New Roman"/>
                <w:color w:val="auto"/>
                <w:kern w:val="0"/>
                <w:sz w:val="24"/>
                <w:szCs w:val="24"/>
                <w:highlight w:val="none"/>
                <w:lang w:val="en-US" w:eastAsia="zh-CN"/>
              </w:rPr>
              <w:t>）</w:t>
            </w:r>
            <w:r>
              <w:rPr>
                <w:rFonts w:hint="default" w:ascii="Times New Roman" w:hAnsi="Times New Roman" w:eastAsia="仿宋" w:cs="Times New Roman"/>
                <w:color w:val="auto"/>
                <w:kern w:val="0"/>
                <w:sz w:val="24"/>
                <w:szCs w:val="24"/>
                <w:highlight w:val="none"/>
                <w:lang w:val="en-US" w:eastAsia="zh-CN"/>
              </w:rPr>
              <w:t>中</w:t>
            </w:r>
            <w:r>
              <w:rPr>
                <w:rFonts w:hint="eastAsia" w:ascii="Times New Roman" w:hAnsi="Times New Roman" w:eastAsia="仿宋" w:cs="Times New Roman"/>
                <w:color w:val="auto"/>
                <w:kern w:val="0"/>
                <w:sz w:val="24"/>
                <w:szCs w:val="24"/>
                <w:highlight w:val="none"/>
                <w:lang w:val="en-US" w:eastAsia="zh-CN"/>
              </w:rPr>
              <w:t>“</w:t>
            </w:r>
            <w:r>
              <w:rPr>
                <w:rFonts w:hint="default" w:ascii="Times New Roman" w:hAnsi="Times New Roman" w:eastAsia="仿宋" w:cs="Times New Roman"/>
                <w:color w:val="auto"/>
                <w:kern w:val="0"/>
                <w:sz w:val="24"/>
                <w:szCs w:val="24"/>
                <w:highlight w:val="none"/>
                <w:lang w:val="en-US" w:eastAsia="zh-CN"/>
              </w:rPr>
              <w:t>B.1.5工业企业噪声计算</w:t>
            </w:r>
            <w:r>
              <w:rPr>
                <w:rFonts w:hint="eastAsia" w:ascii="Times New Roman" w:hAnsi="Times New Roman" w:eastAsia="仿宋" w:cs="Times New Roman"/>
                <w:color w:val="auto"/>
                <w:kern w:val="0"/>
                <w:sz w:val="24"/>
                <w:szCs w:val="24"/>
                <w:highlight w:val="none"/>
                <w:lang w:val="en-US" w:eastAsia="zh-CN"/>
              </w:rPr>
              <w:t>”</w:t>
            </w:r>
            <w:r>
              <w:rPr>
                <w:rFonts w:hint="default" w:ascii="Times New Roman" w:hAnsi="Times New Roman" w:eastAsia="仿宋" w:cs="Times New Roman"/>
                <w:color w:val="auto"/>
                <w:kern w:val="0"/>
                <w:sz w:val="24"/>
                <w:szCs w:val="24"/>
                <w:highlight w:val="none"/>
                <w:lang w:val="en-US" w:eastAsia="zh-CN"/>
              </w:rPr>
              <w:t>。室外点声源在预测点的倍频带声压级计算如下</w:t>
            </w:r>
            <w:r>
              <w:rPr>
                <w:rFonts w:hint="eastAsia" w:ascii="Times New Roman" w:hAnsi="Times New Roman" w:eastAsia="仿宋" w:cs="Times New Roman"/>
                <w:color w:val="auto"/>
                <w:kern w:val="0"/>
                <w:sz w:val="24"/>
                <w:szCs w:val="24"/>
                <w:highlight w:val="none"/>
                <w:lang w:val="en-US" w:eastAsia="zh-CN"/>
              </w:rPr>
              <w:t>：</w:t>
            </w:r>
          </w:p>
          <w:p w14:paraId="5DB231B6">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rPr>
              <w:t>①根据声源声功率级或参考位置处的声压级、户外声传播衰减，计算预测点的声级。</w:t>
            </w:r>
          </w:p>
          <w:p w14:paraId="1326E8D1">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rPr>
              <w:t>L</w:t>
            </w:r>
            <w:r>
              <w:rPr>
                <w:rFonts w:hint="default" w:ascii="Times New Roman" w:hAnsi="Times New Roman" w:eastAsia="仿宋" w:cs="Times New Roman"/>
                <w:sz w:val="24"/>
                <w:lang w:val="en-US" w:eastAsia="zh-CN"/>
              </w:rPr>
              <w:t>p</w:t>
            </w:r>
            <w:r>
              <w:rPr>
                <w:rFonts w:hint="default" w:ascii="Times New Roman" w:hAnsi="Times New Roman" w:eastAsia="仿宋" w:cs="Times New Roman"/>
                <w:sz w:val="24"/>
              </w:rPr>
              <w:t>(</w:t>
            </w:r>
            <w:r>
              <w:rPr>
                <w:rFonts w:hint="default" w:ascii="Times New Roman" w:hAnsi="Times New Roman" w:eastAsia="仿宋" w:cs="Times New Roman"/>
                <w:sz w:val="24"/>
                <w:lang w:val="en-US" w:eastAsia="zh-CN"/>
              </w:rPr>
              <w:t>r</w:t>
            </w:r>
            <w:r>
              <w:rPr>
                <w:rFonts w:hint="default" w:ascii="Times New Roman" w:hAnsi="Times New Roman" w:eastAsia="仿宋" w:cs="Times New Roman"/>
                <w:sz w:val="24"/>
              </w:rPr>
              <w:t>)=L</w:t>
            </w:r>
            <w:r>
              <w:rPr>
                <w:rFonts w:hint="default" w:ascii="Times New Roman" w:hAnsi="Times New Roman" w:eastAsia="仿宋" w:cs="Times New Roman"/>
                <w:sz w:val="24"/>
                <w:lang w:val="en-US" w:eastAsia="zh-CN"/>
              </w:rPr>
              <w:t>w</w:t>
            </w:r>
            <w:r>
              <w:rPr>
                <w:rFonts w:hint="default" w:ascii="Times New Roman" w:hAnsi="Times New Roman" w:eastAsia="仿宋" w:cs="Times New Roman"/>
                <w:sz w:val="24"/>
              </w:rPr>
              <w:t>+D</w:t>
            </w:r>
            <w:r>
              <w:rPr>
                <w:rFonts w:hint="default" w:ascii="Times New Roman" w:hAnsi="Times New Roman" w:eastAsia="仿宋" w:cs="Times New Roman"/>
                <w:sz w:val="24"/>
                <w:lang w:val="en-US" w:eastAsia="zh-CN"/>
              </w:rPr>
              <w:t>c</w:t>
            </w:r>
            <w:r>
              <w:rPr>
                <w:rFonts w:hint="default" w:ascii="Times New Roman" w:hAnsi="Times New Roman" w:eastAsia="仿宋" w:cs="Times New Roman"/>
                <w:sz w:val="24"/>
              </w:rPr>
              <w:t>-A</w:t>
            </w:r>
          </w:p>
          <w:p w14:paraId="1F65BCFF">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val="en-US" w:eastAsia="zh-CN"/>
              </w:rPr>
            </w:pPr>
            <w:r>
              <w:rPr>
                <w:rFonts w:hint="default" w:ascii="Times New Roman" w:hAnsi="Times New Roman" w:eastAsia="仿宋" w:cs="Times New Roman"/>
                <w:sz w:val="24"/>
              </w:rPr>
              <w:t>A=A</w:t>
            </w:r>
            <w:r>
              <w:rPr>
                <w:rFonts w:hint="eastAsia" w:ascii="Times New Roman" w:hAnsi="Times New Roman" w:eastAsia="仿宋" w:cs="Times New Roman"/>
                <w:sz w:val="24"/>
                <w:lang w:val="en-US" w:eastAsia="zh-CN"/>
              </w:rPr>
              <w:t>div</w:t>
            </w:r>
            <w:r>
              <w:rPr>
                <w:rFonts w:hint="default" w:ascii="Times New Roman" w:hAnsi="Times New Roman" w:eastAsia="仿宋" w:cs="Times New Roman"/>
                <w:sz w:val="24"/>
              </w:rPr>
              <w:t>+Aa</w:t>
            </w:r>
            <w:r>
              <w:rPr>
                <w:rFonts w:hint="eastAsia" w:ascii="Times New Roman" w:hAnsi="Times New Roman" w:eastAsia="仿宋" w:cs="Times New Roman"/>
                <w:sz w:val="24"/>
                <w:lang w:val="en-US" w:eastAsia="zh-CN"/>
              </w:rPr>
              <w:t>t</w:t>
            </w:r>
            <w:r>
              <w:rPr>
                <w:rFonts w:hint="default" w:ascii="Times New Roman" w:hAnsi="Times New Roman" w:eastAsia="仿宋" w:cs="Times New Roman"/>
                <w:sz w:val="24"/>
              </w:rPr>
              <w:t>m+Ag</w:t>
            </w:r>
            <w:r>
              <w:rPr>
                <w:rFonts w:hint="eastAsia" w:ascii="Times New Roman" w:hAnsi="Times New Roman" w:eastAsia="仿宋" w:cs="Times New Roman"/>
                <w:sz w:val="24"/>
                <w:lang w:val="en-US" w:eastAsia="zh-CN"/>
              </w:rPr>
              <w:t>r</w:t>
            </w:r>
            <w:r>
              <w:rPr>
                <w:rFonts w:hint="default" w:ascii="Times New Roman" w:hAnsi="Times New Roman" w:eastAsia="仿宋" w:cs="Times New Roman"/>
                <w:sz w:val="24"/>
              </w:rPr>
              <w:t>+Abar+Ami</w:t>
            </w:r>
            <w:r>
              <w:rPr>
                <w:rFonts w:hint="eastAsia" w:ascii="Times New Roman" w:hAnsi="Times New Roman" w:eastAsia="仿宋" w:cs="Times New Roman"/>
                <w:sz w:val="24"/>
                <w:lang w:val="en-US" w:eastAsia="zh-CN"/>
              </w:rPr>
              <w:t>sc</w:t>
            </w:r>
          </w:p>
          <w:p w14:paraId="68D89609">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rPr>
              <w:t>式中</w:t>
            </w:r>
            <w:r>
              <w:rPr>
                <w:rFonts w:hint="eastAsia" w:ascii="Times New Roman" w:hAnsi="Times New Roman" w:eastAsia="仿宋" w:cs="Times New Roman"/>
                <w:sz w:val="24"/>
                <w:lang w:eastAsia="zh-CN"/>
              </w:rPr>
              <w:t>：</w:t>
            </w:r>
            <w:r>
              <w:rPr>
                <w:rFonts w:hint="default" w:ascii="Times New Roman" w:hAnsi="Times New Roman" w:eastAsia="仿宋" w:cs="Times New Roman"/>
                <w:sz w:val="24"/>
              </w:rPr>
              <w:t>Lp</w:t>
            </w:r>
            <w:r>
              <w:rPr>
                <w:rFonts w:hint="eastAsia" w:ascii="Times New Roman" w:hAnsi="Times New Roman" w:eastAsia="仿宋" w:cs="Times New Roman"/>
                <w:sz w:val="24"/>
                <w:lang w:val="en-US" w:eastAsia="zh-CN"/>
              </w:rPr>
              <w:t>(r</w:t>
            </w:r>
            <w:r>
              <w:rPr>
                <w:rFonts w:hint="default" w:ascii="Times New Roman" w:hAnsi="Times New Roman" w:eastAsia="仿宋" w:cs="Times New Roman"/>
                <w:sz w:val="24"/>
              </w:rPr>
              <w:t>)</w:t>
            </w:r>
            <w:r>
              <w:rPr>
                <w:rFonts w:hint="eastAsia" w:ascii="Times New Roman" w:hAnsi="Times New Roman" w:eastAsia="仿宋" w:cs="Times New Roman"/>
                <w:sz w:val="24"/>
                <w:lang w:eastAsia="zh-CN"/>
              </w:rPr>
              <w:t>——</w:t>
            </w:r>
            <w:r>
              <w:rPr>
                <w:rFonts w:hint="default" w:ascii="Times New Roman" w:hAnsi="Times New Roman" w:eastAsia="仿宋" w:cs="Times New Roman"/>
                <w:sz w:val="24"/>
              </w:rPr>
              <w:t>点声源在预测点产生的倍频带声压级，dB:</w:t>
            </w:r>
          </w:p>
          <w:p w14:paraId="7E154845">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仿宋" w:cs="Times New Roman"/>
                <w:sz w:val="24"/>
                <w:lang w:eastAsia="zh-CN"/>
              </w:rPr>
            </w:pPr>
            <w:r>
              <w:rPr>
                <w:rFonts w:hint="default" w:ascii="Times New Roman" w:hAnsi="Times New Roman" w:eastAsia="仿宋" w:cs="Times New Roman"/>
                <w:sz w:val="24"/>
              </w:rPr>
              <w:t>Lw</w:t>
            </w:r>
            <w:r>
              <w:rPr>
                <w:rFonts w:hint="eastAsia" w:ascii="Times New Roman" w:hAnsi="Times New Roman" w:eastAsia="仿宋" w:cs="Times New Roman"/>
                <w:sz w:val="24"/>
                <w:lang w:eastAsia="zh-CN"/>
              </w:rPr>
              <w:t>——</w:t>
            </w:r>
            <w:r>
              <w:rPr>
                <w:rFonts w:hint="default" w:ascii="Times New Roman" w:hAnsi="Times New Roman" w:eastAsia="仿宋" w:cs="Times New Roman"/>
                <w:sz w:val="24"/>
              </w:rPr>
              <w:t>倍频带声功率级，dB</w:t>
            </w:r>
            <w:r>
              <w:rPr>
                <w:rFonts w:hint="eastAsia" w:ascii="Times New Roman" w:hAnsi="Times New Roman" w:eastAsia="仿宋" w:cs="Times New Roman"/>
                <w:sz w:val="24"/>
                <w:lang w:eastAsia="zh-CN"/>
              </w:rPr>
              <w:t>；</w:t>
            </w:r>
          </w:p>
          <w:p w14:paraId="1CF6E647">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仿宋" w:cs="Times New Roman"/>
                <w:sz w:val="24"/>
                <w:lang w:eastAsia="zh-CN"/>
              </w:rPr>
            </w:pPr>
            <w:r>
              <w:rPr>
                <w:rFonts w:hint="default" w:ascii="Times New Roman" w:hAnsi="Times New Roman" w:eastAsia="仿宋" w:cs="Times New Roman"/>
                <w:sz w:val="24"/>
              </w:rPr>
              <w:t>D</w:t>
            </w:r>
            <w:r>
              <w:rPr>
                <w:rFonts w:hint="eastAsia" w:ascii="Times New Roman" w:hAnsi="Times New Roman" w:eastAsia="仿宋" w:cs="Times New Roman"/>
                <w:sz w:val="24"/>
                <w:lang w:val="en-US" w:eastAsia="zh-CN"/>
              </w:rPr>
              <w:t>c——</w:t>
            </w:r>
            <w:r>
              <w:rPr>
                <w:rFonts w:hint="default" w:ascii="Times New Roman" w:hAnsi="Times New Roman" w:eastAsia="仿宋" w:cs="Times New Roman"/>
                <w:sz w:val="24"/>
              </w:rPr>
              <w:t>指向性校正，dB</w:t>
            </w:r>
            <w:r>
              <w:rPr>
                <w:rFonts w:hint="eastAsia" w:ascii="Times New Roman" w:hAnsi="Times New Roman" w:eastAsia="仿宋" w:cs="Times New Roman"/>
                <w:sz w:val="24"/>
                <w:lang w:eastAsia="zh-CN"/>
              </w:rPr>
              <w:t>；</w:t>
            </w:r>
          </w:p>
          <w:p w14:paraId="603EF0ED">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仿宋" w:cs="Times New Roman"/>
                <w:sz w:val="24"/>
                <w:lang w:eastAsia="zh-CN"/>
              </w:rPr>
            </w:pPr>
            <w:r>
              <w:rPr>
                <w:rFonts w:hint="default" w:ascii="Times New Roman" w:hAnsi="Times New Roman" w:eastAsia="仿宋" w:cs="Times New Roman"/>
                <w:sz w:val="24"/>
              </w:rPr>
              <w:t>A</w:t>
            </w:r>
            <w:r>
              <w:rPr>
                <w:rFonts w:hint="eastAsia" w:ascii="Times New Roman" w:hAnsi="Times New Roman" w:eastAsia="仿宋" w:cs="Times New Roman"/>
                <w:sz w:val="24"/>
                <w:lang w:eastAsia="zh-CN"/>
              </w:rPr>
              <w:t>——</w:t>
            </w:r>
            <w:r>
              <w:rPr>
                <w:rFonts w:hint="default" w:ascii="Times New Roman" w:hAnsi="Times New Roman" w:eastAsia="仿宋" w:cs="Times New Roman"/>
                <w:sz w:val="24"/>
              </w:rPr>
              <w:t>倍频带衰减，dB</w:t>
            </w:r>
            <w:r>
              <w:rPr>
                <w:rFonts w:hint="eastAsia" w:ascii="Times New Roman" w:hAnsi="Times New Roman" w:eastAsia="仿宋" w:cs="Times New Roman"/>
                <w:sz w:val="24"/>
                <w:lang w:eastAsia="zh-CN"/>
              </w:rPr>
              <w:t>；</w:t>
            </w:r>
          </w:p>
          <w:p w14:paraId="56336F91">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仿宋" w:cs="Times New Roman"/>
                <w:sz w:val="24"/>
                <w:lang w:eastAsia="zh-CN"/>
              </w:rPr>
            </w:pPr>
            <w:r>
              <w:rPr>
                <w:rFonts w:hint="default" w:ascii="Times New Roman" w:hAnsi="Times New Roman" w:eastAsia="仿宋" w:cs="Times New Roman"/>
                <w:sz w:val="24"/>
              </w:rPr>
              <w:t>Adiv</w:t>
            </w:r>
            <w:r>
              <w:rPr>
                <w:rFonts w:hint="eastAsia" w:ascii="Times New Roman" w:hAnsi="Times New Roman" w:eastAsia="仿宋" w:cs="Times New Roman"/>
                <w:sz w:val="24"/>
                <w:lang w:eastAsia="zh-CN"/>
              </w:rPr>
              <w:t>——</w:t>
            </w:r>
            <w:r>
              <w:rPr>
                <w:rFonts w:hint="default" w:ascii="Times New Roman" w:hAnsi="Times New Roman" w:eastAsia="仿宋" w:cs="Times New Roman"/>
                <w:sz w:val="24"/>
              </w:rPr>
              <w:t>几何发散引起的倍频带衰减，dB</w:t>
            </w:r>
            <w:r>
              <w:rPr>
                <w:rFonts w:hint="eastAsia" w:ascii="Times New Roman" w:hAnsi="Times New Roman" w:eastAsia="仿宋" w:cs="Times New Roman"/>
                <w:sz w:val="24"/>
                <w:lang w:eastAsia="zh-CN"/>
              </w:rPr>
              <w:t>；</w:t>
            </w:r>
          </w:p>
          <w:p w14:paraId="1FDED72C">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仿宋" w:cs="Times New Roman"/>
                <w:sz w:val="24"/>
                <w:lang w:eastAsia="zh-CN"/>
              </w:rPr>
            </w:pPr>
            <w:r>
              <w:rPr>
                <w:rFonts w:hint="default" w:ascii="Times New Roman" w:hAnsi="Times New Roman" w:eastAsia="仿宋" w:cs="Times New Roman"/>
                <w:sz w:val="24"/>
              </w:rPr>
              <w:t>Aatm</w:t>
            </w:r>
            <w:r>
              <w:rPr>
                <w:rFonts w:hint="eastAsia" w:ascii="Times New Roman" w:hAnsi="Times New Roman" w:eastAsia="仿宋" w:cs="Times New Roman"/>
                <w:sz w:val="24"/>
                <w:lang w:eastAsia="zh-CN"/>
              </w:rPr>
              <w:t>——</w:t>
            </w:r>
            <w:r>
              <w:rPr>
                <w:rFonts w:hint="default" w:ascii="Times New Roman" w:hAnsi="Times New Roman" w:eastAsia="仿宋" w:cs="Times New Roman"/>
                <w:sz w:val="24"/>
              </w:rPr>
              <w:t>大气吸收引起的倍频带衰减，dB</w:t>
            </w:r>
            <w:r>
              <w:rPr>
                <w:rFonts w:hint="eastAsia" w:ascii="Times New Roman" w:hAnsi="Times New Roman" w:eastAsia="仿宋" w:cs="Times New Roman"/>
                <w:sz w:val="24"/>
                <w:lang w:eastAsia="zh-CN"/>
              </w:rPr>
              <w:t>；</w:t>
            </w:r>
          </w:p>
          <w:p w14:paraId="1E7095DA">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仿宋" w:cs="Times New Roman"/>
                <w:sz w:val="24"/>
                <w:lang w:eastAsia="zh-CN"/>
              </w:rPr>
            </w:pPr>
            <w:r>
              <w:rPr>
                <w:rFonts w:hint="default" w:ascii="Times New Roman" w:hAnsi="Times New Roman" w:eastAsia="仿宋" w:cs="Times New Roman"/>
                <w:sz w:val="24"/>
              </w:rPr>
              <w:t>Agr</w:t>
            </w:r>
            <w:r>
              <w:rPr>
                <w:rFonts w:hint="eastAsia" w:ascii="Times New Roman" w:hAnsi="Times New Roman" w:eastAsia="仿宋" w:cs="Times New Roman"/>
                <w:sz w:val="24"/>
                <w:lang w:eastAsia="zh-CN"/>
              </w:rPr>
              <w:t>——</w:t>
            </w:r>
            <w:r>
              <w:rPr>
                <w:rFonts w:hint="default" w:ascii="Times New Roman" w:hAnsi="Times New Roman" w:eastAsia="仿宋" w:cs="Times New Roman"/>
                <w:sz w:val="24"/>
              </w:rPr>
              <w:t>地面效应引起的倍频带衰减，dB</w:t>
            </w:r>
            <w:r>
              <w:rPr>
                <w:rFonts w:hint="eastAsia" w:ascii="Times New Roman" w:hAnsi="Times New Roman" w:eastAsia="仿宋" w:cs="Times New Roman"/>
                <w:sz w:val="24"/>
                <w:lang w:eastAsia="zh-CN"/>
              </w:rPr>
              <w:t>；</w:t>
            </w:r>
          </w:p>
          <w:p w14:paraId="0F8611E3">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仿宋" w:cs="Times New Roman"/>
                <w:sz w:val="24"/>
                <w:lang w:eastAsia="zh-CN"/>
              </w:rPr>
            </w:pPr>
            <w:r>
              <w:rPr>
                <w:rFonts w:hint="default" w:ascii="Times New Roman" w:hAnsi="Times New Roman" w:eastAsia="仿宋" w:cs="Times New Roman"/>
                <w:sz w:val="24"/>
              </w:rPr>
              <w:t>Abar</w:t>
            </w:r>
            <w:r>
              <w:rPr>
                <w:rFonts w:hint="eastAsia" w:ascii="Times New Roman" w:hAnsi="Times New Roman" w:eastAsia="仿宋" w:cs="Times New Roman"/>
                <w:sz w:val="24"/>
                <w:lang w:eastAsia="zh-CN"/>
              </w:rPr>
              <w:t>——</w:t>
            </w:r>
            <w:r>
              <w:rPr>
                <w:rFonts w:hint="default" w:ascii="Times New Roman" w:hAnsi="Times New Roman" w:eastAsia="仿宋" w:cs="Times New Roman"/>
                <w:sz w:val="24"/>
              </w:rPr>
              <w:t>声屏障引起的倍频带衰减，dB</w:t>
            </w:r>
            <w:r>
              <w:rPr>
                <w:rFonts w:hint="eastAsia" w:ascii="Times New Roman" w:hAnsi="Times New Roman" w:eastAsia="仿宋" w:cs="Times New Roman"/>
                <w:sz w:val="24"/>
                <w:lang w:eastAsia="zh-CN"/>
              </w:rPr>
              <w:t>；</w:t>
            </w:r>
          </w:p>
          <w:p w14:paraId="54FC6948">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rPr>
              <w:t>Amis</w:t>
            </w:r>
            <w:r>
              <w:rPr>
                <w:rFonts w:hint="eastAsia" w:ascii="Times New Roman" w:hAnsi="Times New Roman" w:eastAsia="仿宋" w:cs="Times New Roman"/>
                <w:sz w:val="24"/>
                <w:lang w:val="en-US" w:eastAsia="zh-CN"/>
              </w:rPr>
              <w:t>c</w:t>
            </w:r>
            <w:r>
              <w:rPr>
                <w:rFonts w:hint="eastAsia" w:ascii="Times New Roman" w:hAnsi="Times New Roman" w:eastAsia="仿宋" w:cs="Times New Roman"/>
                <w:sz w:val="24"/>
                <w:lang w:eastAsia="zh-CN"/>
              </w:rPr>
              <w:t>——</w:t>
            </w:r>
            <w:r>
              <w:rPr>
                <w:rFonts w:hint="default" w:ascii="Times New Roman" w:hAnsi="Times New Roman" w:eastAsia="仿宋" w:cs="Times New Roman"/>
                <w:sz w:val="24"/>
              </w:rPr>
              <w:t>其他多方面效应引起的倍频带衰减，dB。</w:t>
            </w:r>
          </w:p>
          <w:p w14:paraId="61551E59">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rPr>
              <w:t>其中</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a</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几何发散衰减</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Adiv=20lg(r/r</w:t>
            </w:r>
            <w:r>
              <w:rPr>
                <w:rFonts w:hint="default" w:ascii="Times New Roman" w:hAnsi="Times New Roman" w:eastAsia="仿宋" w:cs="Times New Roman"/>
                <w:sz w:val="24"/>
                <w:lang w:val="en-US" w:eastAsia="zh-CN"/>
              </w:rPr>
              <w:t>0</w:t>
            </w:r>
            <w:r>
              <w:rPr>
                <w:rFonts w:hint="default" w:ascii="Times New Roman" w:hAnsi="Times New Roman" w:eastAsia="仿宋" w:cs="Times New Roman"/>
                <w:sz w:val="24"/>
              </w:rPr>
              <w:t>)</w:t>
            </w:r>
          </w:p>
          <w:p w14:paraId="4994E361">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b</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空气吸收引起的衰减</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A</w:t>
            </w:r>
            <w:r>
              <w:rPr>
                <w:rFonts w:hint="default" w:ascii="Times New Roman" w:hAnsi="Times New Roman" w:eastAsia="仿宋" w:cs="Times New Roman"/>
                <w:sz w:val="24"/>
                <w:lang w:val="en-US" w:eastAsia="zh-CN"/>
              </w:rPr>
              <w:t>at</w:t>
            </w:r>
            <w:r>
              <w:rPr>
                <w:rFonts w:hint="default" w:ascii="Times New Roman" w:hAnsi="Times New Roman" w:eastAsia="仿宋" w:cs="Times New Roman"/>
                <w:sz w:val="24"/>
              </w:rPr>
              <w:t>m=a(r-r</w:t>
            </w:r>
            <w:r>
              <w:rPr>
                <w:rFonts w:hint="default" w:ascii="Times New Roman" w:hAnsi="Times New Roman" w:eastAsia="仿宋" w:cs="Times New Roman"/>
                <w:sz w:val="24"/>
                <w:lang w:val="en-US" w:eastAsia="zh-CN"/>
              </w:rPr>
              <w:t>0</w:t>
            </w:r>
            <w:r>
              <w:rPr>
                <w:rFonts w:hint="default" w:ascii="Times New Roman" w:hAnsi="Times New Roman" w:eastAsia="仿宋" w:cs="Times New Roman"/>
                <w:sz w:val="24"/>
              </w:rPr>
              <w:t>)</w:t>
            </w:r>
            <w:r>
              <w:rPr>
                <w:rFonts w:hint="default" w:ascii="Times New Roman" w:hAnsi="Times New Roman" w:eastAsia="仿宋" w:cs="Times New Roman"/>
                <w:sz w:val="24"/>
                <w:lang w:val="en-US" w:eastAsia="zh-CN"/>
              </w:rPr>
              <w:t>/</w:t>
            </w:r>
            <w:r>
              <w:rPr>
                <w:rFonts w:hint="default" w:ascii="Times New Roman" w:hAnsi="Times New Roman" w:eastAsia="仿宋" w:cs="Times New Roman"/>
                <w:sz w:val="24"/>
              </w:rPr>
              <w:t>1000</w:t>
            </w:r>
          </w:p>
          <w:p w14:paraId="387F80F0">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rPr>
              <w:t>式中</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a</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温度、湿度和声波频率的函数，预测计算中一般根据建设项目所处区域常年平均气温和湿度选择相应的空气吸收系数。</w:t>
            </w:r>
          </w:p>
          <w:p w14:paraId="5250E9D5">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仿宋" w:cs="Times New Roman"/>
                <w:sz w:val="24"/>
                <w:lang w:eastAsia="zh-CN"/>
              </w:rPr>
            </w:pPr>
            <w:r>
              <w:rPr>
                <w:rFonts w:hint="default" w:ascii="Times New Roman" w:hAnsi="Times New Roman" w:eastAsia="仿宋" w:cs="Times New Roman"/>
                <w:sz w:val="24"/>
                <w:lang w:val="en-US" w:eastAsia="zh-CN"/>
              </w:rPr>
              <w:t>c</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地面效应衰减</w:t>
            </w:r>
          </w:p>
          <w:p w14:paraId="74F62299">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rPr>
            </w:pPr>
            <m:oMathPara>
              <m:oMath>
                <m:sSub>
                  <m:sSubPr>
                    <m:ctrlPr>
                      <w:rPr>
                        <w:rFonts w:hint="default" w:ascii="Cambria Math" w:hAnsi="Cambria Math" w:eastAsia="仿宋" w:cs="Times New Roman"/>
                        <w:sz w:val="24"/>
                        <w:lang w:val="en-US" w:eastAsia="zh-CN"/>
                      </w:rPr>
                    </m:ctrlPr>
                  </m:sSubPr>
                  <m:e>
                    <m:r>
                      <m:rPr>
                        <m:sty m:val="p"/>
                      </m:rPr>
                      <w:rPr>
                        <w:rFonts w:hint="default" w:ascii="Cambria Math" w:hAnsi="Cambria Math" w:eastAsia="仿宋" w:cs="Times New Roman"/>
                        <w:sz w:val="24"/>
                        <w:lang w:val="en-US" w:eastAsia="zh-CN"/>
                      </w:rPr>
                      <m:t>A</m:t>
                    </m:r>
                    <m:ctrlPr>
                      <w:rPr>
                        <w:rFonts w:hint="default" w:ascii="Cambria Math" w:hAnsi="Cambria Math" w:eastAsia="仿宋" w:cs="Times New Roman"/>
                        <w:sz w:val="24"/>
                        <w:lang w:val="en-US" w:eastAsia="zh-CN"/>
                      </w:rPr>
                    </m:ctrlPr>
                  </m:e>
                  <m:sub>
                    <m:r>
                      <m:rPr>
                        <m:sty m:val="p"/>
                      </m:rPr>
                      <w:rPr>
                        <w:rFonts w:hint="default" w:ascii="Cambria Math" w:hAnsi="Cambria Math" w:eastAsia="仿宋" w:cs="Times New Roman"/>
                        <w:sz w:val="24"/>
                        <w:lang w:val="en-US" w:eastAsia="zh-CN"/>
                      </w:rPr>
                      <m:t>gr</m:t>
                    </m:r>
                    <m:ctrlPr>
                      <w:rPr>
                        <w:rFonts w:hint="default" w:ascii="Cambria Math" w:hAnsi="Cambria Math" w:eastAsia="仿宋" w:cs="Times New Roman"/>
                        <w:sz w:val="24"/>
                        <w:lang w:val="en-US" w:eastAsia="zh-CN"/>
                      </w:rPr>
                    </m:ctrlPr>
                  </m:sub>
                </m:sSub>
                <m:r>
                  <m:rPr>
                    <m:sty m:val="p"/>
                  </m:rPr>
                  <w:rPr>
                    <w:rFonts w:hint="default" w:ascii="Cambria Math" w:hAnsi="Cambria Math" w:eastAsia="仿宋" w:cs="Times New Roman"/>
                    <w:sz w:val="24"/>
                  </w:rPr>
                  <m:t>=</m:t>
                </m:r>
                <m:r>
                  <m:rPr>
                    <m:sty m:val="p"/>
                  </m:rPr>
                  <w:rPr>
                    <w:rFonts w:hint="default" w:ascii="Cambria Math" w:hAnsi="Cambria Math" w:eastAsia="仿宋" w:cs="Times New Roman"/>
                    <w:sz w:val="24"/>
                    <w:lang w:val="en-US" w:eastAsia="zh-CN"/>
                  </w:rPr>
                  <m:t>4.8−(</m:t>
                </m:r>
                <m:f>
                  <m:fPr>
                    <m:ctrlPr>
                      <w:rPr>
                        <w:rFonts w:hint="default" w:ascii="Cambria Math" w:hAnsi="Cambria Math" w:eastAsia="仿宋" w:cs="Times New Roman"/>
                        <w:sz w:val="24"/>
                        <w:lang w:val="en-US" w:eastAsia="zh-CN"/>
                      </w:rPr>
                    </m:ctrlPr>
                  </m:fPr>
                  <m:num>
                    <m:sSub>
                      <m:sSubPr>
                        <m:ctrlPr>
                          <w:rPr>
                            <w:rFonts w:hint="default" w:ascii="Cambria Math" w:hAnsi="Cambria Math" w:eastAsia="仿宋" w:cs="Times New Roman"/>
                            <w:sz w:val="24"/>
                            <w:lang w:val="en-US" w:eastAsia="zh-CN"/>
                          </w:rPr>
                        </m:ctrlPr>
                      </m:sSubPr>
                      <m:e>
                        <m:r>
                          <m:rPr>
                            <m:sty m:val="p"/>
                          </m:rPr>
                          <w:rPr>
                            <w:rFonts w:hint="default" w:ascii="Cambria Math" w:hAnsi="Cambria Math" w:eastAsia="仿宋" w:cs="Times New Roman"/>
                            <w:sz w:val="24"/>
                            <w:lang w:val="en-US" w:eastAsia="zh-CN"/>
                          </w:rPr>
                          <m:t>2ℎ</m:t>
                        </m:r>
                        <m:ctrlPr>
                          <w:rPr>
                            <w:rFonts w:hint="default" w:ascii="Cambria Math" w:hAnsi="Cambria Math" w:eastAsia="仿宋" w:cs="Times New Roman"/>
                            <w:sz w:val="24"/>
                            <w:lang w:val="en-US" w:eastAsia="zh-CN"/>
                          </w:rPr>
                        </m:ctrlPr>
                      </m:e>
                      <m:sub>
                        <m:r>
                          <m:rPr>
                            <m:sty m:val="p"/>
                          </m:rPr>
                          <w:rPr>
                            <w:rFonts w:hint="default" w:ascii="Cambria Math" w:hAnsi="Cambria Math" w:eastAsia="仿宋" w:cs="Times New Roman"/>
                            <w:sz w:val="24"/>
                            <w:lang w:val="en-US" w:eastAsia="zh-CN"/>
                          </w:rPr>
                          <m:t>m</m:t>
                        </m:r>
                        <m:ctrlPr>
                          <w:rPr>
                            <w:rFonts w:hint="default" w:ascii="Cambria Math" w:hAnsi="Cambria Math" w:eastAsia="仿宋" w:cs="Times New Roman"/>
                            <w:sz w:val="24"/>
                            <w:lang w:val="en-US" w:eastAsia="zh-CN"/>
                          </w:rPr>
                        </m:ctrlPr>
                      </m:sub>
                    </m:sSub>
                    <m:ctrlPr>
                      <w:rPr>
                        <w:rFonts w:hint="default" w:ascii="Cambria Math" w:hAnsi="Cambria Math" w:eastAsia="仿宋" w:cs="Times New Roman"/>
                        <w:sz w:val="24"/>
                        <w:lang w:val="en-US" w:eastAsia="zh-CN"/>
                      </w:rPr>
                    </m:ctrlPr>
                  </m:num>
                  <m:den>
                    <m:r>
                      <m:rPr>
                        <m:sty m:val="p"/>
                      </m:rPr>
                      <w:rPr>
                        <w:rFonts w:hint="default" w:ascii="Cambria Math" w:hAnsi="Cambria Math" w:eastAsia="仿宋" w:cs="Times New Roman"/>
                        <w:sz w:val="24"/>
                        <w:lang w:val="en-US" w:eastAsia="zh-CN"/>
                      </w:rPr>
                      <m:t>r</m:t>
                    </m:r>
                    <m:ctrlPr>
                      <w:rPr>
                        <w:rFonts w:hint="default" w:ascii="Cambria Math" w:hAnsi="Cambria Math" w:eastAsia="仿宋" w:cs="Times New Roman"/>
                        <w:sz w:val="24"/>
                        <w:lang w:val="en-US" w:eastAsia="zh-CN"/>
                      </w:rPr>
                    </m:ctrlPr>
                  </m:den>
                </m:f>
                <m:r>
                  <m:rPr>
                    <m:sty m:val="p"/>
                  </m:rPr>
                  <w:rPr>
                    <w:rFonts w:hint="default" w:ascii="Cambria Math" w:hAnsi="Cambria Math" w:eastAsia="仿宋" w:cs="Times New Roman"/>
                    <w:sz w:val="24"/>
                    <w:lang w:val="en-US" w:eastAsia="zh-CN"/>
                  </w:rPr>
                  <m:t>)[17+(</m:t>
                </m:r>
                <m:f>
                  <m:fPr>
                    <m:ctrlPr>
                      <w:rPr>
                        <w:rFonts w:hint="default" w:ascii="Cambria Math" w:hAnsi="Cambria Math" w:eastAsia="仿宋" w:cs="Times New Roman"/>
                        <w:sz w:val="24"/>
                        <w:lang w:val="en-US" w:eastAsia="zh-CN"/>
                      </w:rPr>
                    </m:ctrlPr>
                  </m:fPr>
                  <m:num>
                    <m:r>
                      <m:rPr>
                        <m:sty m:val="p"/>
                      </m:rPr>
                      <w:rPr>
                        <w:rFonts w:hint="default" w:ascii="Cambria Math" w:hAnsi="Cambria Math" w:eastAsia="仿宋" w:cs="Times New Roman"/>
                        <w:sz w:val="24"/>
                        <w:lang w:val="en-US" w:eastAsia="zh-CN"/>
                      </w:rPr>
                      <m:t>300</m:t>
                    </m:r>
                    <m:ctrlPr>
                      <w:rPr>
                        <w:rFonts w:hint="default" w:ascii="Cambria Math" w:hAnsi="Cambria Math" w:eastAsia="仿宋" w:cs="Times New Roman"/>
                        <w:sz w:val="24"/>
                        <w:lang w:val="en-US" w:eastAsia="zh-CN"/>
                      </w:rPr>
                    </m:ctrlPr>
                  </m:num>
                  <m:den>
                    <m:r>
                      <m:rPr>
                        <m:sty m:val="p"/>
                      </m:rPr>
                      <w:rPr>
                        <w:rFonts w:hint="default" w:ascii="Cambria Math" w:hAnsi="Cambria Math" w:eastAsia="仿宋" w:cs="Times New Roman"/>
                        <w:sz w:val="24"/>
                        <w:lang w:val="en-US" w:eastAsia="zh-CN"/>
                      </w:rPr>
                      <m:t>r</m:t>
                    </m:r>
                    <m:ctrlPr>
                      <w:rPr>
                        <w:rFonts w:hint="default" w:ascii="Cambria Math" w:hAnsi="Cambria Math" w:eastAsia="仿宋" w:cs="Times New Roman"/>
                        <w:sz w:val="24"/>
                        <w:lang w:val="en-US" w:eastAsia="zh-CN"/>
                      </w:rPr>
                    </m:ctrlPr>
                  </m:den>
                </m:f>
                <m:r>
                  <m:rPr>
                    <m:sty m:val="p"/>
                  </m:rPr>
                  <w:rPr>
                    <w:rFonts w:hint="default" w:ascii="Cambria Math" w:hAnsi="Cambria Math" w:eastAsia="仿宋" w:cs="Times New Roman"/>
                    <w:sz w:val="24"/>
                    <w:lang w:val="en-US" w:eastAsia="zh-CN"/>
                  </w:rPr>
                  <m:t>)]</m:t>
                </m:r>
              </m:oMath>
            </m:oMathPara>
          </w:p>
          <w:p w14:paraId="7629BAFD">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rPr>
              <w:t>式中</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r</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声源到预测点的距离，m</w:t>
            </w:r>
            <w:r>
              <w:rPr>
                <w:rFonts w:hint="default" w:ascii="Times New Roman" w:hAnsi="Times New Roman" w:eastAsia="仿宋" w:cs="Times New Roman"/>
                <w:sz w:val="24"/>
                <w:lang w:eastAsia="zh-CN"/>
              </w:rPr>
              <w:t>；</w:t>
            </w:r>
          </w:p>
          <w:p w14:paraId="2D55713B">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val="en-US" w:eastAsia="zh-CN"/>
              </w:rPr>
              <w:t>h</w:t>
            </w:r>
            <w:r>
              <w:rPr>
                <w:rFonts w:hint="default" w:ascii="Times New Roman" w:hAnsi="Times New Roman" w:eastAsia="仿宋" w:cs="Times New Roman"/>
                <w:sz w:val="24"/>
                <w:lang w:eastAsia="zh-CN"/>
              </w:rPr>
              <w:t>m——传播路径的平均离地高度，m。</w:t>
            </w:r>
          </w:p>
          <w:p w14:paraId="09DFDC61">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若Agr计算出负值，则Agr可用</w:t>
            </w:r>
            <w:r>
              <w:rPr>
                <w:rFonts w:hint="eastAsia" w:ascii="Times New Roman" w:hAnsi="Times New Roman" w:eastAsia="仿宋" w:cs="Times New Roman"/>
                <w:sz w:val="24"/>
                <w:lang w:eastAsia="zh-CN"/>
              </w:rPr>
              <w:t>“</w:t>
            </w:r>
            <w:r>
              <w:rPr>
                <w:rFonts w:hint="eastAsia" w:ascii="Times New Roman" w:hAnsi="Times New Roman" w:eastAsia="仿宋" w:cs="Times New Roman"/>
                <w:sz w:val="24"/>
                <w:lang w:val="en-US" w:eastAsia="zh-CN"/>
              </w:rPr>
              <w:t>0</w:t>
            </w:r>
            <w:r>
              <w:rPr>
                <w:rFonts w:hint="eastAsia" w:ascii="Times New Roman" w:hAnsi="Times New Roman" w:eastAsia="仿宋" w:cs="Times New Roman"/>
                <w:sz w:val="24"/>
                <w:lang w:eastAsia="zh-CN"/>
              </w:rPr>
              <w:t>”</w:t>
            </w:r>
            <w:r>
              <w:rPr>
                <w:rFonts w:hint="default" w:ascii="Times New Roman" w:hAnsi="Times New Roman" w:eastAsia="仿宋" w:cs="Times New Roman"/>
                <w:sz w:val="24"/>
                <w:lang w:eastAsia="zh-CN"/>
              </w:rPr>
              <w:t>代替。</w:t>
            </w:r>
          </w:p>
          <w:p w14:paraId="684402F8">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eastAsia="zh-CN"/>
              </w:rPr>
            </w:pPr>
            <w:r>
              <w:rPr>
                <w:rFonts w:hint="eastAsia" w:ascii="Times New Roman" w:hAnsi="Times New Roman" w:eastAsia="仿宋" w:cs="Times New Roman"/>
                <w:sz w:val="24"/>
                <w:lang w:val="en-US" w:eastAsia="zh-CN"/>
              </w:rPr>
              <w:t>d</w:t>
            </w:r>
            <w:r>
              <w:rPr>
                <w:rFonts w:hint="eastAsia" w:ascii="Times New Roman" w:hAnsi="Times New Roman" w:eastAsia="仿宋" w:cs="Times New Roman"/>
                <w:sz w:val="24"/>
                <w:lang w:eastAsia="zh-CN"/>
              </w:rPr>
              <w:t>）</w:t>
            </w:r>
            <w:r>
              <w:rPr>
                <w:rFonts w:hint="default" w:ascii="Times New Roman" w:hAnsi="Times New Roman" w:eastAsia="仿宋" w:cs="Times New Roman"/>
                <w:sz w:val="24"/>
                <w:lang w:eastAsia="zh-CN"/>
              </w:rPr>
              <w:t>声屏障引起的衰减：</w:t>
            </w:r>
          </w:p>
          <w:p w14:paraId="401C0F21">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val="en-US" w:eastAsia="zh-CN"/>
              </w:rPr>
            </w:pPr>
            <m:oMathPara>
              <m:oMath>
                <m:sSub>
                  <m:sSubPr>
                    <m:ctrlPr>
                      <w:rPr>
                        <w:rFonts w:hint="default" w:ascii="Cambria Math" w:hAnsi="Cambria Math" w:eastAsia="仿宋" w:cs="Times New Roman"/>
                        <w:sz w:val="24"/>
                        <w:lang w:val="en-US" w:eastAsia="zh-CN"/>
                      </w:rPr>
                    </m:ctrlPr>
                  </m:sSubPr>
                  <m:e>
                    <m:r>
                      <m:rPr>
                        <m:sty m:val="p"/>
                      </m:rPr>
                      <w:rPr>
                        <w:rFonts w:hint="default" w:ascii="Cambria Math" w:hAnsi="Cambria Math" w:eastAsia="仿宋" w:cs="Times New Roman"/>
                        <w:sz w:val="24"/>
                        <w:lang w:val="en-US" w:eastAsia="zh-CN"/>
                      </w:rPr>
                      <m:t>A</m:t>
                    </m:r>
                    <m:ctrlPr>
                      <w:rPr>
                        <w:rFonts w:hint="default" w:ascii="Cambria Math" w:hAnsi="Cambria Math" w:eastAsia="仿宋" w:cs="Times New Roman"/>
                        <w:sz w:val="24"/>
                        <w:lang w:val="en-US" w:eastAsia="zh-CN"/>
                      </w:rPr>
                    </m:ctrlPr>
                  </m:e>
                  <m:sub>
                    <m:r>
                      <m:rPr>
                        <m:sty m:val="p"/>
                      </m:rPr>
                      <w:rPr>
                        <w:rFonts w:hint="default" w:ascii="Cambria Math" w:hAnsi="Cambria Math" w:eastAsia="仿宋" w:cs="Times New Roman"/>
                        <w:sz w:val="24"/>
                        <w:lang w:val="en-US" w:eastAsia="zh-CN"/>
                      </w:rPr>
                      <m:t>bar</m:t>
                    </m:r>
                    <m:ctrlPr>
                      <w:rPr>
                        <w:rFonts w:hint="default" w:ascii="Cambria Math" w:hAnsi="Cambria Math" w:eastAsia="仿宋" w:cs="Times New Roman"/>
                        <w:sz w:val="24"/>
                        <w:lang w:val="en-US" w:eastAsia="zh-CN"/>
                      </w:rPr>
                    </m:ctrlPr>
                  </m:sub>
                </m:sSub>
                <m:r>
                  <m:rPr>
                    <m:sty m:val="p"/>
                  </m:rPr>
                  <w:rPr>
                    <w:rFonts w:hint="default" w:ascii="Cambria Math" w:hAnsi="Cambria Math" w:eastAsia="仿宋" w:cs="Times New Roman"/>
                    <w:sz w:val="24"/>
                    <w:lang w:val="en-US" w:eastAsia="zh-CN"/>
                  </w:rPr>
                  <m:t>=−10lg[</m:t>
                </m:r>
                <m:f>
                  <m:fPr>
                    <m:ctrlPr>
                      <w:rPr>
                        <w:rFonts w:hint="default" w:ascii="Cambria Math" w:hAnsi="Cambria Math" w:eastAsia="仿宋" w:cs="Times New Roman"/>
                        <w:sz w:val="24"/>
                        <w:lang w:val="en-US" w:eastAsia="zh-CN"/>
                      </w:rPr>
                    </m:ctrlPr>
                  </m:fPr>
                  <m:num>
                    <m:r>
                      <m:rPr>
                        <m:sty m:val="p"/>
                      </m:rPr>
                      <w:rPr>
                        <w:rFonts w:hint="default" w:ascii="Cambria Math" w:hAnsi="Cambria Math" w:eastAsia="仿宋" w:cs="Times New Roman"/>
                        <w:sz w:val="24"/>
                        <w:lang w:val="en-US" w:eastAsia="zh-CN"/>
                      </w:rPr>
                      <m:t>1</m:t>
                    </m:r>
                    <m:ctrlPr>
                      <w:rPr>
                        <w:rFonts w:hint="default" w:ascii="Cambria Math" w:hAnsi="Cambria Math" w:eastAsia="仿宋" w:cs="Times New Roman"/>
                        <w:sz w:val="24"/>
                        <w:lang w:val="en-US" w:eastAsia="zh-CN"/>
                      </w:rPr>
                    </m:ctrlPr>
                  </m:num>
                  <m:den>
                    <m:r>
                      <m:rPr>
                        <m:sty m:val="p"/>
                      </m:rPr>
                      <w:rPr>
                        <w:rFonts w:hint="default" w:ascii="Cambria Math" w:hAnsi="Cambria Math" w:eastAsia="仿宋" w:cs="Times New Roman"/>
                        <w:sz w:val="24"/>
                        <w:lang w:val="en-US" w:eastAsia="zh-CN"/>
                      </w:rPr>
                      <m:t>3+20</m:t>
                    </m:r>
                    <m:sSub>
                      <m:sSubPr>
                        <m:ctrlPr>
                          <w:rPr>
                            <w:rFonts w:hint="default" w:ascii="Cambria Math" w:hAnsi="Cambria Math" w:eastAsia="仿宋" w:cs="Times New Roman"/>
                            <w:sz w:val="24"/>
                            <w:lang w:val="en-US" w:eastAsia="zh-CN"/>
                          </w:rPr>
                        </m:ctrlPr>
                      </m:sSubPr>
                      <m:e>
                        <m:r>
                          <m:rPr>
                            <m:sty m:val="p"/>
                          </m:rPr>
                          <w:rPr>
                            <w:rFonts w:hint="default" w:ascii="Cambria Math" w:hAnsi="Cambria Math" w:eastAsia="仿宋" w:cs="Times New Roman"/>
                            <w:sz w:val="24"/>
                            <w:lang w:val="en-US" w:eastAsia="zh-CN"/>
                          </w:rPr>
                          <m:t>N</m:t>
                        </m:r>
                        <m:ctrlPr>
                          <w:rPr>
                            <w:rFonts w:hint="default" w:ascii="Cambria Math" w:hAnsi="Cambria Math" w:eastAsia="仿宋" w:cs="Times New Roman"/>
                            <w:sz w:val="24"/>
                            <w:lang w:val="en-US" w:eastAsia="zh-CN"/>
                          </w:rPr>
                        </m:ctrlPr>
                      </m:e>
                      <m:sub>
                        <m:r>
                          <m:rPr>
                            <m:sty m:val="p"/>
                          </m:rPr>
                          <w:rPr>
                            <w:rFonts w:hint="default" w:ascii="Cambria Math" w:hAnsi="Cambria Math" w:eastAsia="仿宋" w:cs="Times New Roman"/>
                            <w:sz w:val="24"/>
                            <w:lang w:val="en-US" w:eastAsia="zh-CN"/>
                          </w:rPr>
                          <m:t>1</m:t>
                        </m:r>
                        <m:ctrlPr>
                          <w:rPr>
                            <w:rFonts w:hint="default" w:ascii="Cambria Math" w:hAnsi="Cambria Math" w:eastAsia="仿宋" w:cs="Times New Roman"/>
                            <w:sz w:val="24"/>
                            <w:lang w:val="en-US" w:eastAsia="zh-CN"/>
                          </w:rPr>
                        </m:ctrlPr>
                      </m:sub>
                    </m:sSub>
                    <m:ctrlPr>
                      <w:rPr>
                        <w:rFonts w:hint="default" w:ascii="Cambria Math" w:hAnsi="Cambria Math" w:eastAsia="仿宋" w:cs="Times New Roman"/>
                        <w:sz w:val="24"/>
                        <w:lang w:val="en-US" w:eastAsia="zh-CN"/>
                      </w:rPr>
                    </m:ctrlPr>
                  </m:den>
                </m:f>
                <m:r>
                  <m:rPr>
                    <m:sty m:val="p"/>
                  </m:rPr>
                  <w:rPr>
                    <w:rFonts w:hint="default" w:ascii="Cambria Math" w:hAnsi="Cambria Math" w:eastAsia="仿宋" w:cs="Times New Roman"/>
                    <w:sz w:val="24"/>
                    <w:lang w:val="en-US" w:eastAsia="zh-CN"/>
                  </w:rPr>
                  <m:t>+</m:t>
                </m:r>
                <m:f>
                  <m:fPr>
                    <m:ctrlPr>
                      <w:rPr>
                        <w:rFonts w:hint="default" w:ascii="Cambria Math" w:hAnsi="Cambria Math" w:eastAsia="仿宋" w:cs="Times New Roman"/>
                        <w:sz w:val="24"/>
                        <w:lang w:val="en-US" w:eastAsia="zh-CN"/>
                      </w:rPr>
                    </m:ctrlPr>
                  </m:fPr>
                  <m:num>
                    <m:r>
                      <m:rPr>
                        <m:sty m:val="p"/>
                      </m:rPr>
                      <w:rPr>
                        <w:rFonts w:hint="default" w:ascii="Cambria Math" w:hAnsi="Cambria Math" w:eastAsia="仿宋" w:cs="Times New Roman"/>
                        <w:sz w:val="24"/>
                        <w:lang w:val="en-US" w:eastAsia="zh-CN"/>
                      </w:rPr>
                      <m:t>1</m:t>
                    </m:r>
                    <m:ctrlPr>
                      <w:rPr>
                        <w:rFonts w:hint="default" w:ascii="Cambria Math" w:hAnsi="Cambria Math" w:eastAsia="仿宋" w:cs="Times New Roman"/>
                        <w:sz w:val="24"/>
                        <w:lang w:val="en-US" w:eastAsia="zh-CN"/>
                      </w:rPr>
                    </m:ctrlPr>
                  </m:num>
                  <m:den>
                    <m:r>
                      <m:rPr>
                        <m:sty m:val="p"/>
                      </m:rPr>
                      <w:rPr>
                        <w:rFonts w:hint="default" w:ascii="Cambria Math" w:hAnsi="Cambria Math" w:eastAsia="仿宋" w:cs="Times New Roman"/>
                        <w:sz w:val="24"/>
                        <w:lang w:val="en-US" w:eastAsia="zh-CN"/>
                      </w:rPr>
                      <m:t>3+20</m:t>
                    </m:r>
                    <m:sSub>
                      <m:sSubPr>
                        <m:ctrlPr>
                          <w:rPr>
                            <w:rFonts w:hint="default" w:ascii="Cambria Math" w:hAnsi="Cambria Math" w:eastAsia="仿宋" w:cs="Times New Roman"/>
                            <w:sz w:val="24"/>
                            <w:lang w:val="en-US" w:eastAsia="zh-CN"/>
                          </w:rPr>
                        </m:ctrlPr>
                      </m:sSubPr>
                      <m:e>
                        <m:r>
                          <m:rPr>
                            <m:sty m:val="p"/>
                          </m:rPr>
                          <w:rPr>
                            <w:rFonts w:hint="default" w:ascii="Cambria Math" w:hAnsi="Cambria Math" w:eastAsia="仿宋" w:cs="Times New Roman"/>
                            <w:sz w:val="24"/>
                            <w:lang w:val="en-US" w:eastAsia="zh-CN"/>
                          </w:rPr>
                          <m:t>N</m:t>
                        </m:r>
                        <m:ctrlPr>
                          <w:rPr>
                            <w:rFonts w:hint="default" w:ascii="Cambria Math" w:hAnsi="Cambria Math" w:eastAsia="仿宋" w:cs="Times New Roman"/>
                            <w:sz w:val="24"/>
                            <w:lang w:val="en-US" w:eastAsia="zh-CN"/>
                          </w:rPr>
                        </m:ctrlPr>
                      </m:e>
                      <m:sub>
                        <m:r>
                          <m:rPr>
                            <m:sty m:val="p"/>
                          </m:rPr>
                          <w:rPr>
                            <w:rFonts w:hint="default" w:ascii="Cambria Math" w:hAnsi="Cambria Math" w:eastAsia="仿宋" w:cs="Times New Roman"/>
                            <w:sz w:val="24"/>
                            <w:lang w:val="en-US" w:eastAsia="zh-CN"/>
                          </w:rPr>
                          <m:t>2</m:t>
                        </m:r>
                        <m:ctrlPr>
                          <w:rPr>
                            <w:rFonts w:hint="default" w:ascii="Cambria Math" w:hAnsi="Cambria Math" w:eastAsia="仿宋" w:cs="Times New Roman"/>
                            <w:sz w:val="24"/>
                            <w:lang w:val="en-US" w:eastAsia="zh-CN"/>
                          </w:rPr>
                        </m:ctrlPr>
                      </m:sub>
                    </m:sSub>
                    <m:ctrlPr>
                      <w:rPr>
                        <w:rFonts w:hint="default" w:ascii="Cambria Math" w:hAnsi="Cambria Math" w:eastAsia="仿宋" w:cs="Times New Roman"/>
                        <w:sz w:val="24"/>
                        <w:lang w:val="en-US" w:eastAsia="zh-CN"/>
                      </w:rPr>
                    </m:ctrlPr>
                  </m:den>
                </m:f>
                <m:r>
                  <m:rPr>
                    <m:sty m:val="p"/>
                  </m:rPr>
                  <w:rPr>
                    <w:rFonts w:hint="default" w:ascii="Cambria Math" w:hAnsi="Cambria Math" w:eastAsia="仿宋" w:cs="Times New Roman"/>
                    <w:sz w:val="24"/>
                    <w:lang w:val="en-US" w:eastAsia="zh-CN"/>
                  </w:rPr>
                  <m:t>+</m:t>
                </m:r>
                <m:f>
                  <m:fPr>
                    <m:ctrlPr>
                      <w:rPr>
                        <w:rFonts w:hint="default" w:ascii="Cambria Math" w:hAnsi="Cambria Math" w:eastAsia="仿宋" w:cs="Times New Roman"/>
                        <w:sz w:val="24"/>
                        <w:lang w:val="en-US" w:eastAsia="zh-CN"/>
                      </w:rPr>
                    </m:ctrlPr>
                  </m:fPr>
                  <m:num>
                    <m:r>
                      <m:rPr>
                        <m:sty m:val="p"/>
                      </m:rPr>
                      <w:rPr>
                        <w:rFonts w:hint="default" w:ascii="Cambria Math" w:hAnsi="Cambria Math" w:eastAsia="仿宋" w:cs="Times New Roman"/>
                        <w:sz w:val="24"/>
                        <w:lang w:val="en-US" w:eastAsia="zh-CN"/>
                      </w:rPr>
                      <m:t>1</m:t>
                    </m:r>
                    <m:ctrlPr>
                      <w:rPr>
                        <w:rFonts w:hint="default" w:ascii="Cambria Math" w:hAnsi="Cambria Math" w:eastAsia="仿宋" w:cs="Times New Roman"/>
                        <w:sz w:val="24"/>
                        <w:lang w:val="en-US" w:eastAsia="zh-CN"/>
                      </w:rPr>
                    </m:ctrlPr>
                  </m:num>
                  <m:den>
                    <m:r>
                      <m:rPr>
                        <m:sty m:val="p"/>
                      </m:rPr>
                      <w:rPr>
                        <w:rFonts w:hint="default" w:ascii="Cambria Math" w:hAnsi="Cambria Math" w:eastAsia="仿宋" w:cs="Times New Roman"/>
                        <w:sz w:val="24"/>
                        <w:lang w:val="en-US" w:eastAsia="zh-CN"/>
                      </w:rPr>
                      <m:t>3+20</m:t>
                    </m:r>
                    <m:sSub>
                      <m:sSubPr>
                        <m:ctrlPr>
                          <w:rPr>
                            <w:rFonts w:hint="default" w:ascii="Cambria Math" w:hAnsi="Cambria Math" w:eastAsia="仿宋" w:cs="Times New Roman"/>
                            <w:sz w:val="24"/>
                            <w:lang w:val="en-US" w:eastAsia="zh-CN"/>
                          </w:rPr>
                        </m:ctrlPr>
                      </m:sSubPr>
                      <m:e>
                        <m:r>
                          <m:rPr>
                            <m:sty m:val="p"/>
                          </m:rPr>
                          <w:rPr>
                            <w:rFonts w:hint="default" w:ascii="Cambria Math" w:hAnsi="Cambria Math" w:eastAsia="仿宋" w:cs="Times New Roman"/>
                            <w:sz w:val="24"/>
                            <w:lang w:val="en-US" w:eastAsia="zh-CN"/>
                          </w:rPr>
                          <m:t>N</m:t>
                        </m:r>
                        <m:ctrlPr>
                          <w:rPr>
                            <w:rFonts w:hint="default" w:ascii="Cambria Math" w:hAnsi="Cambria Math" w:eastAsia="仿宋" w:cs="Times New Roman"/>
                            <w:sz w:val="24"/>
                            <w:lang w:val="en-US" w:eastAsia="zh-CN"/>
                          </w:rPr>
                        </m:ctrlPr>
                      </m:e>
                      <m:sub>
                        <m:r>
                          <m:rPr>
                            <m:sty m:val="p"/>
                          </m:rPr>
                          <w:rPr>
                            <w:rFonts w:hint="default" w:ascii="Cambria Math" w:hAnsi="Cambria Math" w:eastAsia="仿宋" w:cs="Times New Roman"/>
                            <w:sz w:val="24"/>
                            <w:lang w:val="en-US" w:eastAsia="zh-CN"/>
                          </w:rPr>
                          <m:t>3</m:t>
                        </m:r>
                        <m:ctrlPr>
                          <w:rPr>
                            <w:rFonts w:hint="default" w:ascii="Cambria Math" w:hAnsi="Cambria Math" w:eastAsia="仿宋" w:cs="Times New Roman"/>
                            <w:sz w:val="24"/>
                            <w:lang w:val="en-US" w:eastAsia="zh-CN"/>
                          </w:rPr>
                        </m:ctrlPr>
                      </m:sub>
                    </m:sSub>
                    <m:ctrlPr>
                      <w:rPr>
                        <w:rFonts w:hint="default" w:ascii="Cambria Math" w:hAnsi="Cambria Math" w:eastAsia="仿宋" w:cs="Times New Roman"/>
                        <w:sz w:val="24"/>
                        <w:lang w:val="en-US" w:eastAsia="zh-CN"/>
                      </w:rPr>
                    </m:ctrlPr>
                  </m:den>
                </m:f>
                <m:r>
                  <m:rPr>
                    <m:sty m:val="p"/>
                  </m:rPr>
                  <w:rPr>
                    <w:rFonts w:hint="default" w:ascii="Cambria Math" w:hAnsi="Cambria Math" w:eastAsia="仿宋" w:cs="Times New Roman"/>
                    <w:sz w:val="24"/>
                    <w:lang w:val="en-US" w:eastAsia="zh-CN"/>
                  </w:rPr>
                  <m:t>]</m:t>
                </m:r>
              </m:oMath>
            </m:oMathPara>
          </w:p>
          <w:p w14:paraId="1295872F">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式中：N1、N2、N3 为三个传播途径下相应的菲涅尔数。</w:t>
            </w:r>
          </w:p>
          <w:p w14:paraId="1DDFF358">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eastAsia="zh-CN"/>
              </w:rPr>
            </w:pPr>
            <w:r>
              <w:rPr>
                <w:rFonts w:hint="eastAsia" w:ascii="Times New Roman" w:hAnsi="Times New Roman" w:eastAsia="仿宋" w:cs="Times New Roman"/>
                <w:sz w:val="24"/>
                <w:lang w:val="en-US" w:eastAsia="zh-CN"/>
              </w:rPr>
              <w:t>e</w:t>
            </w:r>
            <w:r>
              <w:rPr>
                <w:rFonts w:hint="eastAsia" w:ascii="Times New Roman" w:hAnsi="Times New Roman" w:eastAsia="仿宋" w:cs="Times New Roman"/>
                <w:sz w:val="24"/>
                <w:lang w:eastAsia="zh-CN"/>
              </w:rPr>
              <w:t>）</w:t>
            </w:r>
            <w:r>
              <w:rPr>
                <w:rFonts w:hint="default" w:ascii="Times New Roman" w:hAnsi="Times New Roman" w:eastAsia="仿宋" w:cs="Times New Roman"/>
                <w:sz w:val="24"/>
                <w:lang w:eastAsia="zh-CN"/>
              </w:rPr>
              <w:t>其它多方面衰减Amis</w:t>
            </w:r>
            <w:r>
              <w:rPr>
                <w:rFonts w:hint="default" w:ascii="Times New Roman" w:hAnsi="Times New Roman" w:eastAsia="仿宋" w:cs="Times New Roman"/>
                <w:sz w:val="24"/>
                <w:lang w:val="en-US" w:eastAsia="zh-CN"/>
              </w:rPr>
              <w:t>c</w:t>
            </w:r>
            <w:r>
              <w:rPr>
                <w:rFonts w:hint="default" w:ascii="Times New Roman" w:hAnsi="Times New Roman" w:eastAsia="仿宋" w:cs="Times New Roman"/>
                <w:sz w:val="24"/>
                <w:lang w:eastAsia="zh-CN"/>
              </w:rPr>
              <w:t>：包括通过工业场所的衰减；通过房屋群的衰减等。</w:t>
            </w:r>
          </w:p>
          <w:p w14:paraId="66343673">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eastAsia="zh-CN"/>
              </w:rPr>
            </w:pPr>
            <w:r>
              <w:rPr>
                <w:rFonts w:hint="eastAsia" w:ascii="Times New Roman" w:hAnsi="Times New Roman" w:eastAsia="仿宋" w:cs="Times New Roman"/>
                <w:sz w:val="24"/>
                <w:lang w:val="en-US" w:eastAsia="zh-CN"/>
              </w:rPr>
              <w:t>②</w:t>
            </w:r>
            <w:r>
              <w:rPr>
                <w:rFonts w:hint="default" w:ascii="Times New Roman" w:hAnsi="Times New Roman" w:eastAsia="仿宋" w:cs="Times New Roman"/>
                <w:sz w:val="24"/>
                <w:lang w:eastAsia="zh-CN"/>
              </w:rPr>
              <w:t>如果已知靠近声源处某点的倍频带声压级Lp(ro)时，相同方向预测点位置的倍频带声压级Lp(r)：</w:t>
            </w:r>
          </w:p>
          <w:p w14:paraId="2ADA815B">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Lp(r)=Lp(r</w:t>
            </w:r>
            <w:r>
              <w:rPr>
                <w:rFonts w:hint="default" w:ascii="Times New Roman" w:hAnsi="Times New Roman" w:eastAsia="仿宋" w:cs="Times New Roman"/>
                <w:sz w:val="24"/>
                <w:lang w:val="en-US" w:eastAsia="zh-CN"/>
              </w:rPr>
              <w:t>0</w:t>
            </w:r>
            <w:r>
              <w:rPr>
                <w:rFonts w:hint="default" w:ascii="Times New Roman" w:hAnsi="Times New Roman" w:eastAsia="仿宋" w:cs="Times New Roman"/>
                <w:sz w:val="24"/>
                <w:lang w:eastAsia="zh-CN"/>
              </w:rPr>
              <w:t>)-A</w:t>
            </w:r>
          </w:p>
          <w:p w14:paraId="561A23AF">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预测点的A声级LA(r)，可利用8个倍频带的声压级按下式计算：</w:t>
            </w:r>
          </w:p>
          <w:p w14:paraId="15825659">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val="en-US" w:eastAsia="zh-CN"/>
              </w:rPr>
            </w:pPr>
            <m:oMathPara>
              <m:oMath>
                <m:sSub>
                  <m:sSubPr>
                    <m:ctrlPr>
                      <w:rPr>
                        <w:rFonts w:hint="default" w:ascii="Cambria Math" w:hAnsi="Cambria Math" w:eastAsia="仿宋" w:cs="Times New Roman"/>
                        <w:sz w:val="24"/>
                      </w:rPr>
                    </m:ctrlPr>
                  </m:sSubPr>
                  <m:e>
                    <m:r>
                      <m:rPr>
                        <m:sty m:val="p"/>
                      </m:rPr>
                      <w:rPr>
                        <w:rFonts w:hint="default" w:ascii="Cambria Math" w:hAnsi="Cambria Math" w:eastAsia="仿宋" w:cs="Times New Roman"/>
                        <w:sz w:val="24"/>
                        <w:lang w:val="en-US" w:eastAsia="zh-CN"/>
                      </w:rPr>
                      <m:t>L</m:t>
                    </m:r>
                    <m:ctrlPr>
                      <w:rPr>
                        <w:rFonts w:hint="default" w:ascii="Cambria Math" w:hAnsi="Cambria Math" w:eastAsia="仿宋" w:cs="Times New Roman"/>
                        <w:sz w:val="24"/>
                      </w:rPr>
                    </m:ctrlPr>
                  </m:e>
                  <m:sub>
                    <m:r>
                      <m:rPr>
                        <m:sty m:val="p"/>
                      </m:rPr>
                      <w:rPr>
                        <w:rFonts w:hint="default" w:ascii="Cambria Math" w:hAnsi="Cambria Math" w:eastAsia="仿宋" w:cs="Times New Roman"/>
                        <w:sz w:val="24"/>
                        <w:lang w:val="en-US" w:eastAsia="zh-CN"/>
                      </w:rPr>
                      <m:t>A</m:t>
                    </m:r>
                    <m:ctrlPr>
                      <w:rPr>
                        <w:rFonts w:hint="default" w:ascii="Cambria Math" w:hAnsi="Cambria Math" w:eastAsia="仿宋" w:cs="Times New Roman"/>
                        <w:sz w:val="24"/>
                      </w:rPr>
                    </m:ctrlPr>
                  </m:sub>
                </m:sSub>
                <m:r>
                  <m:rPr>
                    <m:sty m:val="p"/>
                  </m:rPr>
                  <w:rPr>
                    <w:rFonts w:hint="default" w:ascii="Cambria Math" w:hAnsi="Cambria Math" w:eastAsia="仿宋" w:cs="Times New Roman"/>
                    <w:sz w:val="24"/>
                    <w:lang w:val="en-US" w:eastAsia="zh-CN"/>
                  </w:rPr>
                  <m:t>(r)=10lg</m:t>
                </m:r>
                <m:d>
                  <m:dPr>
                    <m:begChr m:val="["/>
                    <m:endChr m:val="]"/>
                    <m:ctrlPr>
                      <w:rPr>
                        <w:rFonts w:hint="default" w:ascii="Cambria Math" w:hAnsi="Cambria Math" w:eastAsia="仿宋" w:cs="Times New Roman"/>
                        <w:sz w:val="24"/>
                        <w:lang w:val="en-US" w:eastAsia="zh-CN"/>
                      </w:rPr>
                    </m:ctrlPr>
                  </m:dPr>
                  <m:e>
                    <m:nary>
                      <m:naryPr>
                        <m:chr m:val="∑"/>
                        <m:limLoc m:val="undOvr"/>
                        <m:subHide m:val="1"/>
                        <m:supHide m:val="1"/>
                        <m:ctrlPr>
                          <w:rPr>
                            <w:rFonts w:hint="default" w:ascii="Cambria Math" w:hAnsi="Cambria Math" w:eastAsia="仿宋" w:cs="Times New Roman"/>
                            <w:sz w:val="24"/>
                            <w:lang w:val="en-US" w:eastAsia="zh-CN"/>
                          </w:rPr>
                        </m:ctrlPr>
                      </m:naryPr>
                      <m:sub>
                        <m:ctrlPr>
                          <w:rPr>
                            <w:rFonts w:hint="default" w:ascii="Cambria Math" w:hAnsi="Cambria Math" w:eastAsia="仿宋" w:cs="Times New Roman"/>
                            <w:sz w:val="24"/>
                            <w:lang w:val="en-US" w:eastAsia="zh-CN"/>
                          </w:rPr>
                        </m:ctrlPr>
                      </m:sub>
                      <m:sup>
                        <m:ctrlPr>
                          <w:rPr>
                            <w:rFonts w:hint="default" w:ascii="Cambria Math" w:hAnsi="Cambria Math" w:eastAsia="仿宋" w:cs="Times New Roman"/>
                            <w:sz w:val="24"/>
                            <w:lang w:val="en-US" w:eastAsia="zh-CN"/>
                          </w:rPr>
                        </m:ctrlPr>
                      </m:sup>
                      <m:e>
                        <m:sSup>
                          <m:sSupPr>
                            <m:ctrlPr>
                              <w:rPr>
                                <w:rFonts w:hint="default" w:ascii="Cambria Math" w:hAnsi="Cambria Math" w:eastAsia="仿宋" w:cs="Times New Roman"/>
                                <w:sz w:val="24"/>
                                <w:lang w:val="en-US" w:eastAsia="zh-CN"/>
                              </w:rPr>
                            </m:ctrlPr>
                          </m:sSupPr>
                          <m:e>
                            <m:r>
                              <m:rPr>
                                <m:sty m:val="p"/>
                              </m:rPr>
                              <w:rPr>
                                <w:rFonts w:hint="default" w:ascii="Cambria Math" w:hAnsi="Cambria Math" w:eastAsia="仿宋" w:cs="Times New Roman"/>
                                <w:sz w:val="24"/>
                                <w:lang w:val="en-US" w:eastAsia="zh-CN"/>
                              </w:rPr>
                              <m:t>10</m:t>
                            </m:r>
                            <m:ctrlPr>
                              <w:rPr>
                                <w:rFonts w:hint="default" w:ascii="Cambria Math" w:hAnsi="Cambria Math" w:eastAsia="仿宋" w:cs="Times New Roman"/>
                                <w:sz w:val="24"/>
                                <w:lang w:val="en-US" w:eastAsia="zh-CN"/>
                              </w:rPr>
                            </m:ctrlPr>
                          </m:e>
                          <m:sup>
                            <m:r>
                              <m:rPr>
                                <m:sty m:val="p"/>
                              </m:rPr>
                              <w:rPr>
                                <w:rFonts w:hint="default" w:ascii="Cambria Math" w:hAnsi="Cambria Math" w:eastAsia="仿宋" w:cs="Times New Roman"/>
                                <w:sz w:val="24"/>
                                <w:lang w:val="en-US" w:eastAsia="zh-CN"/>
                              </w:rPr>
                              <m:t>0.1</m:t>
                            </m:r>
                            <m:sSub>
                              <m:sSubPr>
                                <m:ctrlPr>
                                  <w:rPr>
                                    <w:rFonts w:hint="default" w:ascii="Cambria Math" w:hAnsi="Cambria Math" w:eastAsia="仿宋" w:cs="Times New Roman"/>
                                    <w:sz w:val="24"/>
                                    <w:lang w:val="en-US" w:eastAsia="zh-CN"/>
                                  </w:rPr>
                                </m:ctrlPr>
                              </m:sSubPr>
                              <m:e>
                                <m:r>
                                  <m:rPr>
                                    <m:sty m:val="p"/>
                                  </m:rPr>
                                  <w:rPr>
                                    <w:rFonts w:hint="default" w:ascii="Cambria Math" w:hAnsi="Cambria Math" w:eastAsia="仿宋" w:cs="Times New Roman"/>
                                    <w:sz w:val="24"/>
                                    <w:lang w:val="en-US" w:eastAsia="zh-CN"/>
                                  </w:rPr>
                                  <m:t>L</m:t>
                                </m:r>
                                <m:ctrlPr>
                                  <w:rPr>
                                    <w:rFonts w:hint="default" w:ascii="Cambria Math" w:hAnsi="Cambria Math" w:eastAsia="仿宋" w:cs="Times New Roman"/>
                                    <w:sz w:val="24"/>
                                    <w:lang w:val="en-US" w:eastAsia="zh-CN"/>
                                  </w:rPr>
                                </m:ctrlPr>
                              </m:e>
                              <m:sub>
                                <m:r>
                                  <m:rPr>
                                    <m:sty m:val="p"/>
                                  </m:rPr>
                                  <w:rPr>
                                    <w:rFonts w:hint="default" w:ascii="Cambria Math" w:hAnsi="Cambria Math" w:eastAsia="仿宋" w:cs="Times New Roman"/>
                                    <w:sz w:val="24"/>
                                    <w:lang w:val="en-US" w:eastAsia="zh-CN"/>
                                  </w:rPr>
                                  <m:t>p(r)</m:t>
                                </m:r>
                                <m:ctrlPr>
                                  <w:rPr>
                                    <w:rFonts w:hint="default" w:ascii="Cambria Math" w:hAnsi="Cambria Math" w:eastAsia="仿宋" w:cs="Times New Roman"/>
                                    <w:sz w:val="24"/>
                                    <w:lang w:val="en-US" w:eastAsia="zh-CN"/>
                                  </w:rPr>
                                </m:ctrlPr>
                              </m:sub>
                            </m:sSub>
                            <m:r>
                              <m:rPr>
                                <m:sty m:val="p"/>
                              </m:rPr>
                              <w:rPr>
                                <w:rFonts w:hint="default" w:ascii="Cambria Math" w:hAnsi="Cambria Math" w:eastAsia="仿宋" w:cs="Times New Roman"/>
                                <w:sz w:val="24"/>
                                <w:lang w:val="en-US" w:eastAsia="zh-CN"/>
                              </w:rPr>
                              <m:t>−</m:t>
                            </m:r>
                            <m:box>
                              <m:boxPr>
                                <m:opEmu m:val="1"/>
                                <m:ctrlPr>
                                  <w:rPr>
                                    <w:rFonts w:hint="default" w:ascii="Cambria Math" w:hAnsi="Cambria Math" w:eastAsia="仿宋" w:cs="Times New Roman"/>
                                    <w:sz w:val="24"/>
                                    <w:lang w:val="en-US" w:eastAsia="zh-CN"/>
                                  </w:rPr>
                                </m:ctrlPr>
                              </m:boxPr>
                              <m:e>
                                <m:r>
                                  <m:rPr>
                                    <m:sty m:val="p"/>
                                  </m:rPr>
                                  <w:rPr>
                                    <w:rFonts w:hint="default" w:ascii="Cambria Math" w:hAnsi="Cambria Math" w:eastAsia="仿宋" w:cs="Times New Roman"/>
                                    <w:sz w:val="24"/>
                                    <w:lang w:val="en-US"/>
                                  </w:rPr>
                                  <m:t>∆</m:t>
                                </m:r>
                                <m:sSub>
                                  <m:sSubPr>
                                    <m:ctrlPr>
                                      <w:rPr>
                                        <w:rFonts w:hint="default" w:ascii="Cambria Math" w:hAnsi="Cambria Math" w:eastAsia="仿宋" w:cs="Times New Roman"/>
                                        <w:sz w:val="24"/>
                                        <w:lang w:val="en-US"/>
                                      </w:rPr>
                                    </m:ctrlPr>
                                  </m:sSubPr>
                                  <m:e>
                                    <m:r>
                                      <m:rPr>
                                        <m:sty m:val="p"/>
                                      </m:rPr>
                                      <w:rPr>
                                        <w:rFonts w:hint="default" w:ascii="Cambria Math" w:hAnsi="Cambria Math" w:eastAsia="仿宋" w:cs="Times New Roman"/>
                                        <w:sz w:val="24"/>
                                        <w:lang w:val="en-US" w:eastAsia="zh-CN"/>
                                      </w:rPr>
                                      <m:t>L</m:t>
                                    </m:r>
                                    <m:ctrlPr>
                                      <w:rPr>
                                        <w:rFonts w:hint="default" w:ascii="Cambria Math" w:hAnsi="Cambria Math" w:eastAsia="仿宋" w:cs="Times New Roman"/>
                                        <w:sz w:val="24"/>
                                        <w:lang w:val="en-US"/>
                                      </w:rPr>
                                    </m:ctrlPr>
                                  </m:e>
                                  <m:sub>
                                    <m:r>
                                      <m:rPr>
                                        <m:sty m:val="p"/>
                                      </m:rPr>
                                      <w:rPr>
                                        <w:rFonts w:hint="default" w:ascii="Cambria Math" w:hAnsi="Cambria Math" w:eastAsia="仿宋" w:cs="Times New Roman"/>
                                        <w:sz w:val="24"/>
                                        <w:lang w:val="en-US" w:eastAsia="zh-CN"/>
                                      </w:rPr>
                                      <m:t>1</m:t>
                                    </m:r>
                                    <m:ctrlPr>
                                      <w:rPr>
                                        <w:rFonts w:hint="default" w:ascii="Cambria Math" w:hAnsi="Cambria Math" w:eastAsia="仿宋" w:cs="Times New Roman"/>
                                        <w:sz w:val="24"/>
                                        <w:lang w:val="en-US"/>
                                      </w:rPr>
                                    </m:ctrlPr>
                                  </m:sub>
                                </m:sSub>
                                <m:ctrlPr>
                                  <w:rPr>
                                    <w:rFonts w:hint="default" w:ascii="Cambria Math" w:hAnsi="Cambria Math" w:eastAsia="仿宋" w:cs="Times New Roman"/>
                                    <w:sz w:val="24"/>
                                    <w:lang w:val="en-US" w:eastAsia="zh-CN"/>
                                  </w:rPr>
                                </m:ctrlPr>
                              </m:e>
                            </m:box>
                            <m:ctrlPr>
                              <w:rPr>
                                <w:rFonts w:hint="default" w:ascii="Cambria Math" w:hAnsi="Cambria Math" w:eastAsia="仿宋" w:cs="Times New Roman"/>
                                <w:sz w:val="24"/>
                                <w:lang w:val="en-US" w:eastAsia="zh-CN"/>
                              </w:rPr>
                            </m:ctrlPr>
                          </m:sup>
                        </m:sSup>
                        <m:ctrlPr>
                          <w:rPr>
                            <w:rFonts w:hint="default" w:ascii="Cambria Math" w:hAnsi="Cambria Math" w:eastAsia="仿宋" w:cs="Times New Roman"/>
                            <w:sz w:val="24"/>
                            <w:lang w:val="en-US" w:eastAsia="zh-CN"/>
                          </w:rPr>
                        </m:ctrlPr>
                      </m:e>
                    </m:nary>
                    <m:ctrlPr>
                      <w:rPr>
                        <w:rFonts w:hint="default" w:ascii="Cambria Math" w:hAnsi="Cambria Math" w:eastAsia="仿宋" w:cs="Times New Roman"/>
                        <w:sz w:val="24"/>
                        <w:lang w:val="en-US" w:eastAsia="zh-CN"/>
                      </w:rPr>
                    </m:ctrlPr>
                  </m:e>
                </m:d>
              </m:oMath>
            </m:oMathPara>
          </w:p>
          <w:p w14:paraId="7B475A92">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式中: Lpi</w:t>
            </w:r>
            <w:r>
              <w:rPr>
                <w:rFonts w:hint="default" w:ascii="Times New Roman" w:hAnsi="Times New Roman" w:eastAsia="仿宋" w:cs="Times New Roman"/>
                <w:sz w:val="24"/>
                <w:lang w:val="en-US" w:eastAsia="zh-CN"/>
              </w:rPr>
              <w:t>(</w:t>
            </w:r>
            <w:r>
              <w:rPr>
                <w:rFonts w:hint="default" w:ascii="Times New Roman" w:hAnsi="Times New Roman" w:eastAsia="仿宋" w:cs="Times New Roman"/>
                <w:sz w:val="24"/>
                <w:lang w:eastAsia="zh-CN"/>
              </w:rPr>
              <w:t>r</w:t>
            </w:r>
            <w:r>
              <w:rPr>
                <w:rFonts w:hint="default" w:ascii="Times New Roman" w:hAnsi="Times New Roman" w:eastAsia="仿宋" w:cs="Times New Roman"/>
                <w:sz w:val="24"/>
                <w:lang w:val="en-US" w:eastAsia="zh-CN"/>
              </w:rPr>
              <w:t>)——</w:t>
            </w:r>
            <w:r>
              <w:rPr>
                <w:rFonts w:hint="default" w:ascii="Times New Roman" w:hAnsi="Times New Roman" w:eastAsia="仿宋" w:cs="Times New Roman"/>
                <w:sz w:val="24"/>
                <w:lang w:eastAsia="zh-CN"/>
              </w:rPr>
              <w:t>预测点(r)处，第i倍频带声压级，dB；</w:t>
            </w:r>
          </w:p>
          <w:p w14:paraId="5E799E0A">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Li——i</w:t>
            </w:r>
            <w:r>
              <w:rPr>
                <w:rFonts w:hint="default" w:ascii="Times New Roman" w:hAnsi="Times New Roman" w:eastAsia="仿宋" w:cs="Times New Roman"/>
                <w:sz w:val="24"/>
                <w:lang w:eastAsia="zh-CN"/>
              </w:rPr>
              <w:t>倍频带A计权网络修正值，dB。</w:t>
            </w:r>
          </w:p>
          <w:p w14:paraId="1023EA1C">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③各声源在预测点产生的声级的合成</w:t>
            </w:r>
          </w:p>
          <w:p w14:paraId="6374DD24">
            <w:pPr>
              <w:pStyle w:val="38"/>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第i个室外声源在预测点产生的A声级为LAi,在T时间内该声源工作时间为t；第j个等效室外声源在预测点产生的A声级为LAj，在T时间内该声源工作时间为t，则拟建工程声源对预测点产生的贡献值(Leqg)为：</w:t>
            </w:r>
          </w:p>
          <w:p w14:paraId="478A5CF7">
            <w:pPr>
              <w:pStyle w:val="38"/>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仿宋" w:cs="Times New Roman"/>
                <w:color w:val="auto"/>
                <w:kern w:val="2"/>
                <w:sz w:val="24"/>
                <w:szCs w:val="24"/>
                <w:lang w:val="en-US" w:eastAsia="zh-CN" w:bidi="ar-SA"/>
              </w:rPr>
            </w:pPr>
          </w:p>
          <w:p w14:paraId="57206893">
            <w:pPr>
              <w:pStyle w:val="38"/>
              <w:keepNext w:val="0"/>
              <w:keepLines w:val="0"/>
              <w:pageBreakBefore w:val="0"/>
              <w:widowControl/>
              <w:kinsoku/>
              <w:wordWrap/>
              <w:overflowPunct/>
              <w:topLinePunct w:val="0"/>
              <w:autoSpaceDE/>
              <w:autoSpaceDN/>
              <w:bidi w:val="0"/>
              <w:adjustRightInd/>
              <w:spacing w:line="440" w:lineRule="exact"/>
              <w:jc w:val="center"/>
              <w:textAlignment w:val="auto"/>
              <w:rPr>
                <w:rFonts w:hint="default" w:ascii="Times New Roman" w:hAnsi="Times New Roman" w:eastAsia="仿宋" w:cs="Times New Roman"/>
                <w:color w:val="auto"/>
                <w:kern w:val="2"/>
                <w:sz w:val="24"/>
                <w:szCs w:val="24"/>
                <w:lang w:val="en-US" w:eastAsia="zh-CN" w:bidi="ar-SA"/>
              </w:rPr>
            </w:pPr>
            <m:oMathPara>
              <m:oMath>
                <m:sSub>
                  <m:sSubPr>
                    <m:ctrlPr>
                      <w:rPr>
                        <w:rFonts w:hint="default" w:ascii="Cambria Math" w:hAnsi="Cambria Math" w:eastAsia="仿宋" w:cs="Times New Roman"/>
                        <w:color w:val="auto"/>
                        <w:kern w:val="2"/>
                        <w:sz w:val="24"/>
                        <w:szCs w:val="24"/>
                        <w:lang w:val="en-US" w:eastAsia="zh-CN" w:bidi="ar-SA"/>
                      </w:rPr>
                    </m:ctrlPr>
                  </m:sSubPr>
                  <m:e>
                    <m:r>
                      <m:rPr>
                        <m:sty m:val="p"/>
                      </m:rPr>
                      <w:rPr>
                        <w:rFonts w:hint="default" w:ascii="Cambria Math" w:hAnsi="Cambria Math" w:eastAsia="仿宋" w:cs="Times New Roman"/>
                        <w:color w:val="auto"/>
                        <w:kern w:val="2"/>
                        <w:sz w:val="24"/>
                        <w:szCs w:val="24"/>
                        <w:lang w:val="en-US" w:eastAsia="zh-CN" w:bidi="ar-SA"/>
                      </w:rPr>
                      <m:t>L</m:t>
                    </m:r>
                    <m:ctrlPr>
                      <w:rPr>
                        <w:rFonts w:hint="default" w:ascii="Cambria Math" w:hAnsi="Cambria Math" w:eastAsia="仿宋" w:cs="Times New Roman"/>
                        <w:color w:val="auto"/>
                        <w:kern w:val="2"/>
                        <w:sz w:val="24"/>
                        <w:szCs w:val="24"/>
                        <w:lang w:val="en-US" w:eastAsia="zh-CN" w:bidi="ar-SA"/>
                      </w:rPr>
                    </m:ctrlPr>
                  </m:e>
                  <m:sub>
                    <m:r>
                      <m:rPr>
                        <m:sty m:val="p"/>
                      </m:rPr>
                      <w:rPr>
                        <w:rFonts w:hint="default" w:ascii="Cambria Math" w:hAnsi="Cambria Math" w:eastAsia="仿宋" w:cs="Times New Roman"/>
                        <w:color w:val="auto"/>
                        <w:kern w:val="2"/>
                        <w:sz w:val="24"/>
                        <w:szCs w:val="24"/>
                        <w:lang w:val="en-US" w:eastAsia="zh-CN" w:bidi="ar-SA"/>
                      </w:rPr>
                      <m:t>eqg</m:t>
                    </m:r>
                    <m:ctrlPr>
                      <w:rPr>
                        <w:rFonts w:hint="default" w:ascii="Cambria Math" w:hAnsi="Cambria Math" w:eastAsia="仿宋" w:cs="Times New Roman"/>
                        <w:color w:val="auto"/>
                        <w:kern w:val="2"/>
                        <w:sz w:val="24"/>
                        <w:szCs w:val="24"/>
                        <w:lang w:val="en-US" w:eastAsia="zh-CN" w:bidi="ar-SA"/>
                      </w:rPr>
                    </m:ctrlPr>
                  </m:sub>
                </m:sSub>
                <m:r>
                  <m:rPr>
                    <m:sty m:val="p"/>
                  </m:rPr>
                  <w:rPr>
                    <w:rFonts w:hint="default" w:ascii="Cambria Math" w:hAnsi="Cambria Math" w:eastAsia="仿宋" w:cs="Times New Roman"/>
                    <w:color w:val="auto"/>
                    <w:kern w:val="2"/>
                    <w:sz w:val="24"/>
                    <w:szCs w:val="24"/>
                    <w:lang w:val="en-US" w:eastAsia="zh-CN" w:bidi="ar-SA"/>
                  </w:rPr>
                  <m:t>=10</m:t>
                </m:r>
                <m:sSub>
                  <m:sSubPr>
                    <m:ctrlPr>
                      <w:rPr>
                        <w:rFonts w:hint="default" w:ascii="Cambria Math" w:hAnsi="Cambria Math" w:eastAsia="仿宋" w:cs="Times New Roman"/>
                        <w:color w:val="auto"/>
                        <w:kern w:val="2"/>
                        <w:sz w:val="24"/>
                        <w:szCs w:val="24"/>
                        <w:lang w:val="en-US" w:eastAsia="zh-CN" w:bidi="ar-SA"/>
                      </w:rPr>
                    </m:ctrlPr>
                  </m:sSubPr>
                  <m:e>
                    <m:r>
                      <m:rPr>
                        <m:sty m:val="p"/>
                      </m:rPr>
                      <w:rPr>
                        <w:rFonts w:hint="default" w:ascii="Cambria Math" w:hAnsi="Cambria Math" w:eastAsia="仿宋" w:cs="Times New Roman"/>
                        <w:color w:val="auto"/>
                        <w:kern w:val="2"/>
                        <w:sz w:val="24"/>
                        <w:szCs w:val="24"/>
                        <w:lang w:val="en-US" w:eastAsia="zh-CN" w:bidi="ar-SA"/>
                      </w:rPr>
                      <m:t>l</m:t>
                    </m:r>
                    <m:ctrlPr>
                      <w:rPr>
                        <w:rFonts w:hint="default" w:ascii="Cambria Math" w:hAnsi="Cambria Math" w:eastAsia="仿宋" w:cs="Times New Roman"/>
                        <w:color w:val="auto"/>
                        <w:kern w:val="2"/>
                        <w:sz w:val="24"/>
                        <w:szCs w:val="24"/>
                        <w:lang w:val="en-US" w:eastAsia="zh-CN" w:bidi="ar-SA"/>
                      </w:rPr>
                    </m:ctrlPr>
                  </m:e>
                  <m:sub>
                    <m:r>
                      <m:rPr>
                        <m:sty m:val="p"/>
                      </m:rPr>
                      <w:rPr>
                        <w:rFonts w:hint="default" w:ascii="Cambria Math" w:hAnsi="Cambria Math" w:eastAsia="仿宋" w:cs="Times New Roman"/>
                        <w:color w:val="auto"/>
                        <w:kern w:val="2"/>
                        <w:sz w:val="24"/>
                        <w:szCs w:val="24"/>
                        <w:lang w:val="en-US" w:eastAsia="zh-CN" w:bidi="ar-SA"/>
                      </w:rPr>
                      <m:t>g</m:t>
                    </m:r>
                    <m:ctrlPr>
                      <w:rPr>
                        <w:rFonts w:hint="default" w:ascii="Cambria Math" w:hAnsi="Cambria Math" w:eastAsia="仿宋" w:cs="Times New Roman"/>
                        <w:color w:val="auto"/>
                        <w:kern w:val="2"/>
                        <w:sz w:val="24"/>
                        <w:szCs w:val="24"/>
                        <w:lang w:val="en-US" w:eastAsia="zh-CN" w:bidi="ar-SA"/>
                      </w:rPr>
                    </m:ctrlPr>
                  </m:sub>
                </m:sSub>
                <m:d>
                  <m:dPr>
                    <m:begChr m:val="["/>
                    <m:endChr m:val="]"/>
                    <m:ctrlPr>
                      <w:rPr>
                        <w:rFonts w:hint="default" w:ascii="Cambria Math" w:hAnsi="Cambria Math" w:eastAsia="仿宋" w:cs="Times New Roman"/>
                        <w:color w:val="auto"/>
                        <w:kern w:val="2"/>
                        <w:sz w:val="24"/>
                        <w:szCs w:val="24"/>
                        <w:lang w:val="en-US" w:eastAsia="zh-CN" w:bidi="ar-SA"/>
                      </w:rPr>
                    </m:ctrlPr>
                  </m:dPr>
                  <m:e>
                    <m:f>
                      <m:fPr>
                        <m:ctrlPr>
                          <w:rPr>
                            <w:rFonts w:hint="default" w:ascii="Cambria Math" w:hAnsi="Cambria Math" w:eastAsia="仿宋" w:cs="Times New Roman"/>
                            <w:color w:val="auto"/>
                            <w:kern w:val="2"/>
                            <w:sz w:val="24"/>
                            <w:szCs w:val="24"/>
                            <w:lang w:val="en-US" w:eastAsia="zh-CN" w:bidi="ar-SA"/>
                          </w:rPr>
                        </m:ctrlPr>
                      </m:fPr>
                      <m:num>
                        <m:r>
                          <m:rPr>
                            <m:sty m:val="p"/>
                          </m:rPr>
                          <w:rPr>
                            <w:rFonts w:hint="default" w:ascii="Cambria Math" w:hAnsi="Cambria Math" w:eastAsia="仿宋" w:cs="Times New Roman"/>
                            <w:color w:val="auto"/>
                            <w:kern w:val="2"/>
                            <w:sz w:val="24"/>
                            <w:szCs w:val="24"/>
                            <w:lang w:val="en-US" w:eastAsia="zh-CN" w:bidi="ar-SA"/>
                          </w:rPr>
                          <m:t>1</m:t>
                        </m:r>
                        <m:ctrlPr>
                          <w:rPr>
                            <w:rFonts w:hint="default" w:ascii="Cambria Math" w:hAnsi="Cambria Math" w:eastAsia="仿宋" w:cs="Times New Roman"/>
                            <w:color w:val="auto"/>
                            <w:kern w:val="2"/>
                            <w:sz w:val="24"/>
                            <w:szCs w:val="24"/>
                            <w:lang w:val="en-US" w:eastAsia="zh-CN" w:bidi="ar-SA"/>
                          </w:rPr>
                        </m:ctrlPr>
                      </m:num>
                      <m:den>
                        <m:r>
                          <m:rPr>
                            <m:sty m:val="p"/>
                          </m:rPr>
                          <w:rPr>
                            <w:rFonts w:hint="default" w:ascii="Cambria Math" w:hAnsi="Cambria Math" w:eastAsia="仿宋" w:cs="Times New Roman"/>
                            <w:color w:val="auto"/>
                            <w:kern w:val="2"/>
                            <w:sz w:val="24"/>
                            <w:szCs w:val="24"/>
                            <w:lang w:val="en-US" w:eastAsia="zh-CN" w:bidi="ar-SA"/>
                          </w:rPr>
                          <m:t>T</m:t>
                        </m:r>
                        <m:ctrlPr>
                          <w:rPr>
                            <w:rFonts w:hint="default" w:ascii="Cambria Math" w:hAnsi="Cambria Math" w:eastAsia="仿宋" w:cs="Times New Roman"/>
                            <w:color w:val="auto"/>
                            <w:kern w:val="2"/>
                            <w:sz w:val="24"/>
                            <w:szCs w:val="24"/>
                            <w:lang w:val="en-US" w:eastAsia="zh-CN" w:bidi="ar-SA"/>
                          </w:rPr>
                        </m:ctrlPr>
                      </m:den>
                    </m:f>
                    <m:d>
                      <m:dPr>
                        <m:ctrlPr>
                          <w:rPr>
                            <w:rFonts w:hint="default" w:ascii="Cambria Math" w:hAnsi="Cambria Math" w:eastAsia="仿宋" w:cs="Times New Roman"/>
                            <w:color w:val="auto"/>
                            <w:kern w:val="2"/>
                            <w:sz w:val="24"/>
                            <w:szCs w:val="24"/>
                            <w:lang w:val="en-US" w:eastAsia="zh-CN" w:bidi="ar-SA"/>
                          </w:rPr>
                        </m:ctrlPr>
                      </m:dPr>
                      <m:e>
                        <m:nary>
                          <m:naryPr>
                            <m:chr m:val="∑"/>
                            <m:limLoc m:val="undOvr"/>
                            <m:ctrlPr>
                              <w:rPr>
                                <w:rFonts w:hint="default" w:ascii="Cambria Math" w:hAnsi="Cambria Math" w:eastAsia="仿宋" w:cs="Times New Roman"/>
                                <w:color w:val="auto"/>
                                <w:kern w:val="2"/>
                                <w:sz w:val="24"/>
                                <w:szCs w:val="24"/>
                                <w:lang w:val="en-US" w:eastAsia="zh-CN" w:bidi="ar-SA"/>
                              </w:rPr>
                            </m:ctrlPr>
                          </m:naryPr>
                          <m:sub>
                            <m:r>
                              <m:rPr>
                                <m:sty m:val="p"/>
                              </m:rPr>
                              <w:rPr>
                                <w:rFonts w:hint="default" w:ascii="Cambria Math" w:hAnsi="Cambria Math" w:eastAsia="仿宋" w:cs="Times New Roman"/>
                                <w:color w:val="auto"/>
                                <w:kern w:val="2"/>
                                <w:sz w:val="24"/>
                                <w:szCs w:val="24"/>
                                <w:lang w:val="en-US" w:eastAsia="zh-CN" w:bidi="ar-SA"/>
                              </w:rPr>
                              <m:t>t=1</m:t>
                            </m:r>
                            <m:ctrlPr>
                              <w:rPr>
                                <w:rFonts w:hint="default" w:ascii="Cambria Math" w:hAnsi="Cambria Math" w:eastAsia="仿宋" w:cs="Times New Roman"/>
                                <w:color w:val="auto"/>
                                <w:kern w:val="2"/>
                                <w:sz w:val="24"/>
                                <w:szCs w:val="24"/>
                                <w:lang w:val="en-US" w:eastAsia="zh-CN" w:bidi="ar-SA"/>
                              </w:rPr>
                            </m:ctrlPr>
                          </m:sub>
                          <m:sup>
                            <m:r>
                              <m:rPr>
                                <m:sty m:val="p"/>
                              </m:rPr>
                              <w:rPr>
                                <w:rFonts w:hint="default" w:ascii="Cambria Math" w:hAnsi="Cambria Math" w:eastAsia="仿宋" w:cs="Times New Roman"/>
                                <w:color w:val="auto"/>
                                <w:kern w:val="2"/>
                                <w:sz w:val="24"/>
                                <w:szCs w:val="24"/>
                                <w:lang w:val="en-US" w:eastAsia="zh-CN" w:bidi="ar-SA"/>
                              </w:rPr>
                              <m:t>N</m:t>
                            </m:r>
                            <m:ctrlPr>
                              <w:rPr>
                                <w:rFonts w:hint="default" w:ascii="Cambria Math" w:hAnsi="Cambria Math" w:eastAsia="仿宋" w:cs="Times New Roman"/>
                                <w:color w:val="auto"/>
                                <w:kern w:val="2"/>
                                <w:sz w:val="24"/>
                                <w:szCs w:val="24"/>
                                <w:lang w:val="en-US" w:eastAsia="zh-CN" w:bidi="ar-SA"/>
                              </w:rPr>
                            </m:ctrlPr>
                          </m:sup>
                          <m:e>
                            <m:sSub>
                              <m:sSubPr>
                                <m:ctrlPr>
                                  <w:rPr>
                                    <w:rFonts w:hint="default" w:ascii="Cambria Math" w:hAnsi="Cambria Math" w:eastAsia="仿宋" w:cs="Times New Roman"/>
                                    <w:color w:val="auto"/>
                                    <w:kern w:val="2"/>
                                    <w:sz w:val="24"/>
                                    <w:szCs w:val="24"/>
                                    <w:lang w:val="en-US" w:eastAsia="zh-CN" w:bidi="ar-SA"/>
                                  </w:rPr>
                                </m:ctrlPr>
                              </m:sSubPr>
                              <m:e>
                                <m:r>
                                  <m:rPr>
                                    <m:sty m:val="p"/>
                                  </m:rPr>
                                  <w:rPr>
                                    <w:rFonts w:hint="default" w:ascii="Cambria Math" w:hAnsi="Cambria Math" w:eastAsia="仿宋" w:cs="Times New Roman"/>
                                    <w:color w:val="auto"/>
                                    <w:kern w:val="2"/>
                                    <w:sz w:val="24"/>
                                    <w:szCs w:val="24"/>
                                    <w:lang w:val="en-US" w:eastAsia="zh-CN" w:bidi="ar-SA"/>
                                  </w:rPr>
                                  <m:t>t</m:t>
                                </m:r>
                                <m:ctrlPr>
                                  <w:rPr>
                                    <w:rFonts w:hint="default" w:ascii="Cambria Math" w:hAnsi="Cambria Math" w:eastAsia="仿宋" w:cs="Times New Roman"/>
                                    <w:color w:val="auto"/>
                                    <w:kern w:val="2"/>
                                    <w:sz w:val="24"/>
                                    <w:szCs w:val="24"/>
                                    <w:lang w:val="en-US" w:eastAsia="zh-CN" w:bidi="ar-SA"/>
                                  </w:rPr>
                                </m:ctrlPr>
                              </m:e>
                              <m:sub>
                                <m:r>
                                  <m:rPr>
                                    <m:sty m:val="p"/>
                                  </m:rPr>
                                  <w:rPr>
                                    <w:rFonts w:hint="default" w:ascii="Cambria Math" w:hAnsi="Cambria Math" w:eastAsia="仿宋" w:cs="Times New Roman"/>
                                    <w:color w:val="auto"/>
                                    <w:kern w:val="2"/>
                                    <w:sz w:val="24"/>
                                    <w:szCs w:val="24"/>
                                    <w:lang w:val="en-US" w:eastAsia="zh-CN" w:bidi="ar-SA"/>
                                  </w:rPr>
                                  <m:t>i</m:t>
                                </m:r>
                                <m:ctrlPr>
                                  <w:rPr>
                                    <w:rFonts w:hint="default" w:ascii="Cambria Math" w:hAnsi="Cambria Math" w:eastAsia="仿宋" w:cs="Times New Roman"/>
                                    <w:color w:val="auto"/>
                                    <w:kern w:val="2"/>
                                    <w:sz w:val="24"/>
                                    <w:szCs w:val="24"/>
                                    <w:lang w:val="en-US" w:eastAsia="zh-CN" w:bidi="ar-SA"/>
                                  </w:rPr>
                                </m:ctrlPr>
                              </m:sub>
                            </m:sSub>
                            <m:ctrlPr>
                              <w:rPr>
                                <w:rFonts w:hint="default" w:ascii="Cambria Math" w:hAnsi="Cambria Math" w:eastAsia="仿宋" w:cs="Times New Roman"/>
                                <w:color w:val="auto"/>
                                <w:kern w:val="2"/>
                                <w:sz w:val="24"/>
                                <w:szCs w:val="24"/>
                                <w:lang w:val="en-US" w:eastAsia="zh-CN" w:bidi="ar-SA"/>
                              </w:rPr>
                            </m:ctrlPr>
                          </m:e>
                        </m:nary>
                        <m:sSup>
                          <m:sSupPr>
                            <m:ctrlPr>
                              <w:rPr>
                                <w:rFonts w:hint="default" w:ascii="Cambria Math" w:hAnsi="Cambria Math" w:eastAsia="仿宋" w:cs="Times New Roman"/>
                                <w:color w:val="auto"/>
                                <w:kern w:val="2"/>
                                <w:sz w:val="24"/>
                                <w:szCs w:val="24"/>
                                <w:lang w:val="en-US" w:eastAsia="zh-CN" w:bidi="ar-SA"/>
                              </w:rPr>
                            </m:ctrlPr>
                          </m:sSupPr>
                          <m:e>
                            <m:r>
                              <m:rPr>
                                <m:sty m:val="p"/>
                              </m:rPr>
                              <w:rPr>
                                <w:rFonts w:hint="default" w:ascii="Cambria Math" w:hAnsi="Cambria Math" w:eastAsia="仿宋" w:cs="Times New Roman"/>
                                <w:color w:val="auto"/>
                                <w:kern w:val="2"/>
                                <w:sz w:val="24"/>
                                <w:szCs w:val="24"/>
                                <w:lang w:val="en-US" w:eastAsia="zh-CN" w:bidi="ar-SA"/>
                              </w:rPr>
                              <m:t>10</m:t>
                            </m:r>
                            <m:ctrlPr>
                              <w:rPr>
                                <w:rFonts w:hint="default" w:ascii="Cambria Math" w:hAnsi="Cambria Math" w:eastAsia="仿宋" w:cs="Times New Roman"/>
                                <w:color w:val="auto"/>
                                <w:kern w:val="2"/>
                                <w:sz w:val="24"/>
                                <w:szCs w:val="24"/>
                                <w:lang w:val="en-US" w:eastAsia="zh-CN" w:bidi="ar-SA"/>
                              </w:rPr>
                            </m:ctrlPr>
                          </m:e>
                          <m:sup>
                            <m:r>
                              <m:rPr>
                                <m:sty m:val="p"/>
                              </m:rPr>
                              <w:rPr>
                                <w:rFonts w:hint="default" w:ascii="Cambria Math" w:hAnsi="Cambria Math" w:eastAsia="仿宋" w:cs="Times New Roman"/>
                                <w:color w:val="auto"/>
                                <w:kern w:val="2"/>
                                <w:sz w:val="24"/>
                                <w:szCs w:val="24"/>
                                <w:lang w:val="en-US" w:eastAsia="zh-CN" w:bidi="ar-SA"/>
                              </w:rPr>
                              <m:t>0.1</m:t>
                            </m:r>
                            <m:sSub>
                              <m:sSubPr>
                                <m:ctrlPr>
                                  <w:rPr>
                                    <w:rFonts w:hint="default" w:ascii="Cambria Math" w:hAnsi="Cambria Math" w:eastAsia="仿宋" w:cs="Times New Roman"/>
                                    <w:color w:val="auto"/>
                                    <w:kern w:val="2"/>
                                    <w:sz w:val="24"/>
                                    <w:szCs w:val="24"/>
                                    <w:lang w:val="en-US" w:eastAsia="zh-CN" w:bidi="ar-SA"/>
                                  </w:rPr>
                                </m:ctrlPr>
                              </m:sSubPr>
                              <m:e>
                                <m:r>
                                  <m:rPr>
                                    <m:sty m:val="p"/>
                                  </m:rPr>
                                  <w:rPr>
                                    <w:rFonts w:hint="default" w:ascii="Cambria Math" w:hAnsi="Cambria Math" w:eastAsia="仿宋" w:cs="Times New Roman"/>
                                    <w:color w:val="auto"/>
                                    <w:kern w:val="2"/>
                                    <w:sz w:val="24"/>
                                    <w:szCs w:val="24"/>
                                    <w:lang w:val="en-US" w:eastAsia="zh-CN" w:bidi="ar-SA"/>
                                  </w:rPr>
                                  <m:t>L</m:t>
                                </m:r>
                                <m:ctrlPr>
                                  <w:rPr>
                                    <w:rFonts w:hint="default" w:ascii="Cambria Math" w:hAnsi="Cambria Math" w:eastAsia="仿宋" w:cs="Times New Roman"/>
                                    <w:color w:val="auto"/>
                                    <w:kern w:val="2"/>
                                    <w:sz w:val="24"/>
                                    <w:szCs w:val="24"/>
                                    <w:lang w:val="en-US" w:eastAsia="zh-CN" w:bidi="ar-SA"/>
                                  </w:rPr>
                                </m:ctrlPr>
                              </m:e>
                              <m:sub>
                                <m:r>
                                  <m:rPr>
                                    <m:sty m:val="p"/>
                                  </m:rPr>
                                  <w:rPr>
                                    <w:rFonts w:hint="default" w:ascii="Cambria Math" w:hAnsi="Cambria Math" w:eastAsia="仿宋" w:cs="Times New Roman"/>
                                    <w:color w:val="auto"/>
                                    <w:kern w:val="2"/>
                                    <w:sz w:val="24"/>
                                    <w:szCs w:val="24"/>
                                    <w:lang w:val="en-US" w:eastAsia="zh-CN" w:bidi="ar-SA"/>
                                  </w:rPr>
                                  <m:t>Aj</m:t>
                                </m:r>
                                <m:ctrlPr>
                                  <w:rPr>
                                    <w:rFonts w:hint="default" w:ascii="Cambria Math" w:hAnsi="Cambria Math" w:eastAsia="仿宋" w:cs="Times New Roman"/>
                                    <w:color w:val="auto"/>
                                    <w:kern w:val="2"/>
                                    <w:sz w:val="24"/>
                                    <w:szCs w:val="24"/>
                                    <w:lang w:val="en-US" w:eastAsia="zh-CN" w:bidi="ar-SA"/>
                                  </w:rPr>
                                </m:ctrlPr>
                              </m:sub>
                            </m:sSub>
                            <m:ctrlPr>
                              <w:rPr>
                                <w:rFonts w:hint="default" w:ascii="Cambria Math" w:hAnsi="Cambria Math" w:eastAsia="仿宋" w:cs="Times New Roman"/>
                                <w:color w:val="auto"/>
                                <w:kern w:val="2"/>
                                <w:sz w:val="24"/>
                                <w:szCs w:val="24"/>
                                <w:lang w:val="en-US" w:eastAsia="zh-CN" w:bidi="ar-SA"/>
                              </w:rPr>
                            </m:ctrlPr>
                          </m:sup>
                        </m:sSup>
                        <m:r>
                          <m:rPr>
                            <m:sty m:val="p"/>
                          </m:rPr>
                          <w:rPr>
                            <w:rFonts w:hint="default" w:ascii="Cambria Math" w:hAnsi="Cambria Math" w:eastAsia="仿宋" w:cs="Times New Roman"/>
                            <w:color w:val="auto"/>
                            <w:kern w:val="2"/>
                            <w:sz w:val="24"/>
                            <w:szCs w:val="24"/>
                            <w:lang w:val="en-US" w:eastAsia="zh-CN" w:bidi="ar-SA"/>
                          </w:rPr>
                          <m:t>+</m:t>
                        </m:r>
                        <m:nary>
                          <m:naryPr>
                            <m:chr m:val="∑"/>
                            <m:limLoc m:val="undOvr"/>
                            <m:ctrlPr>
                              <w:rPr>
                                <w:rFonts w:hint="default" w:ascii="Cambria Math" w:hAnsi="Cambria Math" w:eastAsia="仿宋" w:cs="Times New Roman"/>
                                <w:color w:val="auto"/>
                                <w:kern w:val="2"/>
                                <w:sz w:val="24"/>
                                <w:szCs w:val="24"/>
                                <w:lang w:val="en-US" w:eastAsia="zh-CN" w:bidi="ar-SA"/>
                              </w:rPr>
                            </m:ctrlPr>
                          </m:naryPr>
                          <m:sub>
                            <m:r>
                              <m:rPr>
                                <m:sty m:val="p"/>
                              </m:rPr>
                              <w:rPr>
                                <w:rFonts w:hint="default" w:ascii="Cambria Math" w:hAnsi="Cambria Math" w:eastAsia="仿宋" w:cs="Times New Roman"/>
                                <w:color w:val="auto"/>
                                <w:kern w:val="2"/>
                                <w:sz w:val="24"/>
                                <w:szCs w:val="24"/>
                                <w:lang w:val="en-US" w:eastAsia="zh-CN" w:bidi="ar-SA"/>
                              </w:rPr>
                              <m:t>j=1</m:t>
                            </m:r>
                            <m:ctrlPr>
                              <w:rPr>
                                <w:rFonts w:hint="default" w:ascii="Cambria Math" w:hAnsi="Cambria Math" w:eastAsia="仿宋" w:cs="Times New Roman"/>
                                <w:color w:val="auto"/>
                                <w:kern w:val="2"/>
                                <w:sz w:val="24"/>
                                <w:szCs w:val="24"/>
                                <w:lang w:val="en-US" w:eastAsia="zh-CN" w:bidi="ar-SA"/>
                              </w:rPr>
                            </m:ctrlPr>
                          </m:sub>
                          <m:sup>
                            <m:r>
                              <m:rPr>
                                <m:sty m:val="p"/>
                              </m:rPr>
                              <w:rPr>
                                <w:rFonts w:hint="default" w:ascii="Cambria Math" w:hAnsi="Cambria Math" w:eastAsia="仿宋" w:cs="Times New Roman"/>
                                <w:color w:val="auto"/>
                                <w:kern w:val="2"/>
                                <w:sz w:val="24"/>
                                <w:szCs w:val="24"/>
                                <w:lang w:val="en-US" w:eastAsia="zh-CN" w:bidi="ar-SA"/>
                              </w:rPr>
                              <m:t>M</m:t>
                            </m:r>
                            <m:ctrlPr>
                              <w:rPr>
                                <w:rFonts w:hint="default" w:ascii="Cambria Math" w:hAnsi="Cambria Math" w:eastAsia="仿宋" w:cs="Times New Roman"/>
                                <w:color w:val="auto"/>
                                <w:kern w:val="2"/>
                                <w:sz w:val="24"/>
                                <w:szCs w:val="24"/>
                                <w:lang w:val="en-US" w:eastAsia="zh-CN" w:bidi="ar-SA"/>
                              </w:rPr>
                            </m:ctrlPr>
                          </m:sup>
                          <m:e>
                            <m:sSub>
                              <m:sSubPr>
                                <m:ctrlPr>
                                  <w:rPr>
                                    <w:rFonts w:hint="default" w:ascii="Cambria Math" w:hAnsi="Cambria Math" w:eastAsia="仿宋" w:cs="Times New Roman"/>
                                    <w:color w:val="auto"/>
                                    <w:kern w:val="2"/>
                                    <w:sz w:val="24"/>
                                    <w:szCs w:val="24"/>
                                    <w:lang w:val="en-US" w:eastAsia="zh-CN" w:bidi="ar-SA"/>
                                  </w:rPr>
                                </m:ctrlPr>
                              </m:sSubPr>
                              <m:e>
                                <m:r>
                                  <m:rPr>
                                    <m:sty m:val="p"/>
                                  </m:rPr>
                                  <w:rPr>
                                    <w:rFonts w:hint="default" w:ascii="Cambria Math" w:hAnsi="Cambria Math" w:eastAsia="仿宋" w:cs="Times New Roman"/>
                                    <w:color w:val="auto"/>
                                    <w:kern w:val="2"/>
                                    <w:sz w:val="24"/>
                                    <w:szCs w:val="24"/>
                                    <w:lang w:val="en-US" w:eastAsia="zh-CN" w:bidi="ar-SA"/>
                                  </w:rPr>
                                  <m:t>t</m:t>
                                </m:r>
                                <m:ctrlPr>
                                  <w:rPr>
                                    <w:rFonts w:hint="default" w:ascii="Cambria Math" w:hAnsi="Cambria Math" w:eastAsia="仿宋" w:cs="Times New Roman"/>
                                    <w:color w:val="auto"/>
                                    <w:kern w:val="2"/>
                                    <w:sz w:val="24"/>
                                    <w:szCs w:val="24"/>
                                    <w:lang w:val="en-US" w:eastAsia="zh-CN" w:bidi="ar-SA"/>
                                  </w:rPr>
                                </m:ctrlPr>
                              </m:e>
                              <m:sub>
                                <m:r>
                                  <m:rPr>
                                    <m:sty m:val="p"/>
                                  </m:rPr>
                                  <w:rPr>
                                    <w:rFonts w:hint="default" w:ascii="Cambria Math" w:hAnsi="Cambria Math" w:eastAsia="仿宋" w:cs="Times New Roman"/>
                                    <w:color w:val="auto"/>
                                    <w:kern w:val="2"/>
                                    <w:sz w:val="24"/>
                                    <w:szCs w:val="24"/>
                                    <w:lang w:val="en-US" w:eastAsia="zh-CN" w:bidi="ar-SA"/>
                                  </w:rPr>
                                  <m:t>j</m:t>
                                </m:r>
                                <m:ctrlPr>
                                  <w:rPr>
                                    <w:rFonts w:hint="default" w:ascii="Cambria Math" w:hAnsi="Cambria Math" w:eastAsia="仿宋" w:cs="Times New Roman"/>
                                    <w:color w:val="auto"/>
                                    <w:kern w:val="2"/>
                                    <w:sz w:val="24"/>
                                    <w:szCs w:val="24"/>
                                    <w:lang w:val="en-US" w:eastAsia="zh-CN" w:bidi="ar-SA"/>
                                  </w:rPr>
                                </m:ctrlPr>
                              </m:sub>
                            </m:sSub>
                            <m:sSup>
                              <m:sSupPr>
                                <m:ctrlPr>
                                  <w:rPr>
                                    <w:rFonts w:hint="default" w:ascii="Cambria Math" w:hAnsi="Cambria Math" w:eastAsia="仿宋" w:cs="Times New Roman"/>
                                    <w:color w:val="auto"/>
                                    <w:kern w:val="2"/>
                                    <w:sz w:val="24"/>
                                    <w:szCs w:val="24"/>
                                    <w:lang w:val="en-US" w:eastAsia="zh-CN" w:bidi="ar-SA"/>
                                  </w:rPr>
                                </m:ctrlPr>
                              </m:sSupPr>
                              <m:e>
                                <m:r>
                                  <m:rPr>
                                    <m:sty m:val="p"/>
                                  </m:rPr>
                                  <w:rPr>
                                    <w:rFonts w:hint="default" w:ascii="Cambria Math" w:hAnsi="Cambria Math" w:eastAsia="仿宋" w:cs="Times New Roman"/>
                                    <w:color w:val="auto"/>
                                    <w:kern w:val="2"/>
                                    <w:sz w:val="24"/>
                                    <w:szCs w:val="24"/>
                                    <w:lang w:val="en-US" w:eastAsia="zh-CN" w:bidi="ar-SA"/>
                                  </w:rPr>
                                  <m:t>10</m:t>
                                </m:r>
                                <m:ctrlPr>
                                  <w:rPr>
                                    <w:rFonts w:hint="default" w:ascii="Cambria Math" w:hAnsi="Cambria Math" w:eastAsia="仿宋" w:cs="Times New Roman"/>
                                    <w:color w:val="auto"/>
                                    <w:kern w:val="2"/>
                                    <w:sz w:val="24"/>
                                    <w:szCs w:val="24"/>
                                    <w:lang w:val="en-US" w:eastAsia="zh-CN" w:bidi="ar-SA"/>
                                  </w:rPr>
                                </m:ctrlPr>
                              </m:e>
                              <m:sup>
                                <m:r>
                                  <m:rPr>
                                    <m:sty m:val="p"/>
                                  </m:rPr>
                                  <w:rPr>
                                    <w:rFonts w:hint="default" w:ascii="Cambria Math" w:hAnsi="Cambria Math" w:eastAsia="仿宋" w:cs="Times New Roman"/>
                                    <w:color w:val="auto"/>
                                    <w:kern w:val="2"/>
                                    <w:sz w:val="24"/>
                                    <w:szCs w:val="24"/>
                                    <w:lang w:val="en-US" w:eastAsia="zh-CN" w:bidi="ar-SA"/>
                                  </w:rPr>
                                  <m:t>0.1</m:t>
                                </m:r>
                                <m:sSub>
                                  <m:sSubPr>
                                    <m:ctrlPr>
                                      <w:rPr>
                                        <w:rFonts w:hint="default" w:ascii="Cambria Math" w:hAnsi="Cambria Math" w:eastAsia="仿宋" w:cs="Times New Roman"/>
                                        <w:color w:val="auto"/>
                                        <w:kern w:val="2"/>
                                        <w:sz w:val="24"/>
                                        <w:szCs w:val="24"/>
                                        <w:lang w:val="en-US" w:eastAsia="zh-CN" w:bidi="ar-SA"/>
                                      </w:rPr>
                                    </m:ctrlPr>
                                  </m:sSubPr>
                                  <m:e>
                                    <m:r>
                                      <m:rPr>
                                        <m:sty m:val="p"/>
                                      </m:rPr>
                                      <w:rPr>
                                        <w:rFonts w:hint="default" w:ascii="Cambria Math" w:hAnsi="Cambria Math" w:eastAsia="仿宋" w:cs="Times New Roman"/>
                                        <w:color w:val="auto"/>
                                        <w:kern w:val="2"/>
                                        <w:sz w:val="24"/>
                                        <w:szCs w:val="24"/>
                                        <w:lang w:val="en-US" w:eastAsia="zh-CN" w:bidi="ar-SA"/>
                                      </w:rPr>
                                      <m:t>L</m:t>
                                    </m:r>
                                    <m:ctrlPr>
                                      <w:rPr>
                                        <w:rFonts w:hint="default" w:ascii="Cambria Math" w:hAnsi="Cambria Math" w:eastAsia="仿宋" w:cs="Times New Roman"/>
                                        <w:color w:val="auto"/>
                                        <w:kern w:val="2"/>
                                        <w:sz w:val="24"/>
                                        <w:szCs w:val="24"/>
                                        <w:lang w:val="en-US" w:eastAsia="zh-CN" w:bidi="ar-SA"/>
                                      </w:rPr>
                                    </m:ctrlPr>
                                  </m:e>
                                  <m:sub>
                                    <m:r>
                                      <m:rPr>
                                        <m:sty m:val="p"/>
                                      </m:rPr>
                                      <w:rPr>
                                        <w:rFonts w:hint="default" w:ascii="Cambria Math" w:hAnsi="Cambria Math" w:eastAsia="仿宋" w:cs="Times New Roman"/>
                                        <w:color w:val="auto"/>
                                        <w:kern w:val="2"/>
                                        <w:sz w:val="24"/>
                                        <w:szCs w:val="24"/>
                                        <w:lang w:val="en-US" w:eastAsia="zh-CN" w:bidi="ar-SA"/>
                                      </w:rPr>
                                      <m:t>Aj</m:t>
                                    </m:r>
                                    <m:ctrlPr>
                                      <w:rPr>
                                        <w:rFonts w:hint="default" w:ascii="Cambria Math" w:hAnsi="Cambria Math" w:eastAsia="仿宋" w:cs="Times New Roman"/>
                                        <w:color w:val="auto"/>
                                        <w:kern w:val="2"/>
                                        <w:sz w:val="24"/>
                                        <w:szCs w:val="24"/>
                                        <w:lang w:val="en-US" w:eastAsia="zh-CN" w:bidi="ar-SA"/>
                                      </w:rPr>
                                    </m:ctrlPr>
                                  </m:sub>
                                </m:sSub>
                                <m:ctrlPr>
                                  <w:rPr>
                                    <w:rFonts w:hint="default" w:ascii="Cambria Math" w:hAnsi="Cambria Math" w:eastAsia="仿宋" w:cs="Times New Roman"/>
                                    <w:color w:val="auto"/>
                                    <w:kern w:val="2"/>
                                    <w:sz w:val="24"/>
                                    <w:szCs w:val="24"/>
                                    <w:lang w:val="en-US" w:eastAsia="zh-CN" w:bidi="ar-SA"/>
                                  </w:rPr>
                                </m:ctrlPr>
                              </m:sup>
                            </m:sSup>
                            <m:ctrlPr>
                              <w:rPr>
                                <w:rFonts w:hint="default" w:ascii="Cambria Math" w:hAnsi="Cambria Math" w:eastAsia="仿宋" w:cs="Times New Roman"/>
                                <w:color w:val="auto"/>
                                <w:kern w:val="2"/>
                                <w:sz w:val="24"/>
                                <w:szCs w:val="24"/>
                                <w:lang w:val="en-US" w:eastAsia="zh-CN" w:bidi="ar-SA"/>
                              </w:rPr>
                            </m:ctrlPr>
                          </m:e>
                        </m:nary>
                        <m:ctrlPr>
                          <w:rPr>
                            <w:rFonts w:hint="default" w:ascii="Cambria Math" w:hAnsi="Cambria Math" w:eastAsia="仿宋" w:cs="Times New Roman"/>
                            <w:color w:val="auto"/>
                            <w:kern w:val="2"/>
                            <w:sz w:val="24"/>
                            <w:szCs w:val="24"/>
                            <w:lang w:val="en-US" w:eastAsia="zh-CN" w:bidi="ar-SA"/>
                          </w:rPr>
                        </m:ctrlPr>
                      </m:e>
                    </m:d>
                    <m:ctrlPr>
                      <w:rPr>
                        <w:rFonts w:hint="default" w:ascii="Cambria Math" w:hAnsi="Cambria Math" w:eastAsia="仿宋" w:cs="Times New Roman"/>
                        <w:color w:val="auto"/>
                        <w:kern w:val="2"/>
                        <w:sz w:val="24"/>
                        <w:szCs w:val="24"/>
                        <w:lang w:val="en-US" w:eastAsia="zh-CN" w:bidi="ar-SA"/>
                      </w:rPr>
                    </m:ctrlPr>
                  </m:e>
                </m:d>
              </m:oMath>
            </m:oMathPara>
          </w:p>
          <w:p w14:paraId="5D616155">
            <w:pPr>
              <w:pStyle w:val="38"/>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kern w:val="2"/>
                <w:sz w:val="24"/>
                <w:szCs w:val="24"/>
                <w:lang w:val="en-US" w:eastAsia="zh-CN" w:bidi="ar-SA"/>
              </w:rPr>
            </w:pPr>
          </w:p>
          <w:p w14:paraId="23347A41">
            <w:pPr>
              <w:pStyle w:val="38"/>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式中：tj——在T时间内j声源工作时间，s；</w:t>
            </w:r>
          </w:p>
          <w:p w14:paraId="56F91DD4">
            <w:pPr>
              <w:pStyle w:val="38"/>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ti——在T时间内i声源工作时间，s；</w:t>
            </w:r>
          </w:p>
          <w:p w14:paraId="4E4ADA89">
            <w:pPr>
              <w:pStyle w:val="38"/>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T——用于计算等效声级的时间，s；</w:t>
            </w:r>
          </w:p>
          <w:p w14:paraId="74C643E9">
            <w:pPr>
              <w:pStyle w:val="38"/>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N——室外声源个数；</w:t>
            </w:r>
          </w:p>
          <w:p w14:paraId="573A3C7C">
            <w:pPr>
              <w:pStyle w:val="38"/>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M——等效室外声源个数。</w:t>
            </w:r>
          </w:p>
          <w:p w14:paraId="11ECC946">
            <w:pPr>
              <w:pStyle w:val="38"/>
              <w:keepNext w:val="0"/>
              <w:keepLines w:val="0"/>
              <w:pageBreakBefore w:val="0"/>
              <w:widowControl/>
              <w:kinsoku/>
              <w:wordWrap/>
              <w:overflowPunct/>
              <w:topLinePunct w:val="0"/>
              <w:autoSpaceDE/>
              <w:autoSpaceDN/>
              <w:bidi w:val="0"/>
              <w:adjustRightInd/>
              <w:spacing w:line="440" w:lineRule="exact"/>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根据以上预测方法，以现状监测结果最大值作为最大背景值，预测本项目完成后各监测点的噪声级。建成后各厂界环境噪声预测值见表4-</w:t>
            </w:r>
            <w:r>
              <w:rPr>
                <w:rFonts w:hint="eastAsia" w:ascii="Times New Roman" w:eastAsia="仿宋" w:cs="Times New Roman"/>
                <w:color w:val="auto"/>
                <w:kern w:val="2"/>
                <w:sz w:val="24"/>
                <w:szCs w:val="24"/>
                <w:lang w:val="en-US" w:eastAsia="zh-CN" w:bidi="ar-SA"/>
              </w:rPr>
              <w:t>11</w:t>
            </w:r>
            <w:r>
              <w:rPr>
                <w:rFonts w:hint="default" w:ascii="Times New Roman" w:hAnsi="Times New Roman" w:eastAsia="仿宋" w:cs="Times New Roman"/>
                <w:color w:val="auto"/>
                <w:kern w:val="2"/>
                <w:sz w:val="24"/>
                <w:szCs w:val="24"/>
                <w:lang w:val="en-US" w:eastAsia="zh-CN" w:bidi="ar-SA"/>
              </w:rPr>
              <w:t>。</w:t>
            </w:r>
          </w:p>
          <w:p w14:paraId="41DD08CD">
            <w:pPr>
              <w:pStyle w:val="38"/>
              <w:keepNext w:val="0"/>
              <w:keepLines w:val="0"/>
              <w:pageBreakBefore w:val="0"/>
              <w:widowControl/>
              <w:kinsoku/>
              <w:wordWrap/>
              <w:overflowPunct/>
              <w:topLinePunct w:val="0"/>
              <w:autoSpaceDE/>
              <w:autoSpaceDN/>
              <w:bidi w:val="0"/>
              <w:adjustRightInd/>
              <w:spacing w:line="440" w:lineRule="exact"/>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经厂房隔声和距离衰减后，各厂界噪声情况见下表。</w:t>
            </w:r>
          </w:p>
          <w:p w14:paraId="46A31615">
            <w:pPr>
              <w:spacing w:line="360" w:lineRule="auto"/>
              <w:ind w:firstLine="480" w:firstLineChars="200"/>
              <w:jc w:val="left"/>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根据以上预测方法，以现状监测结果最大值作为最大背景值，预测本项目完成后各监测点的噪声级。建成后各厂界环境噪声预测值见下表。</w:t>
            </w:r>
          </w:p>
          <w:p w14:paraId="339B9908">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表4-1</w:t>
            </w:r>
            <w:r>
              <w:rPr>
                <w:rFonts w:hint="eastAsia" w:ascii="Times New Roman" w:hAnsi="Times New Roman" w:eastAsia="仿宋" w:cs="Times New Roman"/>
                <w:b/>
                <w:bCs/>
                <w:color w:val="auto"/>
                <w:kern w:val="2"/>
                <w:sz w:val="22"/>
                <w:szCs w:val="22"/>
                <w:highlight w:val="none"/>
                <w:lang w:val="en-US" w:eastAsia="zh-CN" w:bidi="ar-SA"/>
              </w:rPr>
              <w:t>4</w:t>
            </w:r>
            <w:r>
              <w:rPr>
                <w:rFonts w:hint="default" w:ascii="Times New Roman" w:hAnsi="Times New Roman" w:eastAsia="仿宋" w:cs="Times New Roman"/>
                <w:b/>
                <w:bCs/>
                <w:color w:val="auto"/>
                <w:kern w:val="2"/>
                <w:sz w:val="22"/>
                <w:szCs w:val="22"/>
                <w:highlight w:val="none"/>
                <w:lang w:val="en-US" w:eastAsia="zh-CN" w:bidi="ar-SA"/>
              </w:rPr>
              <w:t>本项目噪声防治措施一览表</w:t>
            </w:r>
          </w:p>
          <w:tbl>
            <w:tblPr>
              <w:tblStyle w:val="31"/>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1507"/>
              <w:gridCol w:w="721"/>
              <w:gridCol w:w="765"/>
              <w:gridCol w:w="750"/>
              <w:gridCol w:w="793"/>
              <w:gridCol w:w="821"/>
              <w:gridCol w:w="1007"/>
            </w:tblGrid>
            <w:tr w14:paraId="1E89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0" w:type="pct"/>
                  <w:vMerge w:val="restart"/>
                  <w:tcBorders>
                    <w:tl2br w:val="nil"/>
                    <w:tr2bl w:val="nil"/>
                  </w:tcBorders>
                  <w:shd w:val="clear" w:color="auto" w:fill="auto"/>
                  <w:vAlign w:val="center"/>
                </w:tcPr>
                <w:p w14:paraId="05A2076E">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目标</w:t>
                  </w:r>
                </w:p>
              </w:tc>
              <w:tc>
                <w:tcPr>
                  <w:tcW w:w="909" w:type="pct"/>
                  <w:vMerge w:val="restart"/>
                  <w:tcBorders>
                    <w:tl2br w:val="nil"/>
                    <w:tr2bl w:val="nil"/>
                  </w:tcBorders>
                  <w:shd w:val="clear" w:color="auto" w:fill="auto"/>
                  <w:vAlign w:val="center"/>
                </w:tcPr>
                <w:p w14:paraId="2625B572">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噪声源对目标贡献值</w:t>
                  </w:r>
                </w:p>
              </w:tc>
              <w:tc>
                <w:tcPr>
                  <w:tcW w:w="896" w:type="pct"/>
                  <w:gridSpan w:val="2"/>
                  <w:tcBorders>
                    <w:tl2br w:val="nil"/>
                    <w:tr2bl w:val="nil"/>
                  </w:tcBorders>
                  <w:shd w:val="clear" w:color="auto" w:fill="auto"/>
                  <w:vAlign w:val="center"/>
                </w:tcPr>
                <w:p w14:paraId="70F5907C">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本底噪声</w:t>
                  </w:r>
                </w:p>
              </w:tc>
              <w:tc>
                <w:tcPr>
                  <w:tcW w:w="930" w:type="pct"/>
                  <w:gridSpan w:val="2"/>
                  <w:tcBorders>
                    <w:tl2br w:val="nil"/>
                    <w:tr2bl w:val="nil"/>
                  </w:tcBorders>
                  <w:shd w:val="clear" w:color="auto" w:fill="auto"/>
                  <w:vAlign w:val="center"/>
                </w:tcPr>
                <w:p w14:paraId="0DC5D9CB">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厂界预测值</w:t>
                  </w:r>
                </w:p>
              </w:tc>
              <w:tc>
                <w:tcPr>
                  <w:tcW w:w="1102" w:type="pct"/>
                  <w:gridSpan w:val="2"/>
                  <w:tcBorders>
                    <w:tl2br w:val="nil"/>
                    <w:tr2bl w:val="nil"/>
                  </w:tcBorders>
                  <w:shd w:val="clear" w:color="auto" w:fill="auto"/>
                  <w:vAlign w:val="center"/>
                </w:tcPr>
                <w:p w14:paraId="0F449533">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噪声标准</w:t>
                  </w:r>
                </w:p>
              </w:tc>
            </w:tr>
            <w:tr w14:paraId="5009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0" w:type="pct"/>
                  <w:vMerge w:val="continue"/>
                  <w:tcBorders>
                    <w:tl2br w:val="nil"/>
                    <w:tr2bl w:val="nil"/>
                  </w:tcBorders>
                  <w:shd w:val="clear" w:color="auto" w:fill="auto"/>
                  <w:vAlign w:val="center"/>
                </w:tcPr>
                <w:p w14:paraId="2B5AC899">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rPr>
                  </w:pPr>
                </w:p>
              </w:tc>
              <w:tc>
                <w:tcPr>
                  <w:tcW w:w="909" w:type="pct"/>
                  <w:vMerge w:val="continue"/>
                  <w:tcBorders>
                    <w:tl2br w:val="nil"/>
                    <w:tr2bl w:val="nil"/>
                  </w:tcBorders>
                  <w:shd w:val="clear" w:color="auto" w:fill="auto"/>
                  <w:vAlign w:val="center"/>
                </w:tcPr>
                <w:p w14:paraId="01E67C13">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rPr>
                  </w:pPr>
                </w:p>
              </w:tc>
              <w:tc>
                <w:tcPr>
                  <w:tcW w:w="435" w:type="pct"/>
                  <w:tcBorders>
                    <w:tl2br w:val="nil"/>
                    <w:tr2bl w:val="nil"/>
                  </w:tcBorders>
                  <w:shd w:val="clear" w:color="auto" w:fill="auto"/>
                  <w:vAlign w:val="center"/>
                </w:tcPr>
                <w:p w14:paraId="4B80DCD3">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昼间</w:t>
                  </w:r>
                </w:p>
              </w:tc>
              <w:tc>
                <w:tcPr>
                  <w:tcW w:w="461" w:type="pct"/>
                  <w:tcBorders>
                    <w:tl2br w:val="nil"/>
                    <w:tr2bl w:val="nil"/>
                  </w:tcBorders>
                  <w:shd w:val="clear" w:color="auto" w:fill="auto"/>
                  <w:vAlign w:val="center"/>
                </w:tcPr>
                <w:p w14:paraId="701C23CF">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夜间</w:t>
                  </w:r>
                </w:p>
              </w:tc>
              <w:tc>
                <w:tcPr>
                  <w:tcW w:w="452" w:type="pct"/>
                  <w:tcBorders>
                    <w:tl2br w:val="nil"/>
                    <w:tr2bl w:val="nil"/>
                  </w:tcBorders>
                  <w:shd w:val="clear" w:color="auto" w:fill="auto"/>
                  <w:vAlign w:val="center"/>
                </w:tcPr>
                <w:p w14:paraId="2337D0CF">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昼间</w:t>
                  </w:r>
                </w:p>
              </w:tc>
              <w:tc>
                <w:tcPr>
                  <w:tcW w:w="477" w:type="pct"/>
                  <w:tcBorders>
                    <w:tl2br w:val="nil"/>
                    <w:tr2bl w:val="nil"/>
                  </w:tcBorders>
                  <w:shd w:val="clear" w:color="auto" w:fill="auto"/>
                  <w:vAlign w:val="center"/>
                </w:tcPr>
                <w:p w14:paraId="26ACE633">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夜间</w:t>
                  </w:r>
                </w:p>
              </w:tc>
              <w:tc>
                <w:tcPr>
                  <w:tcW w:w="495" w:type="pct"/>
                  <w:tcBorders>
                    <w:tl2br w:val="nil"/>
                    <w:tr2bl w:val="nil"/>
                  </w:tcBorders>
                  <w:shd w:val="clear" w:color="auto" w:fill="auto"/>
                  <w:vAlign w:val="center"/>
                </w:tcPr>
                <w:p w14:paraId="64DD0F6A">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昼间</w:t>
                  </w:r>
                </w:p>
              </w:tc>
              <w:tc>
                <w:tcPr>
                  <w:tcW w:w="606" w:type="pct"/>
                  <w:tcBorders>
                    <w:tl2br w:val="nil"/>
                    <w:tr2bl w:val="nil"/>
                  </w:tcBorders>
                  <w:shd w:val="clear" w:color="auto" w:fill="auto"/>
                  <w:vAlign w:val="center"/>
                </w:tcPr>
                <w:p w14:paraId="42A25AC7">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夜间</w:t>
                  </w:r>
                </w:p>
              </w:tc>
            </w:tr>
            <w:tr w14:paraId="6138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0" w:type="pct"/>
                  <w:tcBorders>
                    <w:tl2br w:val="nil"/>
                    <w:tr2bl w:val="nil"/>
                  </w:tcBorders>
                  <w:shd w:val="clear" w:color="auto" w:fill="auto"/>
                  <w:vAlign w:val="center"/>
                </w:tcPr>
                <w:p w14:paraId="5B1C3AF1">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东厂界</w:t>
                  </w:r>
                </w:p>
              </w:tc>
              <w:tc>
                <w:tcPr>
                  <w:tcW w:w="909" w:type="pct"/>
                  <w:tcBorders>
                    <w:tl2br w:val="nil"/>
                    <w:tr2bl w:val="nil"/>
                  </w:tcBorders>
                  <w:shd w:val="clear" w:color="auto" w:fill="auto"/>
                  <w:vAlign w:val="center"/>
                </w:tcPr>
                <w:p w14:paraId="6FA3BA3E">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39.34</w:t>
                  </w:r>
                </w:p>
              </w:tc>
              <w:tc>
                <w:tcPr>
                  <w:tcW w:w="435" w:type="pct"/>
                  <w:tcBorders>
                    <w:tl2br w:val="nil"/>
                    <w:tr2bl w:val="nil"/>
                  </w:tcBorders>
                  <w:shd w:val="clear" w:color="auto" w:fill="auto"/>
                  <w:vAlign w:val="center"/>
                </w:tcPr>
                <w:p w14:paraId="4B3B57F6">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54.5</w:t>
                  </w:r>
                </w:p>
              </w:tc>
              <w:tc>
                <w:tcPr>
                  <w:tcW w:w="461" w:type="pct"/>
                  <w:tcBorders>
                    <w:tl2br w:val="nil"/>
                    <w:tr2bl w:val="nil"/>
                  </w:tcBorders>
                  <w:shd w:val="clear" w:color="auto" w:fill="auto"/>
                  <w:vAlign w:val="center"/>
                </w:tcPr>
                <w:p w14:paraId="34F5E35F">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46</w:t>
                  </w:r>
                </w:p>
              </w:tc>
              <w:tc>
                <w:tcPr>
                  <w:tcW w:w="750" w:type="dxa"/>
                  <w:tcBorders>
                    <w:tl2br w:val="nil"/>
                    <w:tr2bl w:val="nil"/>
                  </w:tcBorders>
                  <w:shd w:val="clear" w:color="auto" w:fill="auto"/>
                  <w:vAlign w:val="bottom"/>
                </w:tcPr>
                <w:p w14:paraId="7D88599A">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54.63</w:t>
                  </w:r>
                </w:p>
              </w:tc>
              <w:tc>
                <w:tcPr>
                  <w:tcW w:w="792" w:type="dxa"/>
                  <w:tcBorders>
                    <w:tl2br w:val="nil"/>
                    <w:tr2bl w:val="nil"/>
                  </w:tcBorders>
                  <w:shd w:val="clear" w:color="auto" w:fill="auto"/>
                  <w:vAlign w:val="bottom"/>
                </w:tcPr>
                <w:p w14:paraId="164C1BF5">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46.85</w:t>
                  </w:r>
                </w:p>
              </w:tc>
              <w:tc>
                <w:tcPr>
                  <w:tcW w:w="495" w:type="pct"/>
                  <w:tcBorders>
                    <w:tl2br w:val="nil"/>
                    <w:tr2bl w:val="nil"/>
                  </w:tcBorders>
                  <w:shd w:val="clear" w:color="auto" w:fill="auto"/>
                  <w:vAlign w:val="center"/>
                </w:tcPr>
                <w:p w14:paraId="29B2520F">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70</w:t>
                  </w:r>
                </w:p>
              </w:tc>
              <w:tc>
                <w:tcPr>
                  <w:tcW w:w="606" w:type="pct"/>
                  <w:tcBorders>
                    <w:tl2br w:val="nil"/>
                    <w:tr2bl w:val="nil"/>
                  </w:tcBorders>
                  <w:shd w:val="clear" w:color="auto" w:fill="auto"/>
                  <w:vAlign w:val="center"/>
                </w:tcPr>
                <w:p w14:paraId="58535B43">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55</w:t>
                  </w:r>
                </w:p>
              </w:tc>
            </w:tr>
            <w:tr w14:paraId="6283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160" w:type="pct"/>
                  <w:tcBorders>
                    <w:tl2br w:val="nil"/>
                    <w:tr2bl w:val="nil"/>
                  </w:tcBorders>
                  <w:shd w:val="clear" w:color="auto" w:fill="auto"/>
                  <w:vAlign w:val="center"/>
                </w:tcPr>
                <w:p w14:paraId="58621E6F">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南厂界</w:t>
                  </w:r>
                </w:p>
              </w:tc>
              <w:tc>
                <w:tcPr>
                  <w:tcW w:w="909" w:type="pct"/>
                  <w:tcBorders>
                    <w:tl2br w:val="nil"/>
                    <w:tr2bl w:val="nil"/>
                  </w:tcBorders>
                  <w:shd w:val="clear" w:color="auto" w:fill="auto"/>
                  <w:vAlign w:val="center"/>
                </w:tcPr>
                <w:p w14:paraId="67BF46B5">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33.3</w:t>
                  </w:r>
                </w:p>
              </w:tc>
              <w:tc>
                <w:tcPr>
                  <w:tcW w:w="435" w:type="pct"/>
                  <w:tcBorders>
                    <w:tl2br w:val="nil"/>
                    <w:tr2bl w:val="nil"/>
                  </w:tcBorders>
                  <w:shd w:val="clear" w:color="auto" w:fill="auto"/>
                  <w:vAlign w:val="center"/>
                </w:tcPr>
                <w:p w14:paraId="590D26E8">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rPr>
                  </w:pPr>
                  <w:r>
                    <w:rPr>
                      <w:rFonts w:hint="eastAsia" w:ascii="Times New Roman" w:hAnsi="Times New Roman" w:eastAsia="仿宋" w:cs="Times New Roman"/>
                      <w:color w:val="auto"/>
                      <w:kern w:val="0"/>
                      <w:sz w:val="21"/>
                      <w:szCs w:val="21"/>
                      <w:highlight w:val="none"/>
                      <w:lang w:val="en-US" w:eastAsia="zh-CN"/>
                    </w:rPr>
                    <w:t>55.5</w:t>
                  </w:r>
                </w:p>
              </w:tc>
              <w:tc>
                <w:tcPr>
                  <w:tcW w:w="461" w:type="pct"/>
                  <w:tcBorders>
                    <w:tl2br w:val="nil"/>
                    <w:tr2bl w:val="nil"/>
                  </w:tcBorders>
                  <w:shd w:val="clear" w:color="auto" w:fill="auto"/>
                  <w:vAlign w:val="center"/>
                </w:tcPr>
                <w:p w14:paraId="3D04BF3F">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48</w:t>
                  </w:r>
                </w:p>
              </w:tc>
              <w:tc>
                <w:tcPr>
                  <w:tcW w:w="750" w:type="dxa"/>
                  <w:tcBorders>
                    <w:tl2br w:val="nil"/>
                    <w:tr2bl w:val="nil"/>
                  </w:tcBorders>
                  <w:shd w:val="clear" w:color="auto" w:fill="auto"/>
                  <w:vAlign w:val="bottom"/>
                </w:tcPr>
                <w:p w14:paraId="3E79C35A">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55.53</w:t>
                  </w:r>
                </w:p>
              </w:tc>
              <w:tc>
                <w:tcPr>
                  <w:tcW w:w="792" w:type="dxa"/>
                  <w:tcBorders>
                    <w:tl2br w:val="nil"/>
                    <w:tr2bl w:val="nil"/>
                  </w:tcBorders>
                  <w:shd w:val="clear" w:color="auto" w:fill="auto"/>
                  <w:vAlign w:val="bottom"/>
                </w:tcPr>
                <w:p w14:paraId="4B93E318">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48.14</w:t>
                  </w:r>
                </w:p>
              </w:tc>
              <w:tc>
                <w:tcPr>
                  <w:tcW w:w="495" w:type="pct"/>
                  <w:tcBorders>
                    <w:tl2br w:val="nil"/>
                    <w:tr2bl w:val="nil"/>
                  </w:tcBorders>
                  <w:shd w:val="clear" w:color="auto" w:fill="auto"/>
                  <w:vAlign w:val="center"/>
                </w:tcPr>
                <w:p w14:paraId="00BC69BE">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70</w:t>
                  </w:r>
                </w:p>
              </w:tc>
              <w:tc>
                <w:tcPr>
                  <w:tcW w:w="606" w:type="pct"/>
                  <w:tcBorders>
                    <w:tl2br w:val="nil"/>
                    <w:tr2bl w:val="nil"/>
                  </w:tcBorders>
                  <w:shd w:val="clear" w:color="auto" w:fill="auto"/>
                  <w:vAlign w:val="center"/>
                </w:tcPr>
                <w:p w14:paraId="6F1D8014">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55</w:t>
                  </w:r>
                </w:p>
              </w:tc>
            </w:tr>
            <w:tr w14:paraId="2B3E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0" w:type="pct"/>
                  <w:tcBorders>
                    <w:tl2br w:val="nil"/>
                    <w:tr2bl w:val="nil"/>
                  </w:tcBorders>
                  <w:shd w:val="clear" w:color="auto" w:fill="auto"/>
                  <w:vAlign w:val="center"/>
                </w:tcPr>
                <w:p w14:paraId="342886C4">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西厂界</w:t>
                  </w:r>
                </w:p>
              </w:tc>
              <w:tc>
                <w:tcPr>
                  <w:tcW w:w="909" w:type="pct"/>
                  <w:tcBorders>
                    <w:tl2br w:val="nil"/>
                    <w:tr2bl w:val="nil"/>
                  </w:tcBorders>
                  <w:shd w:val="clear" w:color="auto" w:fill="auto"/>
                  <w:vAlign w:val="center"/>
                </w:tcPr>
                <w:p w14:paraId="0827D4AF">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34.27</w:t>
                  </w:r>
                </w:p>
              </w:tc>
              <w:tc>
                <w:tcPr>
                  <w:tcW w:w="435" w:type="pct"/>
                  <w:tcBorders>
                    <w:tl2br w:val="nil"/>
                    <w:tr2bl w:val="nil"/>
                  </w:tcBorders>
                  <w:shd w:val="clear" w:color="auto" w:fill="auto"/>
                  <w:vAlign w:val="center"/>
                </w:tcPr>
                <w:p w14:paraId="573AFA3B">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rPr>
                  </w:pPr>
                  <w:r>
                    <w:rPr>
                      <w:rFonts w:hint="eastAsia" w:ascii="Times New Roman" w:hAnsi="Times New Roman" w:eastAsia="仿宋" w:cs="Times New Roman"/>
                      <w:color w:val="auto"/>
                      <w:kern w:val="0"/>
                      <w:sz w:val="21"/>
                      <w:szCs w:val="21"/>
                      <w:highlight w:val="none"/>
                      <w:lang w:val="en-US" w:eastAsia="zh-CN"/>
                    </w:rPr>
                    <w:t>60.5</w:t>
                  </w:r>
                </w:p>
              </w:tc>
              <w:tc>
                <w:tcPr>
                  <w:tcW w:w="461" w:type="pct"/>
                  <w:tcBorders>
                    <w:tl2br w:val="nil"/>
                    <w:tr2bl w:val="nil"/>
                  </w:tcBorders>
                  <w:shd w:val="clear" w:color="auto" w:fill="auto"/>
                  <w:vAlign w:val="center"/>
                </w:tcPr>
                <w:p w14:paraId="5F6D7FED">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48</w:t>
                  </w:r>
                </w:p>
              </w:tc>
              <w:tc>
                <w:tcPr>
                  <w:tcW w:w="750" w:type="dxa"/>
                  <w:tcBorders>
                    <w:tl2br w:val="nil"/>
                    <w:tr2bl w:val="nil"/>
                  </w:tcBorders>
                  <w:shd w:val="clear" w:color="auto" w:fill="auto"/>
                  <w:vAlign w:val="bottom"/>
                </w:tcPr>
                <w:p w14:paraId="7271DD0D">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60.51</w:t>
                  </w:r>
                </w:p>
              </w:tc>
              <w:tc>
                <w:tcPr>
                  <w:tcW w:w="792" w:type="dxa"/>
                  <w:tcBorders>
                    <w:tl2br w:val="nil"/>
                    <w:tr2bl w:val="nil"/>
                  </w:tcBorders>
                  <w:shd w:val="clear" w:color="auto" w:fill="auto"/>
                  <w:vAlign w:val="bottom"/>
                </w:tcPr>
                <w:p w14:paraId="5C3E57EA">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48.18</w:t>
                  </w:r>
                </w:p>
              </w:tc>
              <w:tc>
                <w:tcPr>
                  <w:tcW w:w="495" w:type="pct"/>
                  <w:tcBorders>
                    <w:tl2br w:val="nil"/>
                    <w:tr2bl w:val="nil"/>
                  </w:tcBorders>
                  <w:shd w:val="clear" w:color="auto" w:fill="auto"/>
                  <w:vAlign w:val="center"/>
                </w:tcPr>
                <w:p w14:paraId="2DC04B4A">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70</w:t>
                  </w:r>
                </w:p>
              </w:tc>
              <w:tc>
                <w:tcPr>
                  <w:tcW w:w="606" w:type="pct"/>
                  <w:tcBorders>
                    <w:tl2br w:val="nil"/>
                    <w:tr2bl w:val="nil"/>
                  </w:tcBorders>
                  <w:shd w:val="clear" w:color="auto" w:fill="auto"/>
                  <w:vAlign w:val="center"/>
                </w:tcPr>
                <w:p w14:paraId="178FEDEB">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55</w:t>
                  </w:r>
                </w:p>
              </w:tc>
            </w:tr>
            <w:tr w14:paraId="43F0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0" w:type="pct"/>
                  <w:tcBorders>
                    <w:tl2br w:val="nil"/>
                    <w:tr2bl w:val="nil"/>
                  </w:tcBorders>
                  <w:shd w:val="clear" w:color="auto" w:fill="auto"/>
                  <w:vAlign w:val="center"/>
                </w:tcPr>
                <w:p w14:paraId="2A3066B5">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北厂界</w:t>
                  </w:r>
                </w:p>
              </w:tc>
              <w:tc>
                <w:tcPr>
                  <w:tcW w:w="909" w:type="pct"/>
                  <w:tcBorders>
                    <w:tl2br w:val="nil"/>
                    <w:tr2bl w:val="nil"/>
                  </w:tcBorders>
                  <w:shd w:val="clear" w:color="auto" w:fill="auto"/>
                  <w:vAlign w:val="center"/>
                </w:tcPr>
                <w:p w14:paraId="5ACF57BD">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46.88</w:t>
                  </w:r>
                </w:p>
              </w:tc>
              <w:tc>
                <w:tcPr>
                  <w:tcW w:w="435" w:type="pct"/>
                  <w:tcBorders>
                    <w:tl2br w:val="nil"/>
                    <w:tr2bl w:val="nil"/>
                  </w:tcBorders>
                  <w:shd w:val="clear" w:color="auto" w:fill="auto"/>
                  <w:vAlign w:val="center"/>
                </w:tcPr>
                <w:p w14:paraId="5CFFCF1C">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rPr>
                  </w:pPr>
                  <w:r>
                    <w:rPr>
                      <w:rFonts w:hint="eastAsia" w:ascii="Times New Roman" w:hAnsi="Times New Roman" w:eastAsia="仿宋" w:cs="Times New Roman"/>
                      <w:color w:val="auto"/>
                      <w:kern w:val="0"/>
                      <w:sz w:val="21"/>
                      <w:szCs w:val="21"/>
                      <w:highlight w:val="none"/>
                      <w:lang w:val="en-US" w:eastAsia="zh-CN"/>
                    </w:rPr>
                    <w:t>49.5</w:t>
                  </w:r>
                </w:p>
              </w:tc>
              <w:tc>
                <w:tcPr>
                  <w:tcW w:w="461" w:type="pct"/>
                  <w:tcBorders>
                    <w:tl2br w:val="nil"/>
                    <w:tr2bl w:val="nil"/>
                  </w:tcBorders>
                  <w:shd w:val="clear" w:color="auto" w:fill="auto"/>
                  <w:vAlign w:val="center"/>
                </w:tcPr>
                <w:p w14:paraId="6F76978D">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46</w:t>
                  </w:r>
                </w:p>
              </w:tc>
              <w:tc>
                <w:tcPr>
                  <w:tcW w:w="750" w:type="dxa"/>
                  <w:tcBorders>
                    <w:tl2br w:val="nil"/>
                    <w:tr2bl w:val="nil"/>
                  </w:tcBorders>
                  <w:shd w:val="clear" w:color="auto" w:fill="auto"/>
                  <w:vAlign w:val="bottom"/>
                </w:tcPr>
                <w:p w14:paraId="03F1F4E6">
                  <w:pPr>
                    <w:keepNext w:val="0"/>
                    <w:keepLines w:val="0"/>
                    <w:pageBreakBefore w:val="0"/>
                    <w:kinsoku/>
                    <w:wordWrap/>
                    <w:overflowPunct/>
                    <w:topLinePunct w:val="0"/>
                    <w:autoSpaceDE w:val="0"/>
                    <w:autoSpaceDN w:val="0"/>
                    <w:bidi w:val="0"/>
                    <w:adjustRightInd w:val="0"/>
                    <w:snapToGrid w:val="0"/>
                    <w:spacing w:line="240" w:lineRule="auto"/>
                    <w:jc w:val="center"/>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51.39</w:t>
                  </w:r>
                </w:p>
              </w:tc>
              <w:tc>
                <w:tcPr>
                  <w:tcW w:w="792" w:type="dxa"/>
                  <w:tcBorders>
                    <w:tl2br w:val="nil"/>
                    <w:tr2bl w:val="nil"/>
                  </w:tcBorders>
                  <w:shd w:val="clear" w:color="auto" w:fill="auto"/>
                  <w:vAlign w:val="bottom"/>
                </w:tcPr>
                <w:p w14:paraId="29841A3C">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49.47</w:t>
                  </w:r>
                </w:p>
              </w:tc>
              <w:tc>
                <w:tcPr>
                  <w:tcW w:w="495" w:type="pct"/>
                  <w:tcBorders>
                    <w:tl2br w:val="nil"/>
                    <w:tr2bl w:val="nil"/>
                  </w:tcBorders>
                  <w:shd w:val="clear" w:color="auto" w:fill="auto"/>
                  <w:vAlign w:val="center"/>
                </w:tcPr>
                <w:p w14:paraId="0BD6F8E3">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70</w:t>
                  </w:r>
                </w:p>
              </w:tc>
              <w:tc>
                <w:tcPr>
                  <w:tcW w:w="606" w:type="pct"/>
                  <w:tcBorders>
                    <w:tl2br w:val="nil"/>
                    <w:tr2bl w:val="nil"/>
                  </w:tcBorders>
                  <w:shd w:val="clear" w:color="auto" w:fill="auto"/>
                  <w:vAlign w:val="center"/>
                </w:tcPr>
                <w:p w14:paraId="09B1C8E0">
                  <w:pPr>
                    <w:keepNext w:val="0"/>
                    <w:keepLines w:val="0"/>
                    <w:pageBreakBefore w:val="0"/>
                    <w:widowControl/>
                    <w:kinsoku/>
                    <w:wordWrap/>
                    <w:overflowPunct/>
                    <w:topLinePunct w:val="0"/>
                    <w:bidi w:val="0"/>
                    <w:snapToGrid w:val="0"/>
                    <w:spacing w:line="240" w:lineRule="auto"/>
                    <w:jc w:val="center"/>
                    <w:textAlignment w:val="center"/>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55</w:t>
                  </w:r>
                </w:p>
              </w:tc>
            </w:tr>
          </w:tbl>
          <w:p w14:paraId="78D363E1">
            <w:pPr>
              <w:spacing w:line="360" w:lineRule="auto"/>
              <w:ind w:firstLine="480" w:firstLineChars="200"/>
              <w:jc w:val="left"/>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由上图可知，本项目建成后，噪声源经过建筑物、距离衰减，因北侧边界临金桂路、东侧边界临聚贤路、南侧边界临金坛大道、西侧边界临钱家路噪声应达到《工业企业厂界环境噪声排放标准》（GB12348-2008）表1中4a类标准。</w:t>
            </w:r>
          </w:p>
          <w:p w14:paraId="0343E3EE">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仿宋" w:cs="Times New Roman"/>
                <w:sz w:val="24"/>
              </w:rPr>
            </w:pPr>
            <w:r>
              <w:rPr>
                <w:rFonts w:hint="eastAsia" w:ascii="Times New Roman" w:hAnsi="Times New Roman" w:eastAsia="仿宋" w:cs="Times New Roman"/>
                <w:sz w:val="24"/>
                <w:lang w:val="en-US" w:eastAsia="zh-CN"/>
              </w:rPr>
              <w:t>4、</w:t>
            </w:r>
            <w:r>
              <w:rPr>
                <w:rFonts w:hint="default" w:ascii="Times New Roman" w:hAnsi="Times New Roman" w:eastAsia="仿宋" w:cs="Times New Roman"/>
                <w:sz w:val="24"/>
              </w:rPr>
              <w:t>监测要求</w:t>
            </w:r>
          </w:p>
          <w:p w14:paraId="68BF26D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根据《排污单位自行监测技术指南 总则》（HJ819-2017）中的相关监测要求，本项目噪声监测计划如下表。</w:t>
            </w:r>
          </w:p>
          <w:p w14:paraId="7CCAEE1B">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表4-1</w:t>
            </w:r>
            <w:r>
              <w:rPr>
                <w:rFonts w:hint="eastAsia" w:eastAsia="仿宋" w:cs="Times New Roman"/>
                <w:b/>
                <w:bCs/>
                <w:color w:val="auto"/>
                <w:kern w:val="2"/>
                <w:sz w:val="22"/>
                <w:szCs w:val="22"/>
                <w:highlight w:val="none"/>
                <w:lang w:val="en-US" w:eastAsia="zh-CN" w:bidi="ar-SA"/>
              </w:rPr>
              <w:t>5</w:t>
            </w:r>
            <w:r>
              <w:rPr>
                <w:rFonts w:hint="default" w:ascii="Times New Roman" w:hAnsi="Times New Roman" w:eastAsia="仿宋" w:cs="Times New Roman"/>
                <w:b/>
                <w:bCs/>
                <w:color w:val="auto"/>
                <w:kern w:val="2"/>
                <w:sz w:val="22"/>
                <w:szCs w:val="22"/>
                <w:highlight w:val="none"/>
                <w:lang w:val="en-US" w:eastAsia="zh-CN" w:bidi="ar-SA"/>
              </w:rPr>
              <w:t xml:space="preserve"> 环境监测计划</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6"/>
              <w:gridCol w:w="926"/>
              <w:gridCol w:w="1466"/>
              <w:gridCol w:w="1453"/>
              <w:gridCol w:w="2317"/>
              <w:gridCol w:w="1119"/>
            </w:tblGrid>
            <w:tr w14:paraId="372CB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12" w:type="pct"/>
                  <w:tcBorders>
                    <w:tl2br w:val="nil"/>
                    <w:tr2bl w:val="nil"/>
                  </w:tcBorders>
                  <w:vAlign w:val="center"/>
                </w:tcPr>
                <w:p w14:paraId="74715448">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类别</w:t>
                  </w:r>
                </w:p>
              </w:tc>
              <w:tc>
                <w:tcPr>
                  <w:tcW w:w="558" w:type="pct"/>
                  <w:tcBorders>
                    <w:tl2br w:val="nil"/>
                    <w:tr2bl w:val="nil"/>
                  </w:tcBorders>
                  <w:vAlign w:val="center"/>
                </w:tcPr>
                <w:p w14:paraId="6DABB280">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监测位置</w:t>
                  </w:r>
                </w:p>
              </w:tc>
              <w:tc>
                <w:tcPr>
                  <w:tcW w:w="883" w:type="pct"/>
                  <w:tcBorders>
                    <w:tl2br w:val="nil"/>
                    <w:tr2bl w:val="nil"/>
                  </w:tcBorders>
                  <w:vAlign w:val="center"/>
                </w:tcPr>
                <w:p w14:paraId="6C441607">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监测指标</w:t>
                  </w:r>
                </w:p>
              </w:tc>
              <w:tc>
                <w:tcPr>
                  <w:tcW w:w="875" w:type="pct"/>
                  <w:tcBorders>
                    <w:tl2br w:val="nil"/>
                    <w:tr2bl w:val="nil"/>
                  </w:tcBorders>
                  <w:vAlign w:val="center"/>
                </w:tcPr>
                <w:p w14:paraId="270065CE">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监测频率</w:t>
                  </w:r>
                </w:p>
              </w:tc>
              <w:tc>
                <w:tcPr>
                  <w:tcW w:w="1396" w:type="pct"/>
                  <w:tcBorders>
                    <w:tl2br w:val="nil"/>
                    <w:tr2bl w:val="nil"/>
                  </w:tcBorders>
                  <w:vAlign w:val="center"/>
                </w:tcPr>
                <w:p w14:paraId="51799B60">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排放标准</w:t>
                  </w:r>
                </w:p>
              </w:tc>
              <w:tc>
                <w:tcPr>
                  <w:tcW w:w="674" w:type="pct"/>
                  <w:tcBorders>
                    <w:tl2br w:val="nil"/>
                    <w:tr2bl w:val="nil"/>
                  </w:tcBorders>
                  <w:vAlign w:val="center"/>
                </w:tcPr>
                <w:p w14:paraId="7E1EF5C8">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监测单位</w:t>
                  </w:r>
                </w:p>
              </w:tc>
            </w:tr>
            <w:tr w14:paraId="5EC3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12" w:type="pct"/>
                  <w:tcBorders>
                    <w:tl2br w:val="nil"/>
                    <w:tr2bl w:val="nil"/>
                  </w:tcBorders>
                  <w:vAlign w:val="center"/>
                </w:tcPr>
                <w:p w14:paraId="19CE85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噪声</w:t>
                  </w:r>
                </w:p>
              </w:tc>
              <w:tc>
                <w:tcPr>
                  <w:tcW w:w="558" w:type="pct"/>
                  <w:tcBorders>
                    <w:tl2br w:val="nil"/>
                    <w:tr2bl w:val="nil"/>
                  </w:tcBorders>
                  <w:vAlign w:val="center"/>
                </w:tcPr>
                <w:p w14:paraId="3C39FFE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医院</w:t>
                  </w:r>
                  <w:r>
                    <w:rPr>
                      <w:rFonts w:hint="default" w:ascii="Times New Roman" w:hAnsi="Times New Roman" w:eastAsia="仿宋" w:cs="Times New Roman"/>
                      <w:color w:val="auto"/>
                      <w:kern w:val="0"/>
                      <w:sz w:val="21"/>
                      <w:szCs w:val="21"/>
                      <w:highlight w:val="none"/>
                    </w:rPr>
                    <w:t>四周</w:t>
                  </w:r>
                </w:p>
              </w:tc>
              <w:tc>
                <w:tcPr>
                  <w:tcW w:w="883" w:type="pct"/>
                  <w:tcBorders>
                    <w:tl2br w:val="nil"/>
                    <w:tr2bl w:val="nil"/>
                  </w:tcBorders>
                  <w:vAlign w:val="center"/>
                </w:tcPr>
                <w:p w14:paraId="183B50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连续等效A声级</w:t>
                  </w:r>
                </w:p>
              </w:tc>
              <w:tc>
                <w:tcPr>
                  <w:tcW w:w="875" w:type="pct"/>
                  <w:tcBorders>
                    <w:tl2br w:val="nil"/>
                    <w:tr2bl w:val="nil"/>
                  </w:tcBorders>
                  <w:vAlign w:val="center"/>
                </w:tcPr>
                <w:p w14:paraId="0E7435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每季度一次</w:t>
                  </w:r>
                </w:p>
              </w:tc>
              <w:tc>
                <w:tcPr>
                  <w:tcW w:w="1396" w:type="pct"/>
                  <w:tcBorders>
                    <w:tl2br w:val="nil"/>
                    <w:tr2bl w:val="nil"/>
                  </w:tcBorders>
                  <w:vAlign w:val="center"/>
                </w:tcPr>
                <w:p w14:paraId="257B8C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工业企业厂界环境噪声排放标准》（GB12348-2008）1类标准和4</w:t>
                  </w:r>
                  <w:r>
                    <w:rPr>
                      <w:rFonts w:hint="eastAsia" w:eastAsia="仿宋" w:cs="Times New Roman"/>
                      <w:color w:val="auto"/>
                      <w:kern w:val="0"/>
                      <w:sz w:val="21"/>
                      <w:szCs w:val="21"/>
                      <w:highlight w:val="none"/>
                      <w:lang w:val="en-US" w:eastAsia="zh-CN"/>
                    </w:rPr>
                    <w:t>a</w:t>
                  </w:r>
                  <w:r>
                    <w:rPr>
                      <w:rFonts w:hint="default" w:ascii="Times New Roman" w:hAnsi="Times New Roman" w:eastAsia="仿宋" w:cs="Times New Roman"/>
                      <w:color w:val="auto"/>
                      <w:kern w:val="0"/>
                      <w:sz w:val="21"/>
                      <w:szCs w:val="21"/>
                      <w:highlight w:val="none"/>
                    </w:rPr>
                    <w:t>类标准</w:t>
                  </w:r>
                </w:p>
              </w:tc>
              <w:tc>
                <w:tcPr>
                  <w:tcW w:w="674" w:type="pct"/>
                  <w:tcBorders>
                    <w:tl2br w:val="nil"/>
                    <w:tr2bl w:val="nil"/>
                  </w:tcBorders>
                  <w:vAlign w:val="center"/>
                </w:tcPr>
                <w:p w14:paraId="0F8610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有资质的环境监测机构</w:t>
                  </w:r>
                </w:p>
              </w:tc>
            </w:tr>
          </w:tbl>
          <w:p w14:paraId="4D66907D">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仿宋"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t>四、固体废物</w:t>
            </w:r>
          </w:p>
          <w:p w14:paraId="5F9B376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eastAsia="zh-CN"/>
              </w:rPr>
              <w:t>（</w:t>
            </w:r>
            <w:r>
              <w:rPr>
                <w:rFonts w:hint="eastAsia" w:ascii="Times New Roman" w:hAnsi="Times New Roman" w:eastAsia="仿宋" w:cs="Times New Roman"/>
                <w:color w:val="auto"/>
                <w:sz w:val="24"/>
                <w:szCs w:val="24"/>
                <w:highlight w:val="none"/>
                <w:lang w:val="en-US" w:eastAsia="zh-CN"/>
              </w:rPr>
              <w:t>一</w:t>
            </w:r>
            <w:r>
              <w:rPr>
                <w:rFonts w:hint="eastAsia" w:ascii="Times New Roman" w:hAnsi="Times New Roman" w:eastAsia="仿宋" w:cs="Times New Roman"/>
                <w:color w:val="auto"/>
                <w:sz w:val="24"/>
                <w:szCs w:val="24"/>
                <w:highlight w:val="none"/>
                <w:lang w:eastAsia="zh-CN"/>
              </w:rPr>
              <w:t>）</w:t>
            </w:r>
            <w:r>
              <w:rPr>
                <w:rFonts w:hint="eastAsia" w:ascii="Times New Roman" w:hAnsi="Times New Roman" w:eastAsia="仿宋" w:cs="Times New Roman"/>
                <w:color w:val="auto"/>
                <w:sz w:val="24"/>
                <w:szCs w:val="24"/>
                <w:highlight w:val="none"/>
                <w:lang w:val="en-US" w:eastAsia="zh-CN"/>
              </w:rPr>
              <w:t>产生环节</w:t>
            </w:r>
          </w:p>
          <w:p w14:paraId="5F21C58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按《固体废物鉴别标准通则》（GB34330-2017）、《危险废物鉴别标准通则》（GB5085.7-2019）和《国家危险废物名录》（</w:t>
            </w:r>
            <w:r>
              <w:rPr>
                <w:rFonts w:hint="eastAsia" w:ascii="Times New Roman" w:hAnsi="Times New Roman" w:eastAsia="仿宋" w:cs="Times New Roman"/>
                <w:color w:val="auto"/>
                <w:sz w:val="24"/>
                <w:szCs w:val="24"/>
                <w:highlight w:val="none"/>
                <w:lang w:eastAsia="zh-CN"/>
              </w:rPr>
              <w:t>202</w:t>
            </w:r>
            <w:r>
              <w:rPr>
                <w:rFonts w:hint="eastAsia" w:eastAsia="仿宋" w:cs="Times New Roman"/>
                <w:color w:val="auto"/>
                <w:sz w:val="24"/>
                <w:szCs w:val="24"/>
                <w:highlight w:val="none"/>
                <w:lang w:val="en-US" w:eastAsia="zh-CN"/>
              </w:rPr>
              <w:t>5</w:t>
            </w:r>
            <w:r>
              <w:rPr>
                <w:rFonts w:hint="eastAsia" w:ascii="Times New Roman" w:hAnsi="Times New Roman" w:eastAsia="仿宋" w:cs="Times New Roman"/>
                <w:color w:val="auto"/>
                <w:sz w:val="24"/>
                <w:szCs w:val="24"/>
                <w:highlight w:val="none"/>
                <w:lang w:eastAsia="zh-CN"/>
              </w:rPr>
              <w:t>年版</w:t>
            </w:r>
            <w:r>
              <w:rPr>
                <w:rFonts w:hint="default" w:ascii="Times New Roman" w:hAnsi="Times New Roman" w:eastAsia="仿宋" w:cs="Times New Roman"/>
                <w:color w:val="auto"/>
                <w:sz w:val="24"/>
                <w:szCs w:val="24"/>
                <w:highlight w:val="none"/>
              </w:rPr>
              <w:t>）的有关要求，对项目固废进行分类，本项目固废产生类别主要有生活垃圾</w:t>
            </w:r>
            <w:r>
              <w:rPr>
                <w:rFonts w:hint="eastAsia" w:ascii="Times New Roman" w:hAnsi="Times New Roman" w:eastAsia="仿宋" w:cs="Times New Roman"/>
                <w:color w:val="auto"/>
                <w:sz w:val="24"/>
                <w:szCs w:val="24"/>
                <w:highlight w:val="none"/>
                <w:lang w:val="en-US" w:eastAsia="zh-CN"/>
              </w:rPr>
              <w:t>和危险废物，其中危险废物包括医疗废物和污水处理站污泥。</w:t>
            </w:r>
          </w:p>
          <w:p w14:paraId="5D5176F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（1）生活垃圾</w:t>
            </w:r>
          </w:p>
          <w:p w14:paraId="039459D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lang w:val="en-US" w:eastAsia="zh-CN"/>
              </w:rPr>
              <w:t>扩建工程项目新增急</w:t>
            </w:r>
            <w:r>
              <w:rPr>
                <w:rFonts w:hint="eastAsia" w:ascii="Times New Roman" w:hAnsi="Times New Roman" w:eastAsia="仿宋" w:cs="Times New Roman"/>
                <w:color w:val="auto"/>
                <w:sz w:val="24"/>
                <w:szCs w:val="24"/>
                <w:highlight w:val="none"/>
              </w:rPr>
              <w:t>诊规模就诊人数约人</w:t>
            </w:r>
            <w:r>
              <w:rPr>
                <w:rFonts w:hint="eastAsia" w:ascii="Times New Roman" w:hAnsi="Times New Roman" w:eastAsia="仿宋" w:cs="Times New Roman"/>
                <w:color w:val="auto"/>
                <w:sz w:val="24"/>
                <w:szCs w:val="24"/>
                <w:highlight w:val="none"/>
                <w:lang w:val="en-US" w:eastAsia="zh-CN"/>
              </w:rPr>
              <w:t>685</w:t>
            </w:r>
            <w:r>
              <w:rPr>
                <w:rFonts w:hint="eastAsia" w:ascii="Times New Roman" w:hAnsi="Times New Roman" w:eastAsia="仿宋" w:cs="Times New Roman"/>
                <w:color w:val="auto"/>
                <w:sz w:val="24"/>
                <w:szCs w:val="24"/>
                <w:highlight w:val="none"/>
              </w:rPr>
              <w:t>/d，</w:t>
            </w:r>
            <w:r>
              <w:rPr>
                <w:rFonts w:hint="eastAsia" w:ascii="Times New Roman" w:hAnsi="Times New Roman" w:eastAsia="仿宋" w:cs="Times New Roman"/>
                <w:color w:val="auto"/>
                <w:sz w:val="24"/>
                <w:szCs w:val="24"/>
                <w:highlight w:val="none"/>
                <w:lang w:val="en-US" w:eastAsia="zh-CN"/>
              </w:rPr>
              <w:t>急诊病人生活</w:t>
            </w:r>
            <w:r>
              <w:rPr>
                <w:rFonts w:hint="eastAsia" w:ascii="Times New Roman" w:hAnsi="Times New Roman" w:eastAsia="仿宋" w:cs="Times New Roman"/>
                <w:color w:val="auto"/>
                <w:sz w:val="24"/>
                <w:szCs w:val="24"/>
                <w:highlight w:val="none"/>
              </w:rPr>
              <w:t>垃圾产生量按每日每人次产生0.2kg计，则</w:t>
            </w:r>
            <w:r>
              <w:rPr>
                <w:rFonts w:hint="eastAsia" w:ascii="Times New Roman" w:hAnsi="Times New Roman" w:eastAsia="仿宋" w:cs="Times New Roman"/>
                <w:color w:val="auto"/>
                <w:sz w:val="24"/>
                <w:szCs w:val="24"/>
                <w:highlight w:val="none"/>
                <w:lang w:val="en-US" w:eastAsia="zh-CN"/>
              </w:rPr>
              <w:t>扩建工程项目</w:t>
            </w:r>
            <w:r>
              <w:rPr>
                <w:rFonts w:hint="eastAsia" w:eastAsia="仿宋" w:cs="Times New Roman"/>
                <w:color w:val="auto"/>
                <w:sz w:val="24"/>
                <w:szCs w:val="24"/>
                <w:highlight w:val="none"/>
                <w:lang w:val="en-US" w:eastAsia="zh-CN"/>
              </w:rPr>
              <w:t>急</w:t>
            </w:r>
            <w:r>
              <w:rPr>
                <w:rFonts w:hint="eastAsia" w:ascii="Times New Roman" w:hAnsi="Times New Roman" w:eastAsia="仿宋" w:cs="Times New Roman"/>
                <w:color w:val="auto"/>
                <w:sz w:val="24"/>
                <w:szCs w:val="24"/>
                <w:highlight w:val="none"/>
                <w:lang w:val="en-US" w:eastAsia="zh-CN"/>
              </w:rPr>
              <w:t>诊病人生活</w:t>
            </w:r>
            <w:r>
              <w:rPr>
                <w:rFonts w:hint="eastAsia" w:ascii="Times New Roman" w:hAnsi="Times New Roman" w:eastAsia="仿宋" w:cs="Times New Roman"/>
                <w:color w:val="auto"/>
                <w:sz w:val="24"/>
                <w:szCs w:val="24"/>
                <w:highlight w:val="none"/>
              </w:rPr>
              <w:t>垃圾产生量为</w:t>
            </w:r>
            <w:r>
              <w:rPr>
                <w:rFonts w:hint="eastAsia" w:ascii="Times New Roman" w:hAnsi="Times New Roman" w:eastAsia="仿宋" w:cs="Times New Roman"/>
                <w:color w:val="auto"/>
                <w:sz w:val="24"/>
                <w:szCs w:val="24"/>
                <w:highlight w:val="none"/>
                <w:lang w:val="en-US" w:eastAsia="zh-CN"/>
              </w:rPr>
              <w:t>50</w:t>
            </w:r>
            <w:r>
              <w:rPr>
                <w:rFonts w:hint="eastAsia" w:ascii="Times New Roman" w:hAnsi="Times New Roman" w:eastAsia="仿宋" w:cs="Times New Roman"/>
                <w:color w:val="auto"/>
                <w:sz w:val="24"/>
                <w:szCs w:val="24"/>
                <w:highlight w:val="none"/>
              </w:rPr>
              <w:t>t/a；</w:t>
            </w:r>
            <w:r>
              <w:rPr>
                <w:rFonts w:hint="eastAsia" w:ascii="Times New Roman" w:hAnsi="Times New Roman" w:eastAsia="仿宋" w:cs="Times New Roman"/>
                <w:color w:val="auto"/>
                <w:sz w:val="24"/>
                <w:szCs w:val="24"/>
                <w:highlight w:val="none"/>
                <w:lang w:val="en-US" w:eastAsia="zh-CN"/>
              </w:rPr>
              <w:t>扩建工程项目新增</w:t>
            </w:r>
            <w:r>
              <w:rPr>
                <w:rFonts w:hint="eastAsia" w:ascii="Times New Roman" w:hAnsi="Times New Roman" w:eastAsia="仿宋" w:cs="Times New Roman"/>
                <w:color w:val="auto"/>
                <w:sz w:val="24"/>
                <w:szCs w:val="24"/>
                <w:highlight w:val="none"/>
              </w:rPr>
              <w:t>床位</w:t>
            </w:r>
            <w:r>
              <w:rPr>
                <w:rFonts w:hint="eastAsia" w:ascii="Times New Roman" w:hAnsi="Times New Roman" w:eastAsia="仿宋" w:cs="Times New Roman"/>
                <w:color w:val="auto"/>
                <w:sz w:val="24"/>
                <w:szCs w:val="24"/>
                <w:highlight w:val="none"/>
                <w:lang w:val="en-US" w:eastAsia="zh-CN"/>
              </w:rPr>
              <w:t>200</w:t>
            </w:r>
            <w:r>
              <w:rPr>
                <w:rFonts w:hint="eastAsia" w:ascii="Times New Roman" w:hAnsi="Times New Roman" w:eastAsia="仿宋" w:cs="Times New Roman"/>
                <w:color w:val="auto"/>
                <w:sz w:val="24"/>
                <w:szCs w:val="24"/>
                <w:highlight w:val="none"/>
              </w:rPr>
              <w:t>张，</w:t>
            </w:r>
            <w:r>
              <w:rPr>
                <w:rFonts w:hint="eastAsia" w:ascii="Times New Roman" w:hAnsi="Times New Roman" w:eastAsia="仿宋" w:cs="Times New Roman"/>
                <w:color w:val="auto"/>
                <w:sz w:val="24"/>
                <w:szCs w:val="24"/>
                <w:highlight w:val="none"/>
                <w:lang w:val="en-US" w:eastAsia="zh-CN"/>
              </w:rPr>
              <w:t>住院</w:t>
            </w:r>
            <w:r>
              <w:rPr>
                <w:rFonts w:hint="eastAsia" w:ascii="Times New Roman" w:hAnsi="Times New Roman" w:eastAsia="仿宋" w:cs="Times New Roman"/>
                <w:color w:val="auto"/>
                <w:sz w:val="24"/>
                <w:szCs w:val="24"/>
                <w:highlight w:val="none"/>
              </w:rPr>
              <w:t>病人及陪护家属生活垃圾产生量按每床每天1.0kg计，则</w:t>
            </w:r>
            <w:r>
              <w:rPr>
                <w:rFonts w:hint="eastAsia" w:ascii="Times New Roman" w:hAnsi="Times New Roman" w:eastAsia="仿宋" w:cs="Times New Roman"/>
                <w:color w:val="auto"/>
                <w:sz w:val="24"/>
                <w:szCs w:val="24"/>
                <w:highlight w:val="none"/>
                <w:lang w:val="en-US" w:eastAsia="zh-CN"/>
              </w:rPr>
              <w:t>扩建工程项目住院</w:t>
            </w:r>
            <w:r>
              <w:rPr>
                <w:rFonts w:hint="eastAsia" w:ascii="Times New Roman" w:hAnsi="Times New Roman" w:eastAsia="仿宋" w:cs="Times New Roman"/>
                <w:color w:val="auto"/>
                <w:sz w:val="24"/>
                <w:szCs w:val="24"/>
                <w:highlight w:val="none"/>
              </w:rPr>
              <w:t>病人及陪护家属生活垃圾产生量为</w:t>
            </w:r>
            <w:r>
              <w:rPr>
                <w:rFonts w:hint="eastAsia" w:ascii="Times New Roman" w:hAnsi="Times New Roman" w:eastAsia="仿宋" w:cs="Times New Roman"/>
                <w:color w:val="auto"/>
                <w:sz w:val="24"/>
                <w:szCs w:val="24"/>
                <w:highlight w:val="none"/>
                <w:lang w:val="en-US" w:eastAsia="zh-CN"/>
              </w:rPr>
              <w:t>73</w:t>
            </w:r>
            <w:r>
              <w:rPr>
                <w:rFonts w:hint="eastAsia" w:ascii="Times New Roman" w:hAnsi="Times New Roman" w:eastAsia="仿宋" w:cs="Times New Roman"/>
                <w:color w:val="auto"/>
                <w:sz w:val="24"/>
                <w:szCs w:val="24"/>
                <w:highlight w:val="none"/>
              </w:rPr>
              <w:t>t/a；</w:t>
            </w:r>
            <w:r>
              <w:rPr>
                <w:rFonts w:hint="eastAsia" w:ascii="Times New Roman" w:hAnsi="Times New Roman" w:eastAsia="仿宋" w:cs="Times New Roman"/>
                <w:color w:val="auto"/>
                <w:sz w:val="24"/>
                <w:szCs w:val="24"/>
                <w:highlight w:val="none"/>
                <w:lang w:val="en-US" w:eastAsia="zh-CN"/>
              </w:rPr>
              <w:t>扩建工程项目</w:t>
            </w:r>
            <w:r>
              <w:rPr>
                <w:rFonts w:hint="eastAsia" w:ascii="Times New Roman" w:hAnsi="Times New Roman" w:eastAsia="仿宋" w:cs="Times New Roman"/>
                <w:color w:val="auto"/>
                <w:sz w:val="24"/>
                <w:szCs w:val="24"/>
                <w:highlight w:val="none"/>
              </w:rPr>
              <w:t>拟增加职工</w:t>
            </w:r>
            <w:r>
              <w:rPr>
                <w:rFonts w:hint="eastAsia" w:ascii="Times New Roman" w:hAnsi="Times New Roman" w:eastAsia="仿宋" w:cs="Times New Roman"/>
                <w:color w:val="auto"/>
                <w:sz w:val="24"/>
                <w:szCs w:val="24"/>
                <w:highlight w:val="none"/>
                <w:lang w:val="en-US" w:eastAsia="zh-CN"/>
              </w:rPr>
              <w:t>534</w:t>
            </w:r>
            <w:r>
              <w:rPr>
                <w:rFonts w:hint="eastAsia" w:ascii="Times New Roman" w:hAnsi="Times New Roman" w:eastAsia="仿宋" w:cs="Times New Roman"/>
                <w:color w:val="auto"/>
                <w:sz w:val="24"/>
                <w:szCs w:val="24"/>
                <w:highlight w:val="none"/>
              </w:rPr>
              <w:t>人，</w:t>
            </w:r>
            <w:r>
              <w:rPr>
                <w:rFonts w:hint="eastAsia" w:ascii="Times New Roman" w:hAnsi="Times New Roman" w:eastAsia="仿宋" w:cs="Times New Roman"/>
                <w:color w:val="auto"/>
                <w:sz w:val="24"/>
                <w:szCs w:val="24"/>
                <w:highlight w:val="none"/>
                <w:lang w:val="en-US" w:eastAsia="zh-CN"/>
              </w:rPr>
              <w:t>职工生活</w:t>
            </w:r>
            <w:r>
              <w:rPr>
                <w:rFonts w:hint="eastAsia" w:ascii="Times New Roman" w:hAnsi="Times New Roman" w:eastAsia="仿宋" w:cs="Times New Roman"/>
                <w:color w:val="auto"/>
                <w:sz w:val="24"/>
                <w:szCs w:val="24"/>
                <w:highlight w:val="none"/>
              </w:rPr>
              <w:t>垃圾产生量按每人每天0.5kg计，则</w:t>
            </w:r>
            <w:r>
              <w:rPr>
                <w:rFonts w:hint="eastAsia" w:ascii="Times New Roman" w:hAnsi="Times New Roman" w:eastAsia="仿宋" w:cs="Times New Roman"/>
                <w:color w:val="auto"/>
                <w:sz w:val="24"/>
                <w:szCs w:val="24"/>
                <w:highlight w:val="none"/>
                <w:lang w:val="en-US" w:eastAsia="zh-CN"/>
              </w:rPr>
              <w:t>扩建工程项目</w:t>
            </w:r>
            <w:r>
              <w:rPr>
                <w:rFonts w:hint="eastAsia" w:ascii="Times New Roman" w:hAnsi="Times New Roman" w:eastAsia="仿宋" w:cs="Times New Roman"/>
                <w:color w:val="auto"/>
                <w:sz w:val="24"/>
                <w:szCs w:val="24"/>
                <w:highlight w:val="none"/>
              </w:rPr>
              <w:t>职工生活垃圾产生量为</w:t>
            </w:r>
            <w:r>
              <w:rPr>
                <w:rFonts w:hint="eastAsia" w:ascii="Times New Roman" w:hAnsi="Times New Roman" w:eastAsia="仿宋" w:cs="Times New Roman"/>
                <w:color w:val="auto"/>
                <w:sz w:val="24"/>
                <w:szCs w:val="24"/>
                <w:highlight w:val="none"/>
                <w:lang w:val="en-US" w:eastAsia="zh-CN"/>
              </w:rPr>
              <w:t>97.46</w:t>
            </w:r>
            <w:r>
              <w:rPr>
                <w:rFonts w:hint="eastAsia" w:ascii="Times New Roman" w:hAnsi="Times New Roman" w:eastAsia="仿宋" w:cs="Times New Roman"/>
                <w:color w:val="auto"/>
                <w:sz w:val="24"/>
                <w:szCs w:val="24"/>
                <w:highlight w:val="none"/>
              </w:rPr>
              <w:t>t/a，则</w:t>
            </w:r>
            <w:r>
              <w:rPr>
                <w:rFonts w:hint="eastAsia" w:ascii="Times New Roman" w:hAnsi="Times New Roman" w:eastAsia="仿宋" w:cs="Times New Roman"/>
                <w:color w:val="auto"/>
                <w:sz w:val="24"/>
                <w:szCs w:val="24"/>
                <w:highlight w:val="none"/>
                <w:lang w:val="en-US" w:eastAsia="zh-CN"/>
              </w:rPr>
              <w:t>扩建工程</w:t>
            </w:r>
            <w:r>
              <w:rPr>
                <w:rFonts w:hint="eastAsia" w:ascii="Times New Roman" w:hAnsi="Times New Roman" w:eastAsia="仿宋" w:cs="Times New Roman"/>
                <w:color w:val="auto"/>
                <w:sz w:val="24"/>
                <w:szCs w:val="24"/>
                <w:highlight w:val="none"/>
              </w:rPr>
              <w:t>项目生活垃圾产生总量为</w:t>
            </w:r>
            <w:r>
              <w:rPr>
                <w:rFonts w:hint="eastAsia" w:ascii="Times New Roman" w:hAnsi="Times New Roman" w:eastAsia="仿宋" w:cs="Times New Roman"/>
                <w:color w:val="auto"/>
                <w:sz w:val="24"/>
                <w:szCs w:val="24"/>
                <w:highlight w:val="none"/>
                <w:lang w:val="en-US" w:eastAsia="zh-CN"/>
              </w:rPr>
              <w:t>220.46</w:t>
            </w:r>
            <w:r>
              <w:rPr>
                <w:rFonts w:hint="eastAsia" w:ascii="Times New Roman" w:hAnsi="Times New Roman" w:eastAsia="仿宋" w:cs="Times New Roman"/>
                <w:color w:val="auto"/>
                <w:sz w:val="24"/>
                <w:szCs w:val="24"/>
                <w:highlight w:val="none"/>
              </w:rPr>
              <w:t>t/a</w:t>
            </w:r>
            <w:r>
              <w:rPr>
                <w:rFonts w:hint="eastAsia" w:ascii="Times New Roman" w:hAnsi="Times New Roman" w:eastAsia="仿宋" w:cs="Times New Roman"/>
                <w:color w:val="auto"/>
                <w:sz w:val="24"/>
                <w:szCs w:val="24"/>
                <w:highlight w:val="none"/>
                <w:lang w:eastAsia="zh-CN"/>
              </w:rPr>
              <w:t>，</w:t>
            </w:r>
            <w:r>
              <w:rPr>
                <w:rFonts w:hint="eastAsia" w:ascii="Times New Roman" w:hAnsi="Times New Roman" w:eastAsia="仿宋" w:cs="Times New Roman"/>
                <w:color w:val="auto"/>
                <w:sz w:val="24"/>
                <w:szCs w:val="24"/>
                <w:highlight w:val="none"/>
              </w:rPr>
              <w:t>收集后交由环卫部门统一清运处理。</w:t>
            </w:r>
          </w:p>
          <w:p w14:paraId="20571AA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w:t>
            </w:r>
            <w:r>
              <w:rPr>
                <w:rFonts w:hint="eastAsia"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w:t>
            </w:r>
            <w:r>
              <w:rPr>
                <w:rFonts w:hint="eastAsia" w:ascii="Times New Roman" w:hAnsi="Times New Roman" w:eastAsia="仿宋" w:cs="Times New Roman"/>
                <w:color w:val="auto"/>
                <w:sz w:val="24"/>
                <w:szCs w:val="24"/>
                <w:highlight w:val="none"/>
                <w:lang w:val="en-US" w:eastAsia="zh-CN"/>
              </w:rPr>
              <w:t>医疗废物</w:t>
            </w:r>
          </w:p>
          <w:p w14:paraId="6852E5F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rPr>
              <w:t>医疗废物来源广泛、成分复杂，如化学试剂、过期药品、一次性医疗器具、手术产生的病理废弃物等；废弃物成分包括金属、玻璃、塑料、纸类、纱布等，往往还带有大量病毒、细菌、具有较高的感染性。根据《第一次全国污染源普查城市生活源产排系数手册》，</w:t>
            </w:r>
            <w:r>
              <w:rPr>
                <w:rFonts w:hint="eastAsia" w:ascii="Times New Roman" w:hAnsi="Times New Roman" w:eastAsia="仿宋" w:cs="Times New Roman"/>
                <w:color w:val="auto"/>
                <w:sz w:val="24"/>
                <w:szCs w:val="24"/>
                <w:highlight w:val="none"/>
                <w:lang w:val="en-US" w:eastAsia="zh-CN"/>
              </w:rPr>
              <w:t>急</w:t>
            </w:r>
            <w:r>
              <w:rPr>
                <w:rFonts w:hint="eastAsia" w:ascii="Times New Roman" w:hAnsi="Times New Roman" w:eastAsia="仿宋" w:cs="Times New Roman"/>
                <w:color w:val="auto"/>
                <w:sz w:val="24"/>
                <w:szCs w:val="24"/>
                <w:highlight w:val="none"/>
              </w:rPr>
              <w:t>诊病人医疗废物产生量按每人每天按0.1kg计，</w:t>
            </w:r>
            <w:r>
              <w:rPr>
                <w:rFonts w:hint="eastAsia" w:ascii="Times New Roman" w:hAnsi="Times New Roman" w:eastAsia="仿宋" w:cs="Times New Roman"/>
                <w:color w:val="auto"/>
                <w:sz w:val="24"/>
                <w:szCs w:val="24"/>
                <w:highlight w:val="none"/>
                <w:lang w:val="en-US" w:eastAsia="zh-CN"/>
              </w:rPr>
              <w:t>扩建工程项目新增</w:t>
            </w:r>
            <w:r>
              <w:rPr>
                <w:rFonts w:hint="eastAsia" w:ascii="Times New Roman" w:hAnsi="Times New Roman" w:eastAsia="仿宋" w:cs="Times New Roman"/>
                <w:color w:val="auto"/>
                <w:sz w:val="24"/>
                <w:szCs w:val="24"/>
                <w:highlight w:val="none"/>
              </w:rPr>
              <w:t>门诊人次约</w:t>
            </w:r>
            <w:r>
              <w:rPr>
                <w:rFonts w:hint="eastAsia" w:ascii="Times New Roman" w:hAnsi="Times New Roman" w:eastAsia="仿宋" w:cs="Times New Roman"/>
                <w:color w:val="auto"/>
                <w:sz w:val="24"/>
                <w:szCs w:val="24"/>
                <w:highlight w:val="none"/>
                <w:lang w:val="en-US" w:eastAsia="zh-CN"/>
              </w:rPr>
              <w:t>685</w:t>
            </w:r>
            <w:r>
              <w:rPr>
                <w:rFonts w:hint="eastAsia" w:ascii="Times New Roman" w:hAnsi="Times New Roman" w:eastAsia="仿宋" w:cs="Times New Roman"/>
                <w:color w:val="auto"/>
                <w:sz w:val="24"/>
                <w:szCs w:val="24"/>
                <w:highlight w:val="none"/>
              </w:rPr>
              <w:t>人次/d，则</w:t>
            </w:r>
            <w:r>
              <w:rPr>
                <w:rFonts w:hint="eastAsia" w:ascii="Times New Roman" w:hAnsi="Times New Roman" w:eastAsia="仿宋" w:cs="Times New Roman"/>
                <w:color w:val="auto"/>
                <w:sz w:val="24"/>
                <w:szCs w:val="24"/>
                <w:highlight w:val="none"/>
                <w:lang w:val="en-US" w:eastAsia="zh-CN"/>
              </w:rPr>
              <w:t>扩建工程项目</w:t>
            </w:r>
            <w:r>
              <w:rPr>
                <w:rFonts w:hint="eastAsia" w:ascii="Times New Roman" w:hAnsi="Times New Roman" w:eastAsia="仿宋" w:cs="Times New Roman"/>
                <w:color w:val="auto"/>
                <w:sz w:val="24"/>
                <w:szCs w:val="24"/>
                <w:highlight w:val="none"/>
              </w:rPr>
              <w:t>门诊病人产生的医疗废物为</w:t>
            </w:r>
            <w:r>
              <w:rPr>
                <w:rFonts w:hint="eastAsia" w:ascii="Times New Roman" w:hAnsi="Times New Roman" w:eastAsia="仿宋" w:cs="Times New Roman"/>
                <w:color w:val="auto"/>
                <w:sz w:val="24"/>
                <w:szCs w:val="24"/>
                <w:highlight w:val="none"/>
                <w:lang w:val="en-US" w:eastAsia="zh-CN"/>
              </w:rPr>
              <w:t>25</w:t>
            </w:r>
            <w:r>
              <w:rPr>
                <w:rFonts w:hint="eastAsia" w:ascii="Times New Roman" w:hAnsi="Times New Roman" w:eastAsia="仿宋" w:cs="Times New Roman"/>
                <w:color w:val="auto"/>
                <w:sz w:val="24"/>
                <w:szCs w:val="24"/>
                <w:highlight w:val="none"/>
              </w:rPr>
              <w:t>t/a</w:t>
            </w:r>
            <w:r>
              <w:rPr>
                <w:rFonts w:hint="eastAsia" w:ascii="Times New Roman" w:hAnsi="Times New Roman" w:eastAsia="仿宋" w:cs="Times New Roman"/>
                <w:color w:val="auto"/>
                <w:sz w:val="24"/>
                <w:szCs w:val="24"/>
                <w:highlight w:val="none"/>
                <w:lang w:eastAsia="zh-CN"/>
              </w:rPr>
              <w:t>；</w:t>
            </w:r>
            <w:r>
              <w:rPr>
                <w:rFonts w:hint="eastAsia" w:ascii="Times New Roman" w:hAnsi="Times New Roman" w:eastAsia="仿宋" w:cs="Times New Roman"/>
                <w:color w:val="auto"/>
                <w:sz w:val="24"/>
                <w:szCs w:val="24"/>
                <w:highlight w:val="none"/>
                <w:lang w:val="en-US" w:eastAsia="zh-CN"/>
              </w:rPr>
              <w:t>扩建工程项目新增</w:t>
            </w:r>
            <w:r>
              <w:rPr>
                <w:rFonts w:hint="eastAsia" w:ascii="Times New Roman" w:hAnsi="Times New Roman" w:eastAsia="仿宋" w:cs="Times New Roman"/>
                <w:color w:val="auto"/>
                <w:sz w:val="24"/>
                <w:szCs w:val="24"/>
                <w:highlight w:val="none"/>
              </w:rPr>
              <w:t>床位</w:t>
            </w:r>
            <w:r>
              <w:rPr>
                <w:rFonts w:hint="eastAsia" w:ascii="Times New Roman" w:hAnsi="Times New Roman" w:eastAsia="仿宋" w:cs="Times New Roman"/>
                <w:color w:val="auto"/>
                <w:sz w:val="24"/>
                <w:szCs w:val="24"/>
                <w:highlight w:val="none"/>
                <w:lang w:val="en-US" w:eastAsia="zh-CN"/>
              </w:rPr>
              <w:t>200</w:t>
            </w:r>
            <w:r>
              <w:rPr>
                <w:rFonts w:hint="eastAsia" w:ascii="Times New Roman" w:hAnsi="Times New Roman" w:eastAsia="仿宋" w:cs="Times New Roman"/>
                <w:color w:val="auto"/>
                <w:sz w:val="24"/>
                <w:szCs w:val="24"/>
                <w:highlight w:val="none"/>
              </w:rPr>
              <w:t>张，病房住院病人按照0.5kg/d·床，</w:t>
            </w:r>
            <w:r>
              <w:rPr>
                <w:rFonts w:hint="eastAsia" w:ascii="Times New Roman" w:hAnsi="Times New Roman" w:eastAsia="仿宋" w:cs="Times New Roman"/>
                <w:color w:val="auto"/>
                <w:sz w:val="24"/>
                <w:szCs w:val="24"/>
                <w:highlight w:val="none"/>
                <w:lang w:val="en-US" w:eastAsia="zh-CN"/>
              </w:rPr>
              <w:t>则扩建工程项目</w:t>
            </w:r>
            <w:r>
              <w:rPr>
                <w:rFonts w:hint="eastAsia" w:ascii="Times New Roman" w:hAnsi="Times New Roman" w:eastAsia="仿宋" w:cs="Times New Roman"/>
                <w:color w:val="auto"/>
                <w:sz w:val="24"/>
                <w:szCs w:val="24"/>
                <w:highlight w:val="none"/>
              </w:rPr>
              <w:t>住院病房医疗废物为</w:t>
            </w:r>
            <w:r>
              <w:rPr>
                <w:rFonts w:hint="eastAsia" w:ascii="Times New Roman" w:hAnsi="Times New Roman" w:eastAsia="仿宋" w:cs="Times New Roman"/>
                <w:color w:val="auto"/>
                <w:sz w:val="24"/>
                <w:szCs w:val="24"/>
                <w:highlight w:val="none"/>
                <w:lang w:val="en-US" w:eastAsia="zh-CN"/>
              </w:rPr>
              <w:t>36.5</w:t>
            </w:r>
            <w:r>
              <w:rPr>
                <w:rFonts w:hint="eastAsia" w:ascii="Times New Roman" w:hAnsi="Times New Roman" w:eastAsia="仿宋" w:cs="Times New Roman"/>
                <w:color w:val="auto"/>
                <w:sz w:val="24"/>
                <w:szCs w:val="24"/>
                <w:highlight w:val="none"/>
              </w:rPr>
              <w:t>t/a，</w:t>
            </w:r>
            <w:r>
              <w:rPr>
                <w:rFonts w:hint="eastAsia" w:ascii="Times New Roman" w:hAnsi="Times New Roman" w:eastAsia="仿宋" w:cs="Times New Roman"/>
                <w:color w:val="auto"/>
                <w:sz w:val="24"/>
                <w:szCs w:val="24"/>
                <w:highlight w:val="none"/>
                <w:lang w:val="en-US" w:eastAsia="zh-CN"/>
              </w:rPr>
              <w:t>则扩建工程项目</w:t>
            </w:r>
            <w:r>
              <w:rPr>
                <w:rFonts w:hint="eastAsia" w:ascii="Times New Roman" w:hAnsi="Times New Roman" w:eastAsia="仿宋" w:cs="Times New Roman"/>
                <w:color w:val="auto"/>
                <w:sz w:val="24"/>
                <w:szCs w:val="24"/>
                <w:highlight w:val="none"/>
              </w:rPr>
              <w:t>医疗废物总产生量为</w:t>
            </w:r>
            <w:r>
              <w:rPr>
                <w:rFonts w:hint="eastAsia" w:ascii="Times New Roman" w:hAnsi="Times New Roman" w:eastAsia="仿宋" w:cs="Times New Roman"/>
                <w:color w:val="auto"/>
                <w:sz w:val="24"/>
                <w:szCs w:val="24"/>
                <w:highlight w:val="none"/>
                <w:lang w:val="en-US" w:eastAsia="zh-CN"/>
              </w:rPr>
              <w:t>61.50</w:t>
            </w:r>
            <w:r>
              <w:rPr>
                <w:rFonts w:hint="eastAsia" w:ascii="Times New Roman" w:hAnsi="Times New Roman" w:eastAsia="仿宋" w:cs="Times New Roman"/>
                <w:color w:val="auto"/>
                <w:sz w:val="24"/>
                <w:szCs w:val="24"/>
                <w:highlight w:val="none"/>
              </w:rPr>
              <w:t>t/a</w:t>
            </w:r>
            <w:r>
              <w:rPr>
                <w:rFonts w:hint="default" w:ascii="Times New Roman" w:hAnsi="Times New Roman" w:eastAsia="仿宋" w:cs="Times New Roman"/>
                <w:color w:val="auto"/>
                <w:sz w:val="24"/>
                <w:szCs w:val="24"/>
                <w:highlight w:val="none"/>
              </w:rPr>
              <w:t>。</w:t>
            </w:r>
          </w:p>
          <w:p w14:paraId="4C3016B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rPr>
              <w:t>每天产生的</w:t>
            </w:r>
            <w:r>
              <w:rPr>
                <w:rFonts w:hint="eastAsia" w:ascii="Times New Roman" w:hAnsi="Times New Roman" w:eastAsia="仿宋" w:cs="Times New Roman"/>
                <w:color w:val="auto"/>
                <w:sz w:val="24"/>
                <w:szCs w:val="24"/>
                <w:highlight w:val="none"/>
                <w:lang w:eastAsia="zh-CN"/>
              </w:rPr>
              <w:t>医疗废物</w:t>
            </w:r>
            <w:r>
              <w:rPr>
                <w:rFonts w:hint="default" w:ascii="Times New Roman" w:hAnsi="Times New Roman" w:eastAsia="仿宋" w:cs="Times New Roman"/>
                <w:color w:val="auto"/>
                <w:sz w:val="24"/>
                <w:szCs w:val="24"/>
                <w:highlight w:val="none"/>
              </w:rPr>
              <w:t>在专门设置的</w:t>
            </w:r>
            <w:r>
              <w:rPr>
                <w:rFonts w:hint="eastAsia" w:ascii="Times New Roman" w:hAnsi="Times New Roman" w:eastAsia="仿宋" w:cs="Times New Roman"/>
                <w:color w:val="auto"/>
                <w:sz w:val="24"/>
                <w:szCs w:val="24"/>
                <w:highlight w:val="none"/>
                <w:lang w:eastAsia="zh-CN"/>
              </w:rPr>
              <w:t>医疗废物</w:t>
            </w:r>
            <w:r>
              <w:rPr>
                <w:rFonts w:hint="default" w:ascii="Times New Roman" w:hAnsi="Times New Roman" w:eastAsia="仿宋" w:cs="Times New Roman"/>
                <w:color w:val="auto"/>
                <w:sz w:val="24"/>
                <w:szCs w:val="24"/>
                <w:highlight w:val="none"/>
              </w:rPr>
              <w:t>存储室内暂存，及时将医疗固废送往有资质单位处理进行有效处置，收集、运送、贮存、中间处理和最终处置均按照相关规范执行</w:t>
            </w:r>
            <w:r>
              <w:rPr>
                <w:rFonts w:hint="eastAsia" w:ascii="Times New Roman" w:hAnsi="Times New Roman" w:eastAsia="仿宋" w:cs="Times New Roman"/>
                <w:color w:val="auto"/>
                <w:sz w:val="24"/>
                <w:szCs w:val="24"/>
                <w:highlight w:val="none"/>
                <w:lang w:eastAsia="zh-CN"/>
              </w:rPr>
              <w:t>。按照《医疗废物管理条例》、《医疗卫生机构医疗废物管理办法》、《医疗废物专用包装物、容器标准和警示标识规定》等相关规定进行全过程控制和管理。</w:t>
            </w:r>
          </w:p>
          <w:p w14:paraId="501A5FB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w:t>
            </w:r>
            <w:r>
              <w:rPr>
                <w:rFonts w:hint="eastAsia" w:ascii="Times New Roman" w:hAnsi="Times New Roman" w:eastAsia="仿宋" w:cs="Times New Roman"/>
                <w:color w:val="auto"/>
                <w:sz w:val="24"/>
                <w:szCs w:val="24"/>
                <w:highlight w:val="none"/>
              </w:rPr>
              <w:t>3</w:t>
            </w:r>
            <w:r>
              <w:rPr>
                <w:rFonts w:hint="default" w:ascii="Times New Roman" w:hAnsi="Times New Roman" w:eastAsia="仿宋" w:cs="Times New Roman"/>
                <w:color w:val="auto"/>
                <w:sz w:val="24"/>
                <w:szCs w:val="24"/>
                <w:highlight w:val="none"/>
              </w:rPr>
              <w:t>）</w:t>
            </w:r>
            <w:r>
              <w:rPr>
                <w:rFonts w:hint="eastAsia" w:ascii="Times New Roman" w:hAnsi="Times New Roman" w:eastAsia="仿宋" w:cs="Times New Roman"/>
                <w:color w:val="auto"/>
                <w:sz w:val="24"/>
                <w:szCs w:val="24"/>
                <w:highlight w:val="none"/>
                <w:lang w:val="en-US" w:eastAsia="zh-CN"/>
              </w:rPr>
              <w:t>污水处理站污泥</w:t>
            </w:r>
          </w:p>
          <w:p w14:paraId="7BAF46D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rPr>
              <w:t>污水处理设施污泥产生量按《排污许可证申请与核发技术规范水处理（试行）》中9.4污泥核算方法进行计算，具体计算过程为：</w:t>
            </w:r>
          </w:p>
          <w:p w14:paraId="4B7368DB">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E</w:t>
            </w:r>
            <w:r>
              <w:rPr>
                <w:rFonts w:hint="eastAsia" w:ascii="Times New Roman" w:hAnsi="Times New Roman" w:eastAsia="仿宋" w:cs="Times New Roman"/>
                <w:color w:val="auto"/>
                <w:sz w:val="24"/>
                <w:szCs w:val="24"/>
                <w:highlight w:val="none"/>
                <w:vertAlign w:val="subscript"/>
                <w:lang w:eastAsia="zh-CN"/>
              </w:rPr>
              <w:t>产生量</w:t>
            </w:r>
            <w:r>
              <w:rPr>
                <w:rFonts w:hint="eastAsia" w:ascii="Times New Roman" w:hAnsi="Times New Roman" w:eastAsia="仿宋" w:cs="Times New Roman"/>
                <w:color w:val="auto"/>
                <w:sz w:val="24"/>
                <w:szCs w:val="24"/>
                <w:highlight w:val="none"/>
                <w:lang w:eastAsia="zh-CN"/>
              </w:rPr>
              <w:t>=1.7×Q×W</w:t>
            </w:r>
            <w:r>
              <w:rPr>
                <w:rFonts w:hint="eastAsia" w:ascii="Times New Roman" w:hAnsi="Times New Roman" w:eastAsia="仿宋" w:cs="Times New Roman"/>
                <w:color w:val="auto"/>
                <w:sz w:val="24"/>
                <w:szCs w:val="24"/>
                <w:highlight w:val="none"/>
                <w:vertAlign w:val="subscript"/>
                <w:lang w:eastAsia="zh-CN"/>
              </w:rPr>
              <w:t>深</w:t>
            </w:r>
            <w:r>
              <w:rPr>
                <w:rFonts w:hint="eastAsia" w:ascii="Times New Roman" w:hAnsi="Times New Roman" w:eastAsia="仿宋" w:cs="Times New Roman"/>
                <w:color w:val="auto"/>
                <w:sz w:val="24"/>
                <w:szCs w:val="24"/>
                <w:highlight w:val="none"/>
                <w:lang w:eastAsia="zh-CN"/>
              </w:rPr>
              <w:t>×10</w:t>
            </w:r>
            <w:r>
              <w:rPr>
                <w:rFonts w:hint="eastAsia" w:ascii="Times New Roman" w:hAnsi="Times New Roman" w:eastAsia="仿宋" w:cs="Times New Roman"/>
                <w:color w:val="auto"/>
                <w:sz w:val="24"/>
                <w:szCs w:val="24"/>
                <w:highlight w:val="none"/>
                <w:vertAlign w:val="superscript"/>
                <w:lang w:eastAsia="zh-CN"/>
              </w:rPr>
              <w:t>-4</w:t>
            </w:r>
          </w:p>
          <w:p w14:paraId="70DC2BD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式中：E</w:t>
            </w:r>
            <w:r>
              <w:rPr>
                <w:rFonts w:hint="eastAsia" w:ascii="Times New Roman" w:hAnsi="Times New Roman" w:eastAsia="仿宋" w:cs="Times New Roman"/>
                <w:color w:val="auto"/>
                <w:sz w:val="24"/>
                <w:szCs w:val="24"/>
                <w:highlight w:val="none"/>
                <w:vertAlign w:val="subscript"/>
                <w:lang w:val="en-US" w:eastAsia="zh-CN"/>
              </w:rPr>
              <w:t>产生量</w:t>
            </w:r>
            <w:r>
              <w:rPr>
                <w:rFonts w:hint="eastAsia" w:ascii="Times New Roman" w:hAnsi="Times New Roman" w:eastAsia="仿宋" w:cs="Times New Roman"/>
                <w:color w:val="auto"/>
                <w:sz w:val="24"/>
                <w:szCs w:val="24"/>
                <w:highlight w:val="none"/>
                <w:lang w:val="en-US" w:eastAsia="zh-CN"/>
              </w:rPr>
              <w:t>——污水处理过程中产生的污泥量，以干污泥计，t；</w:t>
            </w:r>
          </w:p>
          <w:p w14:paraId="797626A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Q——核算时段内排污单位废水排放量，m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w:t>
            </w:r>
          </w:p>
          <w:p w14:paraId="66AEB8B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W</w:t>
            </w:r>
            <w:r>
              <w:rPr>
                <w:rFonts w:hint="eastAsia" w:ascii="Times New Roman" w:hAnsi="Times New Roman" w:eastAsia="仿宋" w:cs="Times New Roman"/>
                <w:color w:val="auto"/>
                <w:sz w:val="24"/>
                <w:szCs w:val="24"/>
                <w:highlight w:val="none"/>
                <w:vertAlign w:val="subscript"/>
                <w:lang w:val="en-US" w:eastAsia="zh-CN"/>
              </w:rPr>
              <w:t>深</w:t>
            </w:r>
            <w:r>
              <w:rPr>
                <w:rFonts w:hint="eastAsia" w:ascii="Times New Roman" w:hAnsi="Times New Roman" w:eastAsia="仿宋" w:cs="Times New Roman"/>
                <w:color w:val="auto"/>
                <w:sz w:val="24"/>
                <w:szCs w:val="24"/>
                <w:highlight w:val="none"/>
                <w:lang w:val="en-US" w:eastAsia="zh-CN"/>
              </w:rPr>
              <w:t>——有深度处理工艺时按2计；无深度处理工艺时按1计。量纲一。本项目以</w:t>
            </w:r>
            <w:r>
              <w:rPr>
                <w:rFonts w:hint="eastAsia" w:eastAsia="仿宋" w:cs="Times New Roman"/>
                <w:color w:val="auto"/>
                <w:sz w:val="24"/>
                <w:szCs w:val="24"/>
                <w:highlight w:val="none"/>
                <w:lang w:val="en-US" w:eastAsia="zh-CN"/>
              </w:rPr>
              <w:t>1</w:t>
            </w:r>
            <w:r>
              <w:rPr>
                <w:rFonts w:hint="eastAsia" w:ascii="Times New Roman" w:hAnsi="Times New Roman" w:eastAsia="仿宋" w:cs="Times New Roman"/>
                <w:color w:val="auto"/>
                <w:sz w:val="24"/>
                <w:szCs w:val="24"/>
                <w:highlight w:val="none"/>
                <w:lang w:val="en-US" w:eastAsia="zh-CN"/>
              </w:rPr>
              <w:t>计。</w:t>
            </w:r>
          </w:p>
          <w:p w14:paraId="552D217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本扩建工程项目废水产生量73686.2m³/a，则扩建工程项目污泥产生量为</w:t>
            </w:r>
            <w:r>
              <w:rPr>
                <w:rFonts w:hint="eastAsia" w:eastAsia="仿宋" w:cs="Times New Roman"/>
                <w:color w:val="auto"/>
                <w:sz w:val="24"/>
                <w:szCs w:val="24"/>
                <w:highlight w:val="none"/>
                <w:lang w:val="en-US" w:eastAsia="zh-CN"/>
              </w:rPr>
              <w:t>12.53</w:t>
            </w:r>
            <w:r>
              <w:rPr>
                <w:rFonts w:hint="eastAsia" w:ascii="Times New Roman" w:hAnsi="Times New Roman" w:eastAsia="仿宋" w:cs="Times New Roman"/>
                <w:color w:val="auto"/>
                <w:sz w:val="24"/>
                <w:szCs w:val="24"/>
                <w:highlight w:val="none"/>
                <w:lang w:val="en-US" w:eastAsia="zh-CN"/>
              </w:rPr>
              <w:t>t/a。</w:t>
            </w:r>
          </w:p>
          <w:p w14:paraId="0FB308B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eastAsia="仿宋" w:cs="Times New Roman"/>
                <w:color w:val="FF0000"/>
                <w:sz w:val="24"/>
                <w:szCs w:val="24"/>
                <w:highlight w:val="none"/>
                <w:lang w:val="en-US" w:eastAsia="zh-CN"/>
              </w:rPr>
            </w:pPr>
            <w:r>
              <w:rPr>
                <w:rFonts w:hint="eastAsia" w:eastAsia="仿宋" w:cs="Times New Roman"/>
                <w:color w:val="auto"/>
                <w:sz w:val="24"/>
                <w:szCs w:val="24"/>
                <w:highlight w:val="none"/>
                <w:lang w:val="en-US" w:eastAsia="zh-CN"/>
              </w:rPr>
              <w:t>同时，类比原项目污泥产生量，原项目废水量为213138m</w:t>
            </w:r>
            <w:r>
              <w:rPr>
                <w:rFonts w:hint="eastAsia" w:eastAsia="仿宋" w:cs="Times New Roman"/>
                <w:color w:val="auto"/>
                <w:sz w:val="24"/>
                <w:szCs w:val="24"/>
                <w:highlight w:val="none"/>
                <w:vertAlign w:val="superscript"/>
                <w:lang w:val="en-US" w:eastAsia="zh-CN"/>
              </w:rPr>
              <w:t>3</w:t>
            </w:r>
            <w:r>
              <w:rPr>
                <w:rFonts w:hint="eastAsia" w:eastAsia="仿宋" w:cs="Times New Roman"/>
                <w:color w:val="auto"/>
                <w:sz w:val="24"/>
                <w:szCs w:val="24"/>
                <w:highlight w:val="none"/>
                <w:lang w:val="en-US" w:eastAsia="zh-CN"/>
              </w:rPr>
              <w:t>/a，产生污泥为30t/a，本项目废水量为73687m</w:t>
            </w:r>
            <w:r>
              <w:rPr>
                <w:rFonts w:hint="eastAsia" w:eastAsia="仿宋" w:cs="Times New Roman"/>
                <w:color w:val="auto"/>
                <w:sz w:val="24"/>
                <w:szCs w:val="24"/>
                <w:highlight w:val="none"/>
                <w:vertAlign w:val="superscript"/>
                <w:lang w:val="en-US" w:eastAsia="zh-CN"/>
              </w:rPr>
              <w:t>3</w:t>
            </w:r>
            <w:r>
              <w:rPr>
                <w:rFonts w:hint="eastAsia" w:eastAsia="仿宋" w:cs="Times New Roman"/>
                <w:color w:val="auto"/>
                <w:sz w:val="24"/>
                <w:szCs w:val="24"/>
                <w:highlight w:val="none"/>
                <w:lang w:val="en-US" w:eastAsia="zh-CN"/>
              </w:rPr>
              <w:t>/a，预计产生量为10.37t/a。综合后本项目污泥预计产生量为11t/a。</w:t>
            </w:r>
          </w:p>
          <w:p w14:paraId="1246C76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根据《医院污水处理工程技术规范》（HJ2029-2013）6.3.5.3章节可知：医院污水站污泥应按照危险废物处理处置要求，由具有危险废物处置资质的单位进行集中处置。可按照《国家危险废物名录（202</w:t>
            </w:r>
            <w:r>
              <w:rPr>
                <w:rFonts w:hint="eastAsia" w:eastAsia="仿宋" w:cs="Times New Roman"/>
                <w:color w:val="auto"/>
                <w:sz w:val="24"/>
                <w:szCs w:val="24"/>
                <w:highlight w:val="none"/>
                <w:lang w:val="en-US" w:eastAsia="zh-CN"/>
              </w:rPr>
              <w:t>5</w:t>
            </w:r>
            <w:r>
              <w:rPr>
                <w:rFonts w:hint="eastAsia" w:ascii="Times New Roman" w:hAnsi="Times New Roman" w:eastAsia="仿宋" w:cs="Times New Roman"/>
                <w:color w:val="auto"/>
                <w:sz w:val="24"/>
                <w:szCs w:val="24"/>
                <w:highlight w:val="none"/>
                <w:lang w:val="en-US" w:eastAsia="zh-CN"/>
              </w:rPr>
              <w:t>年版）》（2021.1.1）中“HW01医疗废物”类废物管理，废物代码：841-001-01、841-002-01、841-003-01、841-004-01、841-005-01。依据《医疗机构水污染物排放标准》（GB18466-2005）4.3.2章节：“污泥清掏前应进行监测，</w:t>
            </w:r>
            <w:r>
              <w:rPr>
                <w:rFonts w:hint="default" w:ascii="Times New Roman" w:hAnsi="Times New Roman" w:eastAsia="仿宋" w:cs="Times New Roman"/>
                <w:color w:val="auto"/>
                <w:sz w:val="24"/>
                <w:szCs w:val="24"/>
                <w:highlight w:val="none"/>
                <w:lang w:val="en-US" w:eastAsia="zh-CN"/>
              </w:rPr>
              <w:t>污水处理设施污泥执行《医疗机构水污染物排放标准》（GB18466-2005）中表4医疗机构污泥控制标准</w:t>
            </w:r>
            <w:r>
              <w:rPr>
                <w:rFonts w:hint="eastAsia" w:ascii="Times New Roman" w:hAnsi="Times New Roman" w:eastAsia="仿宋" w:cs="Times New Roman"/>
                <w:color w:val="auto"/>
                <w:sz w:val="24"/>
                <w:szCs w:val="24"/>
                <w:highlight w:val="none"/>
                <w:lang w:val="en-US" w:eastAsia="zh-CN"/>
              </w:rPr>
              <w:t>。”</w:t>
            </w:r>
          </w:p>
          <w:p w14:paraId="5182C60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污水处理装置污泥一个月清掏一次，以确保污水处理装置的正常运行。脱水处理后的污泥由污泥泵泵入污泥池（加盖）暂存，清掏前加入石灰或其它消毒剂对污泥进行消毒处理，严格按照《医疗机构水污染物排放标准》（GB18466-2005）中有关污泥控制与处置的规定：污水处理站污泥属危险废物，应按危险废物进行处理和处置。污泥消毒后交有资质单位处理，运输过程采用专用运输车辆，桶装密封，同时运输路线避开人口密集区。</w:t>
            </w:r>
          </w:p>
          <w:p w14:paraId="54ED53D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（4）废活性炭</w:t>
            </w:r>
          </w:p>
          <w:p w14:paraId="4F11AFE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本项目污水处理站产生的臭气集中收集后通过活性炭+水喷淋处理后，通过15m高排气筒排放，每季度需更换活性炭。原项目未对活性炭统计，类比同类型医院，全院活性炭吸附装置填装量为500kg，每季度更换一次，年用量为2t。对照《国家危险废物名录》（2025版），属于危险废物，废物类别HW49，代码900-039-49，委托有资质单位处理处置。</w:t>
            </w:r>
          </w:p>
          <w:p w14:paraId="10F688D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（5）喷淋废液</w:t>
            </w:r>
          </w:p>
          <w:p w14:paraId="1167F9E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eastAsia="仿宋" w:cs="Times New Roman"/>
                <w:color w:val="auto"/>
                <w:sz w:val="24"/>
                <w:szCs w:val="24"/>
                <w:highlight w:val="none"/>
                <w:lang w:val="en-US" w:eastAsia="zh-CN"/>
              </w:rPr>
            </w:pPr>
            <w:r>
              <w:rPr>
                <w:rFonts w:hint="eastAsia" w:eastAsia="仿宋" w:cs="Times New Roman"/>
                <w:color w:val="auto"/>
                <w:sz w:val="24"/>
                <w:szCs w:val="24"/>
                <w:highlight w:val="none"/>
                <w:lang w:val="en-US" w:eastAsia="zh-CN"/>
              </w:rPr>
              <w:t>本项目污水处理站产生的臭气集中收集后通过活性炭+水喷淋处理后，通过15m高排气筒排放，有喷淋废液产生。原项目未对喷淋废液统计，类比同类型医院，喷淋废液年产生量为6t。对照《国家危险废物名录》（2025版），属于危险废物，废物类别HW09，代码900-007-09，委托有资质单位处理处置。</w:t>
            </w:r>
          </w:p>
          <w:p w14:paraId="41AC96E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扩建工程</w:t>
            </w:r>
            <w:r>
              <w:rPr>
                <w:rFonts w:hint="eastAsia" w:ascii="Times New Roman" w:hAnsi="Times New Roman" w:eastAsia="仿宋" w:cs="Times New Roman"/>
                <w:color w:val="auto"/>
                <w:sz w:val="24"/>
                <w:szCs w:val="24"/>
                <w:highlight w:val="none"/>
                <w:lang w:val="en-US" w:eastAsia="zh-CN"/>
              </w:rPr>
              <w:t>项目</w:t>
            </w:r>
            <w:r>
              <w:rPr>
                <w:rFonts w:hint="default" w:ascii="Times New Roman" w:hAnsi="Times New Roman" w:eastAsia="仿宋" w:cs="Times New Roman"/>
                <w:color w:val="auto"/>
                <w:sz w:val="24"/>
                <w:szCs w:val="24"/>
                <w:highlight w:val="none"/>
                <w:lang w:val="en-US" w:eastAsia="zh-CN"/>
              </w:rPr>
              <w:t>固体废物产生情况见表</w:t>
            </w:r>
            <w:r>
              <w:rPr>
                <w:rFonts w:hint="eastAsia" w:ascii="Times New Roman" w:hAnsi="Times New Roman" w:eastAsia="仿宋" w:cs="Times New Roman"/>
                <w:color w:val="auto"/>
                <w:sz w:val="24"/>
                <w:szCs w:val="24"/>
                <w:highlight w:val="none"/>
                <w:lang w:val="en-US" w:eastAsia="zh-CN"/>
              </w:rPr>
              <w:t>4-</w:t>
            </w:r>
            <w:r>
              <w:rPr>
                <w:rFonts w:hint="eastAsia" w:eastAsia="仿宋" w:cs="Times New Roman"/>
                <w:color w:val="auto"/>
                <w:sz w:val="24"/>
                <w:szCs w:val="24"/>
                <w:highlight w:val="none"/>
                <w:lang w:val="en-US" w:eastAsia="zh-CN"/>
              </w:rPr>
              <w:t>16</w:t>
            </w:r>
            <w:r>
              <w:rPr>
                <w:rFonts w:hint="default" w:ascii="Times New Roman" w:hAnsi="Times New Roman" w:eastAsia="仿宋" w:cs="Times New Roman"/>
                <w:color w:val="auto"/>
                <w:sz w:val="24"/>
                <w:szCs w:val="24"/>
                <w:highlight w:val="none"/>
                <w:lang w:val="en-US" w:eastAsia="zh-CN"/>
              </w:rPr>
              <w:t>。</w:t>
            </w:r>
          </w:p>
          <w:p w14:paraId="3E821CB7">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表</w:t>
            </w:r>
            <w:r>
              <w:rPr>
                <w:rFonts w:hint="eastAsia" w:ascii="Times New Roman" w:hAnsi="Times New Roman" w:eastAsia="仿宋" w:cs="Times New Roman"/>
                <w:b/>
                <w:bCs/>
                <w:color w:val="auto"/>
                <w:kern w:val="2"/>
                <w:sz w:val="22"/>
                <w:szCs w:val="22"/>
                <w:highlight w:val="none"/>
                <w:lang w:val="en-US" w:eastAsia="zh-CN" w:bidi="ar-SA"/>
              </w:rPr>
              <w:t>4-1</w:t>
            </w:r>
            <w:r>
              <w:rPr>
                <w:rFonts w:hint="eastAsia" w:eastAsia="仿宋" w:cs="Times New Roman"/>
                <w:b/>
                <w:bCs/>
                <w:color w:val="auto"/>
                <w:kern w:val="2"/>
                <w:sz w:val="22"/>
                <w:szCs w:val="22"/>
                <w:highlight w:val="none"/>
                <w:lang w:val="en-US" w:eastAsia="zh-CN" w:bidi="ar-SA"/>
              </w:rPr>
              <w:t>6</w:t>
            </w:r>
            <w:r>
              <w:rPr>
                <w:rFonts w:hint="eastAsia" w:ascii="Times New Roman" w:hAnsi="Times New Roman" w:eastAsia="仿宋" w:cs="Times New Roman"/>
                <w:b/>
                <w:bCs/>
                <w:color w:val="auto"/>
                <w:kern w:val="2"/>
                <w:sz w:val="22"/>
                <w:szCs w:val="22"/>
                <w:highlight w:val="none"/>
                <w:lang w:val="en-US" w:eastAsia="zh-CN" w:bidi="ar-SA"/>
              </w:rPr>
              <w:t xml:space="preserve"> </w:t>
            </w:r>
            <w:r>
              <w:rPr>
                <w:rFonts w:hint="default" w:ascii="Times New Roman" w:hAnsi="Times New Roman" w:eastAsia="仿宋" w:cs="Times New Roman"/>
                <w:b/>
                <w:bCs/>
                <w:color w:val="auto"/>
                <w:kern w:val="2"/>
                <w:sz w:val="22"/>
                <w:szCs w:val="22"/>
                <w:highlight w:val="none"/>
                <w:lang w:val="en-US" w:eastAsia="zh-CN" w:bidi="ar-SA"/>
              </w:rPr>
              <w:t xml:space="preserve"> </w:t>
            </w:r>
            <w:r>
              <w:rPr>
                <w:rFonts w:hint="eastAsia" w:ascii="Times New Roman" w:hAnsi="Times New Roman" w:eastAsia="仿宋" w:cs="Times New Roman"/>
                <w:b/>
                <w:bCs/>
                <w:color w:val="auto"/>
                <w:kern w:val="2"/>
                <w:sz w:val="22"/>
                <w:szCs w:val="22"/>
                <w:highlight w:val="none"/>
                <w:lang w:val="en-US" w:eastAsia="zh-CN" w:bidi="ar-SA"/>
              </w:rPr>
              <w:t>扩建工程</w:t>
            </w:r>
            <w:r>
              <w:rPr>
                <w:rFonts w:hint="default" w:ascii="Times New Roman" w:hAnsi="Times New Roman" w:eastAsia="仿宋" w:cs="Times New Roman"/>
                <w:b/>
                <w:bCs/>
                <w:color w:val="auto"/>
                <w:kern w:val="2"/>
                <w:sz w:val="22"/>
                <w:szCs w:val="22"/>
                <w:highlight w:val="none"/>
                <w:lang w:val="en-US" w:eastAsia="zh-CN" w:bidi="ar-SA"/>
              </w:rPr>
              <w:t>项目固废产生情况一览表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376"/>
              <w:gridCol w:w="768"/>
              <w:gridCol w:w="720"/>
              <w:gridCol w:w="1454"/>
              <w:gridCol w:w="1168"/>
              <w:gridCol w:w="809"/>
              <w:gridCol w:w="884"/>
              <w:gridCol w:w="1213"/>
              <w:gridCol w:w="918"/>
            </w:tblGrid>
            <w:tr w14:paraId="3567479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26" w:type="pct"/>
                  <w:noWrap w:val="0"/>
                  <w:vAlign w:val="center"/>
                </w:tcPr>
                <w:p w14:paraId="69F86C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属性</w:t>
                  </w:r>
                </w:p>
              </w:tc>
              <w:tc>
                <w:tcPr>
                  <w:tcW w:w="462" w:type="pct"/>
                  <w:noWrap w:val="0"/>
                  <w:vAlign w:val="center"/>
                </w:tcPr>
                <w:p w14:paraId="3AC272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固废名称</w:t>
                  </w:r>
                </w:p>
              </w:tc>
              <w:tc>
                <w:tcPr>
                  <w:tcW w:w="433" w:type="pct"/>
                  <w:noWrap w:val="0"/>
                  <w:vAlign w:val="center"/>
                </w:tcPr>
                <w:p w14:paraId="45E057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废物类别</w:t>
                  </w:r>
                </w:p>
              </w:tc>
              <w:tc>
                <w:tcPr>
                  <w:tcW w:w="874" w:type="pct"/>
                  <w:noWrap w:val="0"/>
                  <w:vAlign w:val="center"/>
                </w:tcPr>
                <w:p w14:paraId="4E15C5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废物代码</w:t>
                  </w:r>
                </w:p>
              </w:tc>
              <w:tc>
                <w:tcPr>
                  <w:tcW w:w="702" w:type="pct"/>
                  <w:noWrap w:val="0"/>
                  <w:vAlign w:val="center"/>
                </w:tcPr>
                <w:p w14:paraId="189DC5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产生量(t/a)</w:t>
                  </w:r>
                </w:p>
              </w:tc>
              <w:tc>
                <w:tcPr>
                  <w:tcW w:w="486" w:type="pct"/>
                  <w:noWrap w:val="0"/>
                  <w:vAlign w:val="center"/>
                </w:tcPr>
                <w:p w14:paraId="0C948F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来源</w:t>
                  </w:r>
                </w:p>
              </w:tc>
              <w:tc>
                <w:tcPr>
                  <w:tcW w:w="531" w:type="pct"/>
                  <w:noWrap w:val="0"/>
                  <w:vAlign w:val="center"/>
                </w:tcPr>
                <w:p w14:paraId="7D0611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形态</w:t>
                  </w:r>
                </w:p>
              </w:tc>
              <w:tc>
                <w:tcPr>
                  <w:tcW w:w="729" w:type="pct"/>
                  <w:noWrap w:val="0"/>
                  <w:vAlign w:val="center"/>
                </w:tcPr>
                <w:p w14:paraId="2AF96E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有害成分</w:t>
                  </w:r>
                </w:p>
              </w:tc>
              <w:tc>
                <w:tcPr>
                  <w:tcW w:w="552" w:type="pct"/>
                  <w:noWrap w:val="0"/>
                  <w:vAlign w:val="center"/>
                </w:tcPr>
                <w:p w14:paraId="6E2DAE4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危险特征</w:t>
                  </w:r>
                </w:p>
              </w:tc>
            </w:tr>
            <w:tr w14:paraId="4E74D76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226" w:type="pct"/>
                  <w:noWrap w:val="0"/>
                  <w:vAlign w:val="center"/>
                </w:tcPr>
                <w:p w14:paraId="10A5FAC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生活</w:t>
                  </w:r>
                </w:p>
                <w:p w14:paraId="4A5F69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垃圾</w:t>
                  </w:r>
                </w:p>
              </w:tc>
              <w:tc>
                <w:tcPr>
                  <w:tcW w:w="462" w:type="pct"/>
                  <w:noWrap w:val="0"/>
                  <w:vAlign w:val="center"/>
                </w:tcPr>
                <w:p w14:paraId="358568F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生活垃圾</w:t>
                  </w:r>
                </w:p>
              </w:tc>
              <w:tc>
                <w:tcPr>
                  <w:tcW w:w="433" w:type="pct"/>
                  <w:noWrap w:val="0"/>
                  <w:vAlign w:val="center"/>
                </w:tcPr>
                <w:p w14:paraId="60FAFB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w:t>
                  </w:r>
                </w:p>
              </w:tc>
              <w:tc>
                <w:tcPr>
                  <w:tcW w:w="874" w:type="pct"/>
                  <w:noWrap w:val="0"/>
                  <w:vAlign w:val="center"/>
                </w:tcPr>
                <w:p w14:paraId="240A7C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w:t>
                  </w:r>
                </w:p>
              </w:tc>
              <w:tc>
                <w:tcPr>
                  <w:tcW w:w="702" w:type="pct"/>
                  <w:noWrap w:val="0"/>
                  <w:vAlign w:val="center"/>
                </w:tcPr>
                <w:p w14:paraId="2D3ADD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220.46</w:t>
                  </w:r>
                </w:p>
              </w:tc>
              <w:tc>
                <w:tcPr>
                  <w:tcW w:w="486" w:type="pct"/>
                  <w:noWrap w:val="0"/>
                  <w:vAlign w:val="center"/>
                </w:tcPr>
                <w:p w14:paraId="7BE7FF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日常生活</w:t>
                  </w:r>
                </w:p>
              </w:tc>
              <w:tc>
                <w:tcPr>
                  <w:tcW w:w="531" w:type="pct"/>
                  <w:noWrap w:val="0"/>
                  <w:vAlign w:val="center"/>
                </w:tcPr>
                <w:p w14:paraId="0B6368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固态</w:t>
                  </w:r>
                </w:p>
              </w:tc>
              <w:tc>
                <w:tcPr>
                  <w:tcW w:w="729" w:type="pct"/>
                  <w:noWrap w:val="0"/>
                  <w:vAlign w:val="center"/>
                </w:tcPr>
                <w:p w14:paraId="041905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w:t>
                  </w:r>
                </w:p>
              </w:tc>
              <w:tc>
                <w:tcPr>
                  <w:tcW w:w="552" w:type="pct"/>
                  <w:noWrap w:val="0"/>
                  <w:vAlign w:val="center"/>
                </w:tcPr>
                <w:p w14:paraId="4C2CD6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rPr>
                    <w:t>/</w:t>
                  </w:r>
                </w:p>
              </w:tc>
            </w:tr>
            <w:tr w14:paraId="230E99E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26" w:type="pct"/>
                  <w:vMerge w:val="restart"/>
                  <w:noWrap w:val="0"/>
                  <w:vAlign w:val="center"/>
                </w:tcPr>
                <w:p w14:paraId="17A9D7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危险废物</w:t>
                  </w:r>
                </w:p>
              </w:tc>
              <w:tc>
                <w:tcPr>
                  <w:tcW w:w="462" w:type="pct"/>
                  <w:noWrap w:val="0"/>
                  <w:vAlign w:val="center"/>
                </w:tcPr>
                <w:p w14:paraId="0704CA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rPr>
                  </w:pPr>
                  <w:r>
                    <w:rPr>
                      <w:rFonts w:hint="eastAsia" w:ascii="Times New Roman" w:hAnsi="Times New Roman" w:eastAsia="仿宋" w:cs="Times New Roman"/>
                      <w:color w:val="auto"/>
                      <w:kern w:val="0"/>
                      <w:sz w:val="21"/>
                      <w:szCs w:val="21"/>
                      <w:highlight w:val="none"/>
                      <w:lang w:val="en-US" w:eastAsia="zh-CN"/>
                    </w:rPr>
                    <w:t>医疗废物</w:t>
                  </w:r>
                </w:p>
              </w:tc>
              <w:tc>
                <w:tcPr>
                  <w:tcW w:w="433" w:type="pct"/>
                  <w:vMerge w:val="restart"/>
                  <w:noWrap w:val="0"/>
                  <w:vAlign w:val="center"/>
                </w:tcPr>
                <w:p w14:paraId="5205A4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HW01</w:t>
                  </w:r>
                </w:p>
              </w:tc>
              <w:tc>
                <w:tcPr>
                  <w:tcW w:w="874" w:type="pct"/>
                  <w:vMerge w:val="restart"/>
                  <w:noWrap w:val="0"/>
                  <w:vAlign w:val="center"/>
                </w:tcPr>
                <w:p w14:paraId="5B2AAE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w:t>
                  </w:r>
                  <w:r>
                    <w:rPr>
                      <w:rFonts w:hint="eastAsia" w:eastAsia="仿宋" w:cs="Times New Roman"/>
                      <w:color w:val="auto"/>
                      <w:kern w:val="0"/>
                      <w:sz w:val="21"/>
                      <w:szCs w:val="21"/>
                      <w:highlight w:val="none"/>
                      <w:lang w:val="en-US" w:eastAsia="zh-CN"/>
                    </w:rPr>
                    <w:t>5</w:t>
                  </w:r>
                  <w:r>
                    <w:rPr>
                      <w:rFonts w:hint="default" w:ascii="Times New Roman" w:hAnsi="Times New Roman" w:eastAsia="仿宋" w:cs="Times New Roman"/>
                      <w:color w:val="auto"/>
                      <w:kern w:val="0"/>
                      <w:sz w:val="21"/>
                      <w:szCs w:val="21"/>
                      <w:highlight w:val="none"/>
                      <w:lang w:val="en-US" w:eastAsia="zh-CN"/>
                    </w:rPr>
                    <w:t>1-001-01</w:t>
                  </w:r>
                </w:p>
                <w:p w14:paraId="141179D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w:t>
                  </w:r>
                  <w:r>
                    <w:rPr>
                      <w:rFonts w:hint="eastAsia" w:eastAsia="仿宋" w:cs="Times New Roman"/>
                      <w:color w:val="auto"/>
                      <w:kern w:val="0"/>
                      <w:sz w:val="21"/>
                      <w:szCs w:val="21"/>
                      <w:highlight w:val="none"/>
                      <w:lang w:val="en-US" w:eastAsia="zh-CN"/>
                    </w:rPr>
                    <w:t>5</w:t>
                  </w:r>
                  <w:r>
                    <w:rPr>
                      <w:rFonts w:hint="default" w:ascii="Times New Roman" w:hAnsi="Times New Roman" w:eastAsia="仿宋" w:cs="Times New Roman"/>
                      <w:color w:val="auto"/>
                      <w:kern w:val="0"/>
                      <w:sz w:val="21"/>
                      <w:szCs w:val="21"/>
                      <w:highlight w:val="none"/>
                      <w:lang w:val="en-US" w:eastAsia="zh-CN"/>
                    </w:rPr>
                    <w:t>1-002-01</w:t>
                  </w:r>
                </w:p>
                <w:p w14:paraId="0B9C0F9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w:t>
                  </w:r>
                  <w:r>
                    <w:rPr>
                      <w:rFonts w:hint="eastAsia" w:eastAsia="仿宋" w:cs="Times New Roman"/>
                      <w:color w:val="auto"/>
                      <w:kern w:val="0"/>
                      <w:sz w:val="21"/>
                      <w:szCs w:val="21"/>
                      <w:highlight w:val="none"/>
                      <w:lang w:val="en-US" w:eastAsia="zh-CN"/>
                    </w:rPr>
                    <w:t>5</w:t>
                  </w:r>
                  <w:r>
                    <w:rPr>
                      <w:rFonts w:hint="default" w:ascii="Times New Roman" w:hAnsi="Times New Roman" w:eastAsia="仿宋" w:cs="Times New Roman"/>
                      <w:color w:val="auto"/>
                      <w:kern w:val="0"/>
                      <w:sz w:val="21"/>
                      <w:szCs w:val="21"/>
                      <w:highlight w:val="none"/>
                      <w:lang w:val="en-US" w:eastAsia="zh-CN"/>
                    </w:rPr>
                    <w:t>1-003-01</w:t>
                  </w:r>
                </w:p>
                <w:p w14:paraId="1769CD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w:t>
                  </w:r>
                  <w:r>
                    <w:rPr>
                      <w:rFonts w:hint="eastAsia" w:eastAsia="仿宋" w:cs="Times New Roman"/>
                      <w:color w:val="auto"/>
                      <w:kern w:val="0"/>
                      <w:sz w:val="21"/>
                      <w:szCs w:val="21"/>
                      <w:highlight w:val="none"/>
                      <w:lang w:val="en-US" w:eastAsia="zh-CN"/>
                    </w:rPr>
                    <w:t>5</w:t>
                  </w:r>
                  <w:r>
                    <w:rPr>
                      <w:rFonts w:hint="default" w:ascii="Times New Roman" w:hAnsi="Times New Roman" w:eastAsia="仿宋" w:cs="Times New Roman"/>
                      <w:color w:val="auto"/>
                      <w:kern w:val="0"/>
                      <w:sz w:val="21"/>
                      <w:szCs w:val="21"/>
                      <w:highlight w:val="none"/>
                      <w:lang w:val="en-US" w:eastAsia="zh-CN"/>
                    </w:rPr>
                    <w:t>1-004-01</w:t>
                  </w:r>
                </w:p>
                <w:p w14:paraId="1682BF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w:t>
                  </w:r>
                  <w:r>
                    <w:rPr>
                      <w:rFonts w:hint="eastAsia" w:eastAsia="仿宋" w:cs="Times New Roman"/>
                      <w:color w:val="auto"/>
                      <w:kern w:val="0"/>
                      <w:sz w:val="21"/>
                      <w:szCs w:val="21"/>
                      <w:highlight w:val="none"/>
                      <w:lang w:val="en-US" w:eastAsia="zh-CN"/>
                    </w:rPr>
                    <w:t>5</w:t>
                  </w:r>
                  <w:r>
                    <w:rPr>
                      <w:rFonts w:hint="default" w:ascii="Times New Roman" w:hAnsi="Times New Roman" w:eastAsia="仿宋" w:cs="Times New Roman"/>
                      <w:color w:val="auto"/>
                      <w:kern w:val="0"/>
                      <w:sz w:val="21"/>
                      <w:szCs w:val="21"/>
                      <w:highlight w:val="none"/>
                      <w:lang w:val="en-US" w:eastAsia="zh-CN"/>
                    </w:rPr>
                    <w:t>1-005-01</w:t>
                  </w:r>
                </w:p>
              </w:tc>
              <w:tc>
                <w:tcPr>
                  <w:tcW w:w="702" w:type="pct"/>
                  <w:noWrap w:val="0"/>
                  <w:vAlign w:val="center"/>
                </w:tcPr>
                <w:p w14:paraId="326F6D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61.50</w:t>
                  </w:r>
                </w:p>
              </w:tc>
              <w:tc>
                <w:tcPr>
                  <w:tcW w:w="486" w:type="pct"/>
                  <w:noWrap w:val="0"/>
                  <w:vAlign w:val="center"/>
                </w:tcPr>
                <w:p w14:paraId="190E3F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日常运营</w:t>
                  </w:r>
                </w:p>
              </w:tc>
              <w:tc>
                <w:tcPr>
                  <w:tcW w:w="531" w:type="pct"/>
                  <w:noWrap w:val="0"/>
                  <w:vAlign w:val="center"/>
                </w:tcPr>
                <w:p w14:paraId="217700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rPr>
                    <w:t>固态</w:t>
                  </w:r>
                </w:p>
              </w:tc>
              <w:tc>
                <w:tcPr>
                  <w:tcW w:w="729" w:type="pct"/>
                  <w:vMerge w:val="restart"/>
                  <w:noWrap w:val="0"/>
                  <w:vAlign w:val="center"/>
                </w:tcPr>
                <w:p w14:paraId="0D1F0D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感染性</w:t>
                  </w:r>
                  <w:r>
                    <w:rPr>
                      <w:rFonts w:hint="eastAsia" w:ascii="Times New Roman" w:hAnsi="Times New Roman" w:eastAsia="仿宋" w:cs="Times New Roman"/>
                      <w:color w:val="auto"/>
                      <w:kern w:val="0"/>
                      <w:sz w:val="21"/>
                      <w:szCs w:val="21"/>
                      <w:highlight w:val="none"/>
                      <w:lang w:val="en-US" w:eastAsia="zh-CN"/>
                    </w:rPr>
                    <w:t>、</w:t>
                  </w:r>
                  <w:r>
                    <w:rPr>
                      <w:rFonts w:hint="default" w:ascii="Times New Roman" w:hAnsi="Times New Roman" w:eastAsia="仿宋" w:cs="Times New Roman"/>
                      <w:color w:val="auto"/>
                      <w:kern w:val="0"/>
                      <w:sz w:val="21"/>
                      <w:szCs w:val="21"/>
                      <w:highlight w:val="none"/>
                      <w:lang w:val="en-US" w:eastAsia="zh-CN"/>
                    </w:rPr>
                    <w:t>损伤性</w:t>
                  </w:r>
                  <w:r>
                    <w:rPr>
                      <w:rFonts w:hint="eastAsia" w:ascii="Times New Roman" w:hAnsi="Times New Roman" w:eastAsia="仿宋" w:cs="Times New Roman"/>
                      <w:color w:val="auto"/>
                      <w:kern w:val="0"/>
                      <w:sz w:val="21"/>
                      <w:szCs w:val="21"/>
                      <w:highlight w:val="none"/>
                      <w:lang w:val="en-US" w:eastAsia="zh-CN"/>
                    </w:rPr>
                    <w:t>、病理性、化学性、药物性等废物</w:t>
                  </w:r>
                </w:p>
              </w:tc>
              <w:tc>
                <w:tcPr>
                  <w:tcW w:w="552" w:type="pct"/>
                  <w:vMerge w:val="restart"/>
                  <w:noWrap w:val="0"/>
                  <w:vAlign w:val="center"/>
                </w:tcPr>
                <w:p w14:paraId="763A4A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rPr>
                    <w:t>T/In</w:t>
                  </w:r>
                  <w:r>
                    <w:rPr>
                      <w:rFonts w:hint="eastAsia" w:ascii="Times New Roman" w:hAnsi="Times New Roman" w:eastAsia="仿宋" w:cs="Times New Roman"/>
                      <w:color w:val="auto"/>
                      <w:kern w:val="0"/>
                      <w:sz w:val="21"/>
                      <w:szCs w:val="21"/>
                      <w:highlight w:val="none"/>
                      <w:lang w:val="en-US" w:eastAsia="zh-CN"/>
                    </w:rPr>
                    <w:t>/C/I/R</w:t>
                  </w:r>
                </w:p>
              </w:tc>
            </w:tr>
            <w:tr w14:paraId="4FFE222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67" w:hRule="atLeast"/>
                <w:jc w:val="center"/>
              </w:trPr>
              <w:tc>
                <w:tcPr>
                  <w:tcW w:w="226" w:type="pct"/>
                  <w:vMerge w:val="continue"/>
                  <w:noWrap w:val="0"/>
                  <w:vAlign w:val="center"/>
                </w:tcPr>
                <w:p w14:paraId="64245B1F">
                  <w:pPr>
                    <w:jc w:val="center"/>
                    <w:rPr>
                      <w:rFonts w:hint="eastAsia"/>
                      <w:color w:val="FF0000"/>
                    </w:rPr>
                  </w:pPr>
                </w:p>
              </w:tc>
              <w:tc>
                <w:tcPr>
                  <w:tcW w:w="462" w:type="pct"/>
                  <w:noWrap w:val="0"/>
                  <w:vAlign w:val="center"/>
                </w:tcPr>
                <w:p w14:paraId="0AA241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污泥</w:t>
                  </w:r>
                </w:p>
              </w:tc>
              <w:tc>
                <w:tcPr>
                  <w:tcW w:w="433" w:type="pct"/>
                  <w:vMerge w:val="continue"/>
                  <w:noWrap w:val="0"/>
                  <w:vAlign w:val="center"/>
                </w:tcPr>
                <w:p w14:paraId="4F1D5C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p>
              </w:tc>
              <w:tc>
                <w:tcPr>
                  <w:tcW w:w="874" w:type="pct"/>
                  <w:vMerge w:val="continue"/>
                  <w:noWrap w:val="0"/>
                  <w:vAlign w:val="center"/>
                </w:tcPr>
                <w:p w14:paraId="5A04B0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p>
              </w:tc>
              <w:tc>
                <w:tcPr>
                  <w:tcW w:w="702" w:type="pct"/>
                  <w:noWrap w:val="0"/>
                  <w:vAlign w:val="center"/>
                </w:tcPr>
                <w:p w14:paraId="1735509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11</w:t>
                  </w:r>
                </w:p>
              </w:tc>
              <w:tc>
                <w:tcPr>
                  <w:tcW w:w="486" w:type="pct"/>
                  <w:noWrap w:val="0"/>
                  <w:vAlign w:val="center"/>
                </w:tcPr>
                <w:p w14:paraId="591978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废水处理</w:t>
                  </w:r>
                </w:p>
              </w:tc>
              <w:tc>
                <w:tcPr>
                  <w:tcW w:w="531" w:type="pct"/>
                  <w:noWrap w:val="0"/>
                  <w:vAlign w:val="center"/>
                </w:tcPr>
                <w:p w14:paraId="7A6FF1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rPr>
                    <w:t>固态</w:t>
                  </w:r>
                </w:p>
              </w:tc>
              <w:tc>
                <w:tcPr>
                  <w:tcW w:w="729" w:type="pct"/>
                  <w:vMerge w:val="continue"/>
                  <w:noWrap w:val="0"/>
                  <w:vAlign w:val="center"/>
                </w:tcPr>
                <w:p w14:paraId="5FA18496">
                  <w:pPr>
                    <w:jc w:val="center"/>
                    <w:rPr>
                      <w:rFonts w:hint="default" w:eastAsia="宋体"/>
                      <w:color w:val="FF0000"/>
                      <w:lang w:val="en-US" w:eastAsia="zh-CN"/>
                    </w:rPr>
                  </w:pPr>
                </w:p>
              </w:tc>
              <w:tc>
                <w:tcPr>
                  <w:tcW w:w="552" w:type="pct"/>
                  <w:vMerge w:val="continue"/>
                  <w:noWrap w:val="0"/>
                  <w:vAlign w:val="center"/>
                </w:tcPr>
                <w:p w14:paraId="6E1DE8AB">
                  <w:pPr>
                    <w:pStyle w:val="134"/>
                    <w:autoSpaceDE w:val="0"/>
                    <w:autoSpaceDN w:val="0"/>
                    <w:adjustRightInd w:val="0"/>
                    <w:snapToGrid w:val="0"/>
                    <w:rPr>
                      <w:rFonts w:hint="default" w:eastAsia="宋体"/>
                      <w:color w:val="FF0000"/>
                      <w:lang w:val="en-US" w:eastAsia="zh-CN"/>
                    </w:rPr>
                  </w:pPr>
                </w:p>
              </w:tc>
            </w:tr>
            <w:tr w14:paraId="2A5D0D1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67" w:hRule="atLeast"/>
                <w:jc w:val="center"/>
              </w:trPr>
              <w:tc>
                <w:tcPr>
                  <w:tcW w:w="226" w:type="pct"/>
                  <w:vMerge w:val="continue"/>
                  <w:noWrap w:val="0"/>
                  <w:vAlign w:val="center"/>
                </w:tcPr>
                <w:p w14:paraId="65516D2B">
                  <w:pPr>
                    <w:jc w:val="center"/>
                    <w:rPr>
                      <w:rFonts w:hint="eastAsia"/>
                      <w:color w:val="FF0000"/>
                    </w:rPr>
                  </w:pPr>
                </w:p>
              </w:tc>
              <w:tc>
                <w:tcPr>
                  <w:tcW w:w="462" w:type="pct"/>
                  <w:noWrap w:val="0"/>
                  <w:vAlign w:val="center"/>
                </w:tcPr>
                <w:p w14:paraId="6F1E56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废活性炭</w:t>
                  </w:r>
                </w:p>
              </w:tc>
              <w:tc>
                <w:tcPr>
                  <w:tcW w:w="433" w:type="pct"/>
                  <w:noWrap w:val="0"/>
                  <w:vAlign w:val="center"/>
                </w:tcPr>
                <w:p w14:paraId="7F9A91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HW49</w:t>
                  </w:r>
                </w:p>
              </w:tc>
              <w:tc>
                <w:tcPr>
                  <w:tcW w:w="874" w:type="pct"/>
                  <w:noWrap w:val="0"/>
                  <w:vAlign w:val="center"/>
                </w:tcPr>
                <w:p w14:paraId="56A6C7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900-039-49</w:t>
                  </w:r>
                </w:p>
              </w:tc>
              <w:tc>
                <w:tcPr>
                  <w:tcW w:w="702" w:type="pct"/>
                  <w:noWrap w:val="0"/>
                  <w:vAlign w:val="center"/>
                </w:tcPr>
                <w:p w14:paraId="69D9C3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w:t>
                  </w:r>
                </w:p>
              </w:tc>
              <w:tc>
                <w:tcPr>
                  <w:tcW w:w="486" w:type="pct"/>
                  <w:noWrap w:val="0"/>
                  <w:vAlign w:val="center"/>
                </w:tcPr>
                <w:p w14:paraId="0D51C3F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废气处理</w:t>
                  </w:r>
                </w:p>
              </w:tc>
              <w:tc>
                <w:tcPr>
                  <w:tcW w:w="531" w:type="pct"/>
                  <w:noWrap w:val="0"/>
                  <w:vAlign w:val="center"/>
                </w:tcPr>
                <w:p w14:paraId="446D63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固态</w:t>
                  </w:r>
                </w:p>
              </w:tc>
              <w:tc>
                <w:tcPr>
                  <w:tcW w:w="729" w:type="pct"/>
                  <w:noWrap w:val="0"/>
                  <w:vAlign w:val="center"/>
                </w:tcPr>
                <w:p w14:paraId="538F5A93">
                  <w:pPr>
                    <w:jc w:val="center"/>
                    <w:rPr>
                      <w:rFonts w:hint="default" w:eastAsia="宋体"/>
                      <w:color w:val="auto"/>
                      <w:lang w:val="en-US" w:eastAsia="zh-CN"/>
                    </w:rPr>
                  </w:pPr>
                  <w:r>
                    <w:rPr>
                      <w:rFonts w:hint="eastAsia"/>
                      <w:color w:val="auto"/>
                      <w:lang w:val="en-US" w:eastAsia="zh-CN"/>
                    </w:rPr>
                    <w:t>/</w:t>
                  </w:r>
                </w:p>
              </w:tc>
              <w:tc>
                <w:tcPr>
                  <w:tcW w:w="552" w:type="pct"/>
                  <w:noWrap w:val="0"/>
                  <w:vAlign w:val="center"/>
                </w:tcPr>
                <w:p w14:paraId="31C5B463">
                  <w:pPr>
                    <w:pStyle w:val="134"/>
                    <w:autoSpaceDE w:val="0"/>
                    <w:autoSpaceDN w:val="0"/>
                    <w:adjustRightInd w:val="0"/>
                    <w:snapToGrid w:val="0"/>
                    <w:rPr>
                      <w:rFonts w:hint="default" w:eastAsia="宋体"/>
                      <w:color w:val="auto"/>
                      <w:lang w:val="en-US" w:eastAsia="zh-CN"/>
                    </w:rPr>
                  </w:pPr>
                  <w:r>
                    <w:rPr>
                      <w:rFonts w:hint="eastAsia"/>
                      <w:color w:val="auto"/>
                      <w:lang w:val="en-US" w:eastAsia="zh-CN"/>
                    </w:rPr>
                    <w:t>T</w:t>
                  </w:r>
                </w:p>
              </w:tc>
            </w:tr>
            <w:tr w14:paraId="6CBCF68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67" w:hRule="atLeast"/>
                <w:jc w:val="center"/>
              </w:trPr>
              <w:tc>
                <w:tcPr>
                  <w:tcW w:w="226" w:type="pct"/>
                  <w:vMerge w:val="continue"/>
                  <w:noWrap w:val="0"/>
                  <w:vAlign w:val="center"/>
                </w:tcPr>
                <w:p w14:paraId="03BDACCF">
                  <w:pPr>
                    <w:jc w:val="center"/>
                    <w:rPr>
                      <w:rFonts w:hint="eastAsia"/>
                      <w:color w:val="FF0000"/>
                    </w:rPr>
                  </w:pPr>
                </w:p>
              </w:tc>
              <w:tc>
                <w:tcPr>
                  <w:tcW w:w="462" w:type="pct"/>
                  <w:noWrap w:val="0"/>
                  <w:vAlign w:val="center"/>
                </w:tcPr>
                <w:p w14:paraId="70606E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喷淋废液</w:t>
                  </w:r>
                </w:p>
              </w:tc>
              <w:tc>
                <w:tcPr>
                  <w:tcW w:w="433" w:type="pct"/>
                  <w:noWrap w:val="0"/>
                  <w:vAlign w:val="center"/>
                </w:tcPr>
                <w:p w14:paraId="513258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HW09</w:t>
                  </w:r>
                </w:p>
              </w:tc>
              <w:tc>
                <w:tcPr>
                  <w:tcW w:w="874" w:type="pct"/>
                  <w:noWrap w:val="0"/>
                  <w:vAlign w:val="center"/>
                </w:tcPr>
                <w:p w14:paraId="0DE755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900-007-09</w:t>
                  </w:r>
                </w:p>
              </w:tc>
              <w:tc>
                <w:tcPr>
                  <w:tcW w:w="702" w:type="pct"/>
                  <w:noWrap w:val="0"/>
                  <w:vAlign w:val="center"/>
                </w:tcPr>
                <w:p w14:paraId="3B093C5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w:t>
                  </w:r>
                </w:p>
              </w:tc>
              <w:tc>
                <w:tcPr>
                  <w:tcW w:w="486" w:type="pct"/>
                  <w:noWrap w:val="0"/>
                  <w:vAlign w:val="center"/>
                </w:tcPr>
                <w:p w14:paraId="027B87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废气处理</w:t>
                  </w:r>
                </w:p>
              </w:tc>
              <w:tc>
                <w:tcPr>
                  <w:tcW w:w="531" w:type="pct"/>
                  <w:noWrap w:val="0"/>
                  <w:vAlign w:val="center"/>
                </w:tcPr>
                <w:p w14:paraId="53740A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液态</w:t>
                  </w:r>
                </w:p>
              </w:tc>
              <w:tc>
                <w:tcPr>
                  <w:tcW w:w="729" w:type="pct"/>
                  <w:noWrap w:val="0"/>
                  <w:vAlign w:val="center"/>
                </w:tcPr>
                <w:p w14:paraId="727D447D">
                  <w:pPr>
                    <w:jc w:val="center"/>
                    <w:rPr>
                      <w:rFonts w:hint="default" w:eastAsia="宋体"/>
                      <w:color w:val="auto"/>
                      <w:lang w:val="en-US" w:eastAsia="zh-CN"/>
                    </w:rPr>
                  </w:pPr>
                  <w:r>
                    <w:rPr>
                      <w:rFonts w:hint="eastAsia"/>
                      <w:color w:val="auto"/>
                      <w:lang w:val="en-US" w:eastAsia="zh-CN"/>
                    </w:rPr>
                    <w:t>/</w:t>
                  </w:r>
                </w:p>
              </w:tc>
              <w:tc>
                <w:tcPr>
                  <w:tcW w:w="552" w:type="pct"/>
                  <w:noWrap w:val="0"/>
                  <w:vAlign w:val="center"/>
                </w:tcPr>
                <w:p w14:paraId="44846298">
                  <w:pPr>
                    <w:pStyle w:val="134"/>
                    <w:autoSpaceDE w:val="0"/>
                    <w:autoSpaceDN w:val="0"/>
                    <w:adjustRightInd w:val="0"/>
                    <w:snapToGrid w:val="0"/>
                    <w:rPr>
                      <w:rFonts w:hint="default" w:eastAsia="宋体"/>
                      <w:color w:val="auto"/>
                      <w:lang w:val="en-US" w:eastAsia="zh-CN"/>
                    </w:rPr>
                  </w:pPr>
                  <w:r>
                    <w:rPr>
                      <w:rFonts w:hint="eastAsia"/>
                      <w:color w:val="auto"/>
                      <w:lang w:val="en-US" w:eastAsia="zh-CN"/>
                    </w:rPr>
                    <w:t>T</w:t>
                  </w:r>
                </w:p>
              </w:tc>
            </w:tr>
            <w:tr w14:paraId="6CBDC57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9"/>
                  <w:noWrap w:val="0"/>
                  <w:vAlign w:val="center"/>
                </w:tcPr>
                <w:p w14:paraId="75D55CF8">
                  <w:pPr>
                    <w:pStyle w:val="134"/>
                    <w:autoSpaceDE w:val="0"/>
                    <w:autoSpaceDN w:val="0"/>
                    <w:adjustRightInd w:val="0"/>
                    <w:snapToGrid w:val="0"/>
                    <w:jc w:val="both"/>
                    <w:rPr>
                      <w:rFonts w:hint="eastAsia"/>
                      <w:color w:val="FF0000"/>
                    </w:rPr>
                  </w:pPr>
                  <w:r>
                    <w:rPr>
                      <w:rFonts w:hint="eastAsia" w:ascii="Times New Roman" w:hAnsi="Times New Roman" w:eastAsia="仿宋" w:cs="Times New Roman"/>
                      <w:color w:val="auto"/>
                      <w:kern w:val="0"/>
                      <w:sz w:val="21"/>
                      <w:szCs w:val="21"/>
                      <w:highlight w:val="none"/>
                      <w:lang w:val="en-US" w:eastAsia="zh-CN" w:bidi="ar-SA"/>
                    </w:rPr>
                    <w:t>注：C腐蚀性、T毒性、I易燃性、R反应性、In感染性</w:t>
                  </w:r>
                </w:p>
              </w:tc>
            </w:tr>
          </w:tbl>
          <w:p w14:paraId="36E221A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现有工程生活垃圾产生量为1100t/a、现有工程医疗废物产生量为8</w:t>
            </w:r>
            <w:r>
              <w:rPr>
                <w:rFonts w:hint="eastAsia" w:eastAsia="仿宋" w:cs="Times New Roman"/>
                <w:color w:val="auto"/>
                <w:sz w:val="24"/>
                <w:szCs w:val="24"/>
                <w:highlight w:val="none"/>
                <w:lang w:val="en-US" w:eastAsia="zh-CN"/>
              </w:rPr>
              <w:t>1</w:t>
            </w:r>
            <w:r>
              <w:rPr>
                <w:rFonts w:hint="eastAsia" w:ascii="Times New Roman" w:hAnsi="Times New Roman" w:eastAsia="仿宋" w:cs="Times New Roman"/>
                <w:color w:val="auto"/>
                <w:sz w:val="24"/>
                <w:szCs w:val="24"/>
                <w:highlight w:val="none"/>
                <w:lang w:val="en-US" w:eastAsia="zh-CN"/>
              </w:rPr>
              <w:t>t/a、现有工程污水处理站污泥产生量为30t/a。则扩建后全院</w:t>
            </w:r>
            <w:r>
              <w:rPr>
                <w:rFonts w:hint="default" w:ascii="Times New Roman" w:hAnsi="Times New Roman" w:eastAsia="仿宋" w:cs="Times New Roman"/>
                <w:color w:val="auto"/>
                <w:sz w:val="24"/>
                <w:szCs w:val="24"/>
                <w:highlight w:val="none"/>
                <w:lang w:val="en-US" w:eastAsia="zh-CN"/>
              </w:rPr>
              <w:t>固体废物产生情况见表</w:t>
            </w:r>
            <w:r>
              <w:rPr>
                <w:rFonts w:hint="eastAsia" w:ascii="Times New Roman" w:hAnsi="Times New Roman" w:eastAsia="仿宋" w:cs="Times New Roman"/>
                <w:color w:val="auto"/>
                <w:sz w:val="24"/>
                <w:szCs w:val="24"/>
                <w:highlight w:val="none"/>
                <w:lang w:val="en-US" w:eastAsia="zh-CN"/>
              </w:rPr>
              <w:t>4-</w:t>
            </w:r>
            <w:r>
              <w:rPr>
                <w:rFonts w:hint="eastAsia" w:eastAsia="仿宋" w:cs="Times New Roman"/>
                <w:color w:val="auto"/>
                <w:sz w:val="24"/>
                <w:szCs w:val="24"/>
                <w:highlight w:val="none"/>
                <w:lang w:val="en-US" w:eastAsia="zh-CN"/>
              </w:rPr>
              <w:t>17</w:t>
            </w:r>
            <w:r>
              <w:rPr>
                <w:rFonts w:hint="default" w:ascii="Times New Roman" w:hAnsi="Times New Roman" w:eastAsia="仿宋" w:cs="Times New Roman"/>
                <w:color w:val="auto"/>
                <w:sz w:val="24"/>
                <w:szCs w:val="24"/>
                <w:highlight w:val="none"/>
                <w:lang w:val="en-US" w:eastAsia="zh-CN"/>
              </w:rPr>
              <w:t>。</w:t>
            </w:r>
          </w:p>
          <w:p w14:paraId="01C57AAE">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表</w:t>
            </w:r>
            <w:r>
              <w:rPr>
                <w:rFonts w:hint="eastAsia" w:ascii="Times New Roman" w:hAnsi="Times New Roman" w:eastAsia="仿宋" w:cs="Times New Roman"/>
                <w:b/>
                <w:bCs/>
                <w:color w:val="auto"/>
                <w:kern w:val="2"/>
                <w:sz w:val="22"/>
                <w:szCs w:val="22"/>
                <w:highlight w:val="none"/>
                <w:lang w:val="en-US" w:eastAsia="zh-CN" w:bidi="ar-SA"/>
              </w:rPr>
              <w:t xml:space="preserve">4-17 </w:t>
            </w:r>
            <w:r>
              <w:rPr>
                <w:rFonts w:hint="default" w:ascii="Times New Roman" w:hAnsi="Times New Roman" w:eastAsia="仿宋" w:cs="Times New Roman"/>
                <w:b/>
                <w:bCs/>
                <w:color w:val="auto"/>
                <w:kern w:val="2"/>
                <w:sz w:val="22"/>
                <w:szCs w:val="22"/>
                <w:highlight w:val="none"/>
                <w:lang w:val="en-US" w:eastAsia="zh-CN" w:bidi="ar-SA"/>
              </w:rPr>
              <w:t xml:space="preserve"> 扩建后全院固废产生情况一览表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374"/>
              <w:gridCol w:w="649"/>
              <w:gridCol w:w="668"/>
              <w:gridCol w:w="1227"/>
              <w:gridCol w:w="1214"/>
              <w:gridCol w:w="804"/>
              <w:gridCol w:w="649"/>
              <w:gridCol w:w="1821"/>
              <w:gridCol w:w="904"/>
            </w:tblGrid>
            <w:tr w14:paraId="74A9BBF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25" w:type="pct"/>
                  <w:noWrap w:val="0"/>
                  <w:vAlign w:val="center"/>
                </w:tcPr>
                <w:p w14:paraId="6A42B7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属性</w:t>
                  </w:r>
                </w:p>
              </w:tc>
              <w:tc>
                <w:tcPr>
                  <w:tcW w:w="390" w:type="pct"/>
                  <w:noWrap w:val="0"/>
                  <w:vAlign w:val="center"/>
                </w:tcPr>
                <w:p w14:paraId="2C199F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固废名称</w:t>
                  </w:r>
                </w:p>
              </w:tc>
              <w:tc>
                <w:tcPr>
                  <w:tcW w:w="401" w:type="pct"/>
                  <w:noWrap w:val="0"/>
                  <w:vAlign w:val="center"/>
                </w:tcPr>
                <w:p w14:paraId="06021A0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废物类别</w:t>
                  </w:r>
                </w:p>
              </w:tc>
              <w:tc>
                <w:tcPr>
                  <w:tcW w:w="738" w:type="pct"/>
                  <w:noWrap w:val="0"/>
                  <w:vAlign w:val="center"/>
                </w:tcPr>
                <w:p w14:paraId="2E34ED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废物代码</w:t>
                  </w:r>
                </w:p>
              </w:tc>
              <w:tc>
                <w:tcPr>
                  <w:tcW w:w="730" w:type="pct"/>
                  <w:noWrap w:val="0"/>
                  <w:vAlign w:val="center"/>
                </w:tcPr>
                <w:p w14:paraId="121995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产生量(t/a)</w:t>
                  </w:r>
                </w:p>
              </w:tc>
              <w:tc>
                <w:tcPr>
                  <w:tcW w:w="483" w:type="pct"/>
                  <w:noWrap w:val="0"/>
                  <w:vAlign w:val="center"/>
                </w:tcPr>
                <w:p w14:paraId="6496FF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来源</w:t>
                  </w:r>
                </w:p>
              </w:tc>
              <w:tc>
                <w:tcPr>
                  <w:tcW w:w="390" w:type="pct"/>
                  <w:noWrap w:val="0"/>
                  <w:vAlign w:val="center"/>
                </w:tcPr>
                <w:p w14:paraId="0E1E4D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形态</w:t>
                  </w:r>
                </w:p>
              </w:tc>
              <w:tc>
                <w:tcPr>
                  <w:tcW w:w="1095" w:type="pct"/>
                  <w:noWrap w:val="0"/>
                  <w:vAlign w:val="center"/>
                </w:tcPr>
                <w:p w14:paraId="22A27D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有害成分</w:t>
                  </w:r>
                </w:p>
              </w:tc>
              <w:tc>
                <w:tcPr>
                  <w:tcW w:w="543" w:type="pct"/>
                  <w:noWrap w:val="0"/>
                  <w:vAlign w:val="center"/>
                </w:tcPr>
                <w:p w14:paraId="12284C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rPr>
                  </w:pPr>
                  <w:r>
                    <w:rPr>
                      <w:rFonts w:hint="eastAsia" w:ascii="Times New Roman" w:hAnsi="Times New Roman" w:eastAsia="仿宋" w:cs="Times New Roman"/>
                      <w:b/>
                      <w:bCs/>
                      <w:color w:val="auto"/>
                      <w:kern w:val="0"/>
                      <w:sz w:val="21"/>
                      <w:szCs w:val="21"/>
                      <w:highlight w:val="none"/>
                    </w:rPr>
                    <w:t>危险特征</w:t>
                  </w:r>
                </w:p>
              </w:tc>
            </w:tr>
            <w:tr w14:paraId="1A4D6BE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25" w:type="pct"/>
                  <w:noWrap w:val="0"/>
                  <w:vAlign w:val="center"/>
                </w:tcPr>
                <w:p w14:paraId="4F16C9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生活</w:t>
                  </w:r>
                </w:p>
                <w:p w14:paraId="327689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垃圾</w:t>
                  </w:r>
                </w:p>
              </w:tc>
              <w:tc>
                <w:tcPr>
                  <w:tcW w:w="390" w:type="pct"/>
                  <w:noWrap w:val="0"/>
                  <w:vAlign w:val="center"/>
                </w:tcPr>
                <w:p w14:paraId="71ED17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生活垃圾</w:t>
                  </w:r>
                </w:p>
              </w:tc>
              <w:tc>
                <w:tcPr>
                  <w:tcW w:w="401" w:type="pct"/>
                  <w:noWrap w:val="0"/>
                  <w:vAlign w:val="center"/>
                </w:tcPr>
                <w:p w14:paraId="75FA0F2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w:t>
                  </w:r>
                </w:p>
              </w:tc>
              <w:tc>
                <w:tcPr>
                  <w:tcW w:w="738" w:type="pct"/>
                  <w:noWrap w:val="0"/>
                  <w:vAlign w:val="center"/>
                </w:tcPr>
                <w:p w14:paraId="7462DD2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w:t>
                  </w:r>
                </w:p>
              </w:tc>
              <w:tc>
                <w:tcPr>
                  <w:tcW w:w="730" w:type="pct"/>
                  <w:noWrap w:val="0"/>
                  <w:vAlign w:val="center"/>
                </w:tcPr>
                <w:p w14:paraId="5EEC672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13</w:t>
                  </w:r>
                  <w:r>
                    <w:rPr>
                      <w:rFonts w:hint="eastAsia" w:eastAsia="仿宋" w:cs="Times New Roman"/>
                      <w:color w:val="auto"/>
                      <w:kern w:val="0"/>
                      <w:sz w:val="21"/>
                      <w:szCs w:val="21"/>
                      <w:highlight w:val="none"/>
                      <w:lang w:val="en-US" w:eastAsia="zh-CN"/>
                    </w:rPr>
                    <w:t>3</w:t>
                  </w:r>
                  <w:r>
                    <w:rPr>
                      <w:rFonts w:hint="eastAsia" w:ascii="Times New Roman" w:hAnsi="Times New Roman" w:eastAsia="仿宋" w:cs="Times New Roman"/>
                      <w:color w:val="auto"/>
                      <w:kern w:val="0"/>
                      <w:sz w:val="21"/>
                      <w:szCs w:val="21"/>
                      <w:highlight w:val="none"/>
                      <w:lang w:val="en-US" w:eastAsia="zh-CN"/>
                    </w:rPr>
                    <w:t>0.46</w:t>
                  </w:r>
                </w:p>
              </w:tc>
              <w:tc>
                <w:tcPr>
                  <w:tcW w:w="483" w:type="pct"/>
                  <w:noWrap w:val="0"/>
                  <w:vAlign w:val="center"/>
                </w:tcPr>
                <w:p w14:paraId="19BCD3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日常生活</w:t>
                  </w:r>
                </w:p>
              </w:tc>
              <w:tc>
                <w:tcPr>
                  <w:tcW w:w="390" w:type="pct"/>
                  <w:noWrap w:val="0"/>
                  <w:vAlign w:val="center"/>
                </w:tcPr>
                <w:p w14:paraId="3B9515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固态</w:t>
                  </w:r>
                </w:p>
              </w:tc>
              <w:tc>
                <w:tcPr>
                  <w:tcW w:w="1095" w:type="pct"/>
                  <w:noWrap w:val="0"/>
                  <w:vAlign w:val="center"/>
                </w:tcPr>
                <w:p w14:paraId="05DDAB5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w:t>
                  </w:r>
                </w:p>
              </w:tc>
              <w:tc>
                <w:tcPr>
                  <w:tcW w:w="543" w:type="pct"/>
                  <w:noWrap w:val="0"/>
                  <w:vAlign w:val="center"/>
                </w:tcPr>
                <w:p w14:paraId="480A57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rPr>
                    <w:t>/</w:t>
                  </w:r>
                </w:p>
              </w:tc>
            </w:tr>
            <w:tr w14:paraId="69B2882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225" w:type="pct"/>
                  <w:vMerge w:val="restart"/>
                  <w:noWrap w:val="0"/>
                  <w:vAlign w:val="center"/>
                </w:tcPr>
                <w:p w14:paraId="0268E4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危险废物</w:t>
                  </w:r>
                </w:p>
              </w:tc>
              <w:tc>
                <w:tcPr>
                  <w:tcW w:w="390" w:type="pct"/>
                  <w:noWrap w:val="0"/>
                  <w:vAlign w:val="center"/>
                </w:tcPr>
                <w:p w14:paraId="5016999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rPr>
                  </w:pPr>
                  <w:r>
                    <w:rPr>
                      <w:rFonts w:hint="eastAsia" w:ascii="Times New Roman" w:hAnsi="Times New Roman" w:eastAsia="仿宋" w:cs="Times New Roman"/>
                      <w:color w:val="auto"/>
                      <w:kern w:val="0"/>
                      <w:sz w:val="21"/>
                      <w:szCs w:val="21"/>
                      <w:highlight w:val="none"/>
                      <w:lang w:val="en-US" w:eastAsia="zh-CN"/>
                    </w:rPr>
                    <w:t>医疗废物</w:t>
                  </w:r>
                </w:p>
              </w:tc>
              <w:tc>
                <w:tcPr>
                  <w:tcW w:w="401" w:type="pct"/>
                  <w:vMerge w:val="restart"/>
                  <w:noWrap w:val="0"/>
                  <w:vAlign w:val="center"/>
                </w:tcPr>
                <w:p w14:paraId="0769529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HW01</w:t>
                  </w:r>
                </w:p>
              </w:tc>
              <w:tc>
                <w:tcPr>
                  <w:tcW w:w="738" w:type="pct"/>
                  <w:vMerge w:val="restart"/>
                  <w:noWrap w:val="0"/>
                  <w:vAlign w:val="center"/>
                </w:tcPr>
                <w:p w14:paraId="08CE15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841-001-01841-002-01841-003-01841-004-01841-005-01</w:t>
                  </w:r>
                </w:p>
              </w:tc>
              <w:tc>
                <w:tcPr>
                  <w:tcW w:w="730" w:type="pct"/>
                  <w:noWrap w:val="0"/>
                  <w:vAlign w:val="center"/>
                </w:tcPr>
                <w:p w14:paraId="09E7D7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14</w:t>
                  </w:r>
                  <w:r>
                    <w:rPr>
                      <w:rFonts w:hint="eastAsia" w:eastAsia="仿宋" w:cs="Times New Roman"/>
                      <w:color w:val="auto"/>
                      <w:kern w:val="0"/>
                      <w:sz w:val="21"/>
                      <w:szCs w:val="21"/>
                      <w:highlight w:val="none"/>
                      <w:lang w:val="en-US" w:eastAsia="zh-CN"/>
                    </w:rPr>
                    <w:t>2</w:t>
                  </w:r>
                  <w:r>
                    <w:rPr>
                      <w:rFonts w:hint="eastAsia" w:ascii="Times New Roman" w:hAnsi="Times New Roman" w:eastAsia="仿宋" w:cs="Times New Roman"/>
                      <w:color w:val="auto"/>
                      <w:kern w:val="0"/>
                      <w:sz w:val="21"/>
                      <w:szCs w:val="21"/>
                      <w:highlight w:val="none"/>
                      <w:lang w:val="en-US" w:eastAsia="zh-CN"/>
                    </w:rPr>
                    <w:t>.50</w:t>
                  </w:r>
                </w:p>
              </w:tc>
              <w:tc>
                <w:tcPr>
                  <w:tcW w:w="483" w:type="pct"/>
                  <w:noWrap w:val="0"/>
                  <w:vAlign w:val="center"/>
                </w:tcPr>
                <w:p w14:paraId="37A1A7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日常运营</w:t>
                  </w:r>
                </w:p>
              </w:tc>
              <w:tc>
                <w:tcPr>
                  <w:tcW w:w="390" w:type="pct"/>
                  <w:noWrap w:val="0"/>
                  <w:vAlign w:val="center"/>
                </w:tcPr>
                <w:p w14:paraId="545752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rPr>
                    <w:t>固态</w:t>
                  </w:r>
                </w:p>
              </w:tc>
              <w:tc>
                <w:tcPr>
                  <w:tcW w:w="1095" w:type="pct"/>
                  <w:vMerge w:val="restart"/>
                  <w:noWrap w:val="0"/>
                  <w:vAlign w:val="center"/>
                </w:tcPr>
                <w:p w14:paraId="3C8F0C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感染性</w:t>
                  </w:r>
                  <w:r>
                    <w:rPr>
                      <w:rFonts w:hint="eastAsia" w:ascii="Times New Roman" w:hAnsi="Times New Roman" w:eastAsia="仿宋" w:cs="Times New Roman"/>
                      <w:color w:val="auto"/>
                      <w:kern w:val="0"/>
                      <w:sz w:val="21"/>
                      <w:szCs w:val="21"/>
                      <w:highlight w:val="none"/>
                      <w:lang w:val="en-US" w:eastAsia="zh-CN"/>
                    </w:rPr>
                    <w:t>、</w:t>
                  </w:r>
                  <w:r>
                    <w:rPr>
                      <w:rFonts w:hint="default" w:ascii="Times New Roman" w:hAnsi="Times New Roman" w:eastAsia="仿宋" w:cs="Times New Roman"/>
                      <w:color w:val="auto"/>
                      <w:kern w:val="0"/>
                      <w:sz w:val="21"/>
                      <w:szCs w:val="21"/>
                      <w:highlight w:val="none"/>
                      <w:lang w:val="en-US" w:eastAsia="zh-CN"/>
                    </w:rPr>
                    <w:t>损伤性</w:t>
                  </w:r>
                  <w:r>
                    <w:rPr>
                      <w:rFonts w:hint="eastAsia" w:ascii="Times New Roman" w:hAnsi="Times New Roman" w:eastAsia="仿宋" w:cs="Times New Roman"/>
                      <w:color w:val="auto"/>
                      <w:kern w:val="0"/>
                      <w:sz w:val="21"/>
                      <w:szCs w:val="21"/>
                      <w:highlight w:val="none"/>
                      <w:lang w:val="en-US" w:eastAsia="zh-CN"/>
                    </w:rPr>
                    <w:t>、病理性、化学性、药物性等废物</w:t>
                  </w:r>
                </w:p>
              </w:tc>
              <w:tc>
                <w:tcPr>
                  <w:tcW w:w="543" w:type="pct"/>
                  <w:vMerge w:val="restart"/>
                  <w:noWrap w:val="0"/>
                  <w:vAlign w:val="center"/>
                </w:tcPr>
                <w:p w14:paraId="72CB1B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rPr>
                    <w:t>T/In</w:t>
                  </w:r>
                  <w:r>
                    <w:rPr>
                      <w:rFonts w:hint="eastAsia" w:ascii="Times New Roman" w:hAnsi="Times New Roman" w:eastAsia="仿宋" w:cs="Times New Roman"/>
                      <w:color w:val="auto"/>
                      <w:kern w:val="0"/>
                      <w:sz w:val="21"/>
                      <w:szCs w:val="21"/>
                      <w:highlight w:val="none"/>
                      <w:lang w:val="en-US" w:eastAsia="zh-CN"/>
                    </w:rPr>
                    <w:t>/C/I/R</w:t>
                  </w:r>
                </w:p>
              </w:tc>
            </w:tr>
            <w:tr w14:paraId="358AC3C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67" w:hRule="atLeast"/>
                <w:jc w:val="center"/>
              </w:trPr>
              <w:tc>
                <w:tcPr>
                  <w:tcW w:w="225" w:type="pct"/>
                  <w:vMerge w:val="continue"/>
                  <w:noWrap w:val="0"/>
                  <w:vAlign w:val="center"/>
                </w:tcPr>
                <w:p w14:paraId="330C0337">
                  <w:pPr>
                    <w:jc w:val="center"/>
                    <w:rPr>
                      <w:rFonts w:hint="eastAsia"/>
                      <w:color w:val="FF0000"/>
                    </w:rPr>
                  </w:pPr>
                </w:p>
              </w:tc>
              <w:tc>
                <w:tcPr>
                  <w:tcW w:w="390" w:type="pct"/>
                  <w:noWrap w:val="0"/>
                  <w:vAlign w:val="center"/>
                </w:tcPr>
                <w:p w14:paraId="1C86A0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污泥</w:t>
                  </w:r>
                </w:p>
              </w:tc>
              <w:tc>
                <w:tcPr>
                  <w:tcW w:w="401" w:type="pct"/>
                  <w:vMerge w:val="continue"/>
                  <w:noWrap w:val="0"/>
                  <w:vAlign w:val="center"/>
                </w:tcPr>
                <w:p w14:paraId="7EC0C6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p>
              </w:tc>
              <w:tc>
                <w:tcPr>
                  <w:tcW w:w="738" w:type="pct"/>
                  <w:vMerge w:val="continue"/>
                  <w:noWrap w:val="0"/>
                  <w:vAlign w:val="center"/>
                </w:tcPr>
                <w:p w14:paraId="37E8D6F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p>
              </w:tc>
              <w:tc>
                <w:tcPr>
                  <w:tcW w:w="730" w:type="pct"/>
                  <w:noWrap w:val="0"/>
                  <w:vAlign w:val="center"/>
                </w:tcPr>
                <w:p w14:paraId="372A57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41</w:t>
                  </w:r>
                </w:p>
              </w:tc>
              <w:tc>
                <w:tcPr>
                  <w:tcW w:w="483" w:type="pct"/>
                  <w:noWrap w:val="0"/>
                  <w:vAlign w:val="center"/>
                </w:tcPr>
                <w:p w14:paraId="2B8475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废水处理</w:t>
                  </w:r>
                </w:p>
              </w:tc>
              <w:tc>
                <w:tcPr>
                  <w:tcW w:w="390" w:type="pct"/>
                  <w:noWrap w:val="0"/>
                  <w:vAlign w:val="center"/>
                </w:tcPr>
                <w:p w14:paraId="5D2675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rPr>
                    <w:t>固态</w:t>
                  </w:r>
                </w:p>
              </w:tc>
              <w:tc>
                <w:tcPr>
                  <w:tcW w:w="1095" w:type="pct"/>
                  <w:vMerge w:val="continue"/>
                  <w:noWrap w:val="0"/>
                  <w:vAlign w:val="center"/>
                </w:tcPr>
                <w:p w14:paraId="6E4A0AB7">
                  <w:pPr>
                    <w:jc w:val="center"/>
                    <w:rPr>
                      <w:rFonts w:hint="default" w:eastAsia="宋体"/>
                      <w:color w:val="FF0000"/>
                      <w:lang w:val="en-US" w:eastAsia="zh-CN"/>
                    </w:rPr>
                  </w:pPr>
                </w:p>
              </w:tc>
              <w:tc>
                <w:tcPr>
                  <w:tcW w:w="543" w:type="pct"/>
                  <w:vMerge w:val="continue"/>
                  <w:noWrap w:val="0"/>
                  <w:vAlign w:val="center"/>
                </w:tcPr>
                <w:p w14:paraId="53907264">
                  <w:pPr>
                    <w:pStyle w:val="134"/>
                    <w:autoSpaceDE w:val="0"/>
                    <w:autoSpaceDN w:val="0"/>
                    <w:adjustRightInd w:val="0"/>
                    <w:snapToGrid w:val="0"/>
                    <w:rPr>
                      <w:rFonts w:hint="default" w:eastAsia="宋体"/>
                      <w:color w:val="FF0000"/>
                      <w:lang w:val="en-US" w:eastAsia="zh-CN"/>
                    </w:rPr>
                  </w:pPr>
                </w:p>
              </w:tc>
            </w:tr>
            <w:tr w14:paraId="677BB6A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67" w:hRule="atLeast"/>
                <w:jc w:val="center"/>
              </w:trPr>
              <w:tc>
                <w:tcPr>
                  <w:tcW w:w="225" w:type="pct"/>
                  <w:vMerge w:val="continue"/>
                  <w:noWrap w:val="0"/>
                  <w:vAlign w:val="center"/>
                </w:tcPr>
                <w:p w14:paraId="2A383851">
                  <w:pPr>
                    <w:jc w:val="center"/>
                    <w:rPr>
                      <w:rFonts w:hint="eastAsia"/>
                      <w:color w:val="FF0000"/>
                    </w:rPr>
                  </w:pPr>
                </w:p>
              </w:tc>
              <w:tc>
                <w:tcPr>
                  <w:tcW w:w="390" w:type="pct"/>
                  <w:noWrap w:val="0"/>
                  <w:vAlign w:val="center"/>
                </w:tcPr>
                <w:p w14:paraId="76E98A2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废活性炭</w:t>
                  </w:r>
                </w:p>
              </w:tc>
              <w:tc>
                <w:tcPr>
                  <w:tcW w:w="401" w:type="pct"/>
                  <w:noWrap w:val="0"/>
                  <w:vAlign w:val="center"/>
                </w:tcPr>
                <w:p w14:paraId="5391EA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HW49</w:t>
                  </w:r>
                </w:p>
              </w:tc>
              <w:tc>
                <w:tcPr>
                  <w:tcW w:w="738" w:type="pct"/>
                  <w:noWrap w:val="0"/>
                  <w:vAlign w:val="center"/>
                </w:tcPr>
                <w:p w14:paraId="57479D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900-039-49</w:t>
                  </w:r>
                </w:p>
              </w:tc>
              <w:tc>
                <w:tcPr>
                  <w:tcW w:w="730" w:type="pct"/>
                  <w:noWrap w:val="0"/>
                  <w:vAlign w:val="center"/>
                </w:tcPr>
                <w:p w14:paraId="022A7B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w:t>
                  </w:r>
                </w:p>
              </w:tc>
              <w:tc>
                <w:tcPr>
                  <w:tcW w:w="804" w:type="dxa"/>
                  <w:noWrap w:val="0"/>
                  <w:vAlign w:val="center"/>
                </w:tcPr>
                <w:p w14:paraId="60D31C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废气处理</w:t>
                  </w:r>
                </w:p>
              </w:tc>
              <w:tc>
                <w:tcPr>
                  <w:tcW w:w="649" w:type="dxa"/>
                  <w:noWrap w:val="0"/>
                  <w:vAlign w:val="center"/>
                </w:tcPr>
                <w:p w14:paraId="49C651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固态</w:t>
                  </w:r>
                </w:p>
              </w:tc>
              <w:tc>
                <w:tcPr>
                  <w:tcW w:w="1821" w:type="dxa"/>
                  <w:noWrap w:val="0"/>
                  <w:vAlign w:val="center"/>
                </w:tcPr>
                <w:p w14:paraId="62A4C030">
                  <w:pPr>
                    <w:jc w:val="center"/>
                    <w:rPr>
                      <w:rFonts w:hint="default" w:eastAsia="宋体"/>
                      <w:color w:val="FF0000"/>
                      <w:lang w:val="en-US" w:eastAsia="zh-CN"/>
                    </w:rPr>
                  </w:pPr>
                  <w:r>
                    <w:rPr>
                      <w:rFonts w:hint="eastAsia"/>
                      <w:color w:val="auto"/>
                      <w:lang w:val="en-US" w:eastAsia="zh-CN"/>
                    </w:rPr>
                    <w:t>/</w:t>
                  </w:r>
                </w:p>
              </w:tc>
              <w:tc>
                <w:tcPr>
                  <w:tcW w:w="904" w:type="dxa"/>
                  <w:noWrap w:val="0"/>
                  <w:vAlign w:val="center"/>
                </w:tcPr>
                <w:p w14:paraId="5E04305B">
                  <w:pPr>
                    <w:pStyle w:val="134"/>
                    <w:autoSpaceDE w:val="0"/>
                    <w:autoSpaceDN w:val="0"/>
                    <w:adjustRightInd w:val="0"/>
                    <w:snapToGrid w:val="0"/>
                    <w:rPr>
                      <w:rFonts w:hint="default" w:eastAsia="宋体"/>
                      <w:color w:val="FF0000"/>
                      <w:lang w:val="en-US" w:eastAsia="zh-CN"/>
                    </w:rPr>
                  </w:pPr>
                  <w:r>
                    <w:rPr>
                      <w:rFonts w:hint="eastAsia"/>
                      <w:color w:val="auto"/>
                      <w:lang w:val="en-US" w:eastAsia="zh-CN"/>
                    </w:rPr>
                    <w:t>T</w:t>
                  </w:r>
                </w:p>
              </w:tc>
            </w:tr>
            <w:tr w14:paraId="7ED331F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67" w:hRule="atLeast"/>
                <w:jc w:val="center"/>
              </w:trPr>
              <w:tc>
                <w:tcPr>
                  <w:tcW w:w="225" w:type="pct"/>
                  <w:vMerge w:val="continue"/>
                  <w:noWrap w:val="0"/>
                  <w:vAlign w:val="center"/>
                </w:tcPr>
                <w:p w14:paraId="34677EC7">
                  <w:pPr>
                    <w:jc w:val="center"/>
                    <w:rPr>
                      <w:rFonts w:hint="eastAsia"/>
                      <w:color w:val="FF0000"/>
                    </w:rPr>
                  </w:pPr>
                </w:p>
              </w:tc>
              <w:tc>
                <w:tcPr>
                  <w:tcW w:w="390" w:type="pct"/>
                  <w:noWrap w:val="0"/>
                  <w:vAlign w:val="center"/>
                </w:tcPr>
                <w:p w14:paraId="52C0158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喷淋废液</w:t>
                  </w:r>
                </w:p>
              </w:tc>
              <w:tc>
                <w:tcPr>
                  <w:tcW w:w="401" w:type="pct"/>
                  <w:noWrap w:val="0"/>
                  <w:vAlign w:val="center"/>
                </w:tcPr>
                <w:p w14:paraId="08D3A0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HW09</w:t>
                  </w:r>
                </w:p>
              </w:tc>
              <w:tc>
                <w:tcPr>
                  <w:tcW w:w="738" w:type="pct"/>
                  <w:noWrap w:val="0"/>
                  <w:vAlign w:val="center"/>
                </w:tcPr>
                <w:p w14:paraId="4F7814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rPr>
                    <w:t>900-007-09</w:t>
                  </w:r>
                </w:p>
              </w:tc>
              <w:tc>
                <w:tcPr>
                  <w:tcW w:w="730" w:type="pct"/>
                  <w:noWrap w:val="0"/>
                  <w:vAlign w:val="center"/>
                </w:tcPr>
                <w:p w14:paraId="2B3575D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w:t>
                  </w:r>
                </w:p>
              </w:tc>
              <w:tc>
                <w:tcPr>
                  <w:tcW w:w="804" w:type="dxa"/>
                  <w:noWrap w:val="0"/>
                  <w:vAlign w:val="center"/>
                </w:tcPr>
                <w:p w14:paraId="218EB2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废气处理</w:t>
                  </w:r>
                </w:p>
              </w:tc>
              <w:tc>
                <w:tcPr>
                  <w:tcW w:w="649" w:type="dxa"/>
                  <w:noWrap w:val="0"/>
                  <w:vAlign w:val="center"/>
                </w:tcPr>
                <w:p w14:paraId="235500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液态</w:t>
                  </w:r>
                </w:p>
              </w:tc>
              <w:tc>
                <w:tcPr>
                  <w:tcW w:w="1821" w:type="dxa"/>
                  <w:noWrap w:val="0"/>
                  <w:vAlign w:val="center"/>
                </w:tcPr>
                <w:p w14:paraId="65C00422">
                  <w:pPr>
                    <w:jc w:val="center"/>
                    <w:rPr>
                      <w:rFonts w:hint="default" w:eastAsia="宋体"/>
                      <w:color w:val="FF0000"/>
                      <w:lang w:val="en-US" w:eastAsia="zh-CN"/>
                    </w:rPr>
                  </w:pPr>
                  <w:r>
                    <w:rPr>
                      <w:rFonts w:hint="eastAsia"/>
                      <w:color w:val="auto"/>
                      <w:lang w:val="en-US" w:eastAsia="zh-CN"/>
                    </w:rPr>
                    <w:t>/</w:t>
                  </w:r>
                </w:p>
              </w:tc>
              <w:tc>
                <w:tcPr>
                  <w:tcW w:w="904" w:type="dxa"/>
                  <w:noWrap w:val="0"/>
                  <w:vAlign w:val="center"/>
                </w:tcPr>
                <w:p w14:paraId="07429D68">
                  <w:pPr>
                    <w:pStyle w:val="134"/>
                    <w:autoSpaceDE w:val="0"/>
                    <w:autoSpaceDN w:val="0"/>
                    <w:adjustRightInd w:val="0"/>
                    <w:snapToGrid w:val="0"/>
                    <w:rPr>
                      <w:rFonts w:hint="default" w:eastAsia="宋体"/>
                      <w:color w:val="FF0000"/>
                      <w:lang w:val="en-US" w:eastAsia="zh-CN"/>
                    </w:rPr>
                  </w:pPr>
                  <w:r>
                    <w:rPr>
                      <w:rFonts w:hint="eastAsia"/>
                      <w:color w:val="auto"/>
                      <w:lang w:val="en-US" w:eastAsia="zh-CN"/>
                    </w:rPr>
                    <w:t>T</w:t>
                  </w:r>
                </w:p>
              </w:tc>
            </w:tr>
            <w:tr w14:paraId="1525BDE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9"/>
                  <w:noWrap w:val="0"/>
                  <w:vAlign w:val="center"/>
                </w:tcPr>
                <w:p w14:paraId="2960F8D0">
                  <w:pPr>
                    <w:pStyle w:val="134"/>
                    <w:autoSpaceDE w:val="0"/>
                    <w:autoSpaceDN w:val="0"/>
                    <w:adjustRightInd w:val="0"/>
                    <w:snapToGrid w:val="0"/>
                    <w:jc w:val="both"/>
                    <w:rPr>
                      <w:rFonts w:hint="eastAsia"/>
                      <w:color w:val="FF0000"/>
                    </w:rPr>
                  </w:pPr>
                  <w:r>
                    <w:rPr>
                      <w:rFonts w:hint="eastAsia" w:ascii="Times New Roman" w:hAnsi="Times New Roman" w:eastAsia="仿宋" w:cs="Times New Roman"/>
                      <w:color w:val="auto"/>
                      <w:kern w:val="0"/>
                      <w:sz w:val="21"/>
                      <w:szCs w:val="21"/>
                      <w:highlight w:val="none"/>
                      <w:lang w:val="en-US" w:eastAsia="zh-CN" w:bidi="ar-SA"/>
                    </w:rPr>
                    <w:t>注：C腐蚀性、T毒性、I易燃性、R反应性、In感染性</w:t>
                  </w:r>
                </w:p>
              </w:tc>
            </w:tr>
          </w:tbl>
          <w:p w14:paraId="4DFE21D8">
            <w:pPr>
              <w:keepNext w:val="0"/>
              <w:keepLines w:val="0"/>
              <w:pageBreakBefore w:val="0"/>
              <w:widowControl/>
              <w:tabs>
                <w:tab w:val="left" w:pos="5665"/>
              </w:tabs>
              <w:kinsoku/>
              <w:overflowPunct/>
              <w:topLinePunct w:val="0"/>
              <w:autoSpaceDE/>
              <w:autoSpaceDN/>
              <w:bidi w:val="0"/>
              <w:adjustRightInd/>
              <w:snapToGrid/>
              <w:spacing w:line="360" w:lineRule="auto"/>
              <w:ind w:right="0" w:rightChars="0" w:firstLine="480" w:firstLineChars="200"/>
              <w:textAlignment w:val="baseline"/>
              <w:rPr>
                <w:rFonts w:hint="default" w:ascii="Times New Roman" w:hAnsi="Times New Roman" w:eastAsia="宋体" w:cs="Times New Roman"/>
                <w:b w:val="0"/>
                <w:bCs w:val="0"/>
                <w:color w:val="FF0000"/>
                <w:sz w:val="24"/>
                <w:szCs w:val="24"/>
                <w:lang w:val="en-US" w:eastAsia="zh-CN"/>
              </w:rPr>
            </w:pPr>
            <w:r>
              <w:rPr>
                <w:rFonts w:hint="eastAsia" w:eastAsia="仿宋" w:cs="Times New Roman"/>
                <w:b w:val="0"/>
                <w:bCs w:val="0"/>
                <w:color w:val="auto"/>
                <w:sz w:val="24"/>
                <w:szCs w:val="24"/>
                <w:highlight w:val="none"/>
                <w:lang w:val="en-US" w:eastAsia="zh-CN"/>
              </w:rPr>
              <w:t>（二）</w:t>
            </w:r>
            <w:r>
              <w:rPr>
                <w:rFonts w:hint="eastAsia" w:ascii="Times New Roman" w:hAnsi="Times New Roman" w:eastAsia="仿宋" w:cs="Times New Roman"/>
                <w:b w:val="0"/>
                <w:bCs w:val="0"/>
                <w:color w:val="auto"/>
                <w:sz w:val="24"/>
                <w:szCs w:val="24"/>
                <w:highlight w:val="none"/>
                <w:lang w:val="en-US" w:eastAsia="zh-CN"/>
              </w:rPr>
              <w:t>固体废物处置措施</w:t>
            </w:r>
          </w:p>
          <w:p w14:paraId="7B566AD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建设单位拟在院内改造原有危废仓库，改造后面积约</w:t>
            </w:r>
            <w:r>
              <w:rPr>
                <w:rFonts w:hint="eastAsia" w:eastAsia="仿宋" w:cs="Times New Roman"/>
                <w:color w:val="auto"/>
                <w:sz w:val="24"/>
                <w:szCs w:val="24"/>
                <w:highlight w:val="none"/>
                <w:lang w:val="en-US" w:eastAsia="zh-CN"/>
              </w:rPr>
              <w:t>68</w:t>
            </w:r>
            <w:r>
              <w:rPr>
                <w:rFonts w:hint="default" w:ascii="Times New Roman" w:hAnsi="Times New Roman" w:eastAsia="仿宋" w:cs="Times New Roman"/>
                <w:color w:val="auto"/>
                <w:sz w:val="24"/>
                <w:szCs w:val="24"/>
                <w:highlight w:val="none"/>
              </w:rPr>
              <w:t>m</w:t>
            </w:r>
            <w:r>
              <w:rPr>
                <w:rFonts w:hint="default" w:ascii="Times New Roman" w:hAnsi="Times New Roman" w:eastAsia="仿宋" w:cs="Times New Roman"/>
                <w:color w:val="auto"/>
                <w:sz w:val="24"/>
                <w:szCs w:val="24"/>
                <w:highlight w:val="none"/>
                <w:vertAlign w:val="superscript"/>
              </w:rPr>
              <w:t>2</w:t>
            </w:r>
            <w:r>
              <w:rPr>
                <w:rFonts w:hint="default" w:ascii="Times New Roman" w:hAnsi="Times New Roman" w:eastAsia="仿宋" w:cs="Times New Roman"/>
                <w:color w:val="auto"/>
                <w:sz w:val="24"/>
                <w:szCs w:val="24"/>
                <w:highlight w:val="none"/>
              </w:rPr>
              <w:t>，可满足危废的暂</w:t>
            </w:r>
            <w:r>
              <w:rPr>
                <w:rFonts w:hint="eastAsia" w:eastAsia="仿宋" w:cs="Times New Roman"/>
                <w:color w:val="auto"/>
                <w:sz w:val="24"/>
                <w:szCs w:val="24"/>
                <w:highlight w:val="none"/>
                <w:lang w:val="en-US" w:eastAsia="zh-CN"/>
              </w:rPr>
              <w:t>存</w:t>
            </w:r>
            <w:r>
              <w:rPr>
                <w:rFonts w:hint="default" w:ascii="Times New Roman" w:hAnsi="Times New Roman" w:eastAsia="仿宋" w:cs="Times New Roman"/>
                <w:color w:val="auto"/>
                <w:sz w:val="24"/>
                <w:szCs w:val="24"/>
                <w:highlight w:val="none"/>
              </w:rPr>
              <w:t>需求。</w:t>
            </w:r>
          </w:p>
          <w:p w14:paraId="1676CBD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建设单位在危废库建设过程中应按照《危险废物贮存污染物控制标准》（GB18597-2001）及修改单要求，落实防雨、防晒、防扬散、防漏、防渗、防腐蚀措施，防止二次污染。</w:t>
            </w:r>
          </w:p>
          <w:p w14:paraId="672B6E8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具体采取的措施如下：</w:t>
            </w:r>
          </w:p>
          <w:p w14:paraId="38FA40C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（一）废物贮存设施必须按《环境保护图形标志（GB15562-1995）》的规定设置警示标志；</w:t>
            </w:r>
          </w:p>
          <w:p w14:paraId="740A892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（二）废物贮存设施周围应设置围墙或其它防护栅栏；</w:t>
            </w:r>
          </w:p>
          <w:p w14:paraId="54737B1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（三）废物贮存设施应配备通讯设备、照明设施、安全防护服装及工具，并设有应急防护设施；</w:t>
            </w:r>
          </w:p>
          <w:p w14:paraId="5290880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（四）废物贮存设施内清理出来的泄漏物，一律按危险废物处理；</w:t>
            </w:r>
          </w:p>
          <w:p w14:paraId="7BD019A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（五）危废暂存场地面与裙脚要用坚固、防渗的材料建造，建筑材料必须与危险废物相容；</w:t>
            </w:r>
          </w:p>
          <w:p w14:paraId="11D459E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（六）基础防渗层为粘土层的，其厚度应在1米以上，渗透系数应小于1.0×10</w:t>
            </w:r>
            <w:r>
              <w:rPr>
                <w:rFonts w:hint="default" w:ascii="Times New Roman" w:hAnsi="Times New Roman" w:eastAsia="仿宋" w:cs="Times New Roman"/>
                <w:color w:val="auto"/>
                <w:sz w:val="24"/>
                <w:szCs w:val="24"/>
                <w:highlight w:val="none"/>
                <w:vertAlign w:val="superscript"/>
              </w:rPr>
              <w:t>-7</w:t>
            </w:r>
            <w:r>
              <w:rPr>
                <w:rFonts w:hint="default" w:ascii="Times New Roman" w:hAnsi="Times New Roman" w:eastAsia="仿宋" w:cs="Times New Roman"/>
                <w:color w:val="auto"/>
                <w:sz w:val="24"/>
                <w:szCs w:val="24"/>
                <w:highlight w:val="none"/>
              </w:rPr>
              <w:t>厘米/秒；基础防渗层也可用厚度在2毫米以上的高密度聚乙烯或其他人工防渗材料组成，渗透系数应小于1.0×10</w:t>
            </w:r>
            <w:r>
              <w:rPr>
                <w:rFonts w:hint="default" w:ascii="Times New Roman" w:hAnsi="Times New Roman" w:eastAsia="仿宋" w:cs="Times New Roman"/>
                <w:color w:val="auto"/>
                <w:sz w:val="24"/>
                <w:szCs w:val="24"/>
                <w:highlight w:val="none"/>
                <w:vertAlign w:val="superscript"/>
              </w:rPr>
              <w:t>-10</w:t>
            </w:r>
            <w:r>
              <w:rPr>
                <w:rFonts w:hint="default" w:ascii="Times New Roman" w:hAnsi="Times New Roman" w:eastAsia="仿宋" w:cs="Times New Roman"/>
                <w:color w:val="auto"/>
                <w:sz w:val="24"/>
                <w:szCs w:val="24"/>
                <w:highlight w:val="none"/>
              </w:rPr>
              <w:t>厘米/秒。</w:t>
            </w:r>
          </w:p>
          <w:p w14:paraId="68F33C7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根据《医疗卫生机构医疗废物管理办法》中：“第二十一条”医疗机构建立的医疗废物暂时贮存设施、设备应当达到以下要求：</w:t>
            </w:r>
          </w:p>
          <w:p w14:paraId="30DA946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（一）远离医疗区、食品加工区、人员活动区和生活垃圾存放场所，方便医疗废物运送人员及运送工具、车辆的出入；</w:t>
            </w:r>
          </w:p>
          <w:p w14:paraId="260450D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（二）有严密的封闭措施，设专（兼）职人员管理，防止非工作人员接触医疗废物；</w:t>
            </w:r>
          </w:p>
          <w:p w14:paraId="0634A36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（三）有防鼠、防蚊蝇、防蟑螂的安全措施；</w:t>
            </w:r>
          </w:p>
          <w:p w14:paraId="44CE504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（四）防止渗漏和雨水冲刷；</w:t>
            </w:r>
          </w:p>
          <w:p w14:paraId="296EDE7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（五）易于清洁和消毒；</w:t>
            </w:r>
          </w:p>
          <w:p w14:paraId="7A4A13D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（六）避免阳光直射；</w:t>
            </w:r>
          </w:p>
          <w:p w14:paraId="0B0587C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（七）设有明显的医疗废物警示标识和</w:t>
            </w:r>
            <w:r>
              <w:rPr>
                <w:rFonts w:hint="eastAsia"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禁止吸烟、饮食</w:t>
            </w:r>
            <w:r>
              <w:rPr>
                <w:rFonts w:hint="eastAsia"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的警示标识。</w:t>
            </w:r>
          </w:p>
          <w:p w14:paraId="6D9A2BC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rPr>
              <w:t>生活垃圾</w:t>
            </w:r>
            <w:r>
              <w:rPr>
                <w:rFonts w:hint="eastAsia" w:ascii="Times New Roman" w:hAnsi="Times New Roman" w:eastAsia="仿宋" w:cs="Times New Roman"/>
                <w:color w:val="auto"/>
                <w:sz w:val="24"/>
                <w:szCs w:val="24"/>
                <w:highlight w:val="none"/>
                <w:lang w:eastAsia="zh-CN"/>
              </w:rPr>
              <w:t>：</w:t>
            </w:r>
          </w:p>
          <w:p w14:paraId="2E64FDC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color w:val="FF0000"/>
                <w:sz w:val="24"/>
              </w:rPr>
            </w:pPr>
            <w:r>
              <w:rPr>
                <w:rFonts w:hint="eastAsia" w:ascii="Times New Roman" w:hAnsi="Times New Roman" w:eastAsia="仿宋" w:cs="Times New Roman"/>
                <w:color w:val="auto"/>
                <w:sz w:val="24"/>
                <w:szCs w:val="24"/>
                <w:highlight w:val="none"/>
              </w:rPr>
              <w:t>生活垃圾应按指定地点堆放，交由环卫部门统一清运并进行安全卫生处置，同时对垃圾堆放点应进行定期的清洁消毒，杀灭害虫，以免散发恶臭，滋生蚊蝇，影响厂区内环境。若随意弃置，会影响市容卫生，造成环境污染</w:t>
            </w:r>
            <w:r>
              <w:rPr>
                <w:rFonts w:hint="default" w:ascii="Times New Roman" w:hAnsi="Times New Roman" w:eastAsia="仿宋" w:cs="Times New Roman"/>
                <w:color w:val="auto"/>
                <w:sz w:val="24"/>
                <w:szCs w:val="24"/>
                <w:highlight w:val="none"/>
              </w:rPr>
              <w:t>。</w:t>
            </w:r>
          </w:p>
          <w:p w14:paraId="00EAC957">
            <w:pPr>
              <w:keepNext w:val="0"/>
              <w:keepLines w:val="0"/>
              <w:widowControl/>
              <w:suppressLineNumbers w:val="0"/>
              <w:spacing w:line="360" w:lineRule="auto"/>
              <w:ind w:firstLine="480" w:firstLineChars="200"/>
              <w:jc w:val="left"/>
              <w:rPr>
                <w:rFonts w:hint="default" w:ascii="Times New Roman" w:hAnsi="Times New Roman" w:eastAsia="宋体" w:cs="Times New Roman"/>
                <w:b/>
                <w:color w:val="auto"/>
                <w:spacing w:val="0"/>
                <w:w w:val="100"/>
                <w:position w:val="0"/>
                <w:sz w:val="21"/>
                <w:szCs w:val="21"/>
              </w:rPr>
            </w:pPr>
            <w:r>
              <w:rPr>
                <w:rFonts w:hint="eastAsia" w:ascii="Times New Roman" w:hAnsi="Times New Roman" w:eastAsia="仿宋" w:cs="Times New Roman"/>
                <w:color w:val="auto"/>
                <w:sz w:val="24"/>
                <w:szCs w:val="24"/>
                <w:highlight w:val="none"/>
                <w:lang w:val="en-US" w:eastAsia="zh-CN"/>
              </w:rPr>
              <w:t>扩建后全院</w:t>
            </w:r>
            <w:r>
              <w:rPr>
                <w:rFonts w:hint="default" w:ascii="Times New Roman" w:hAnsi="Times New Roman" w:eastAsia="仿宋" w:cs="Times New Roman"/>
                <w:color w:val="auto"/>
                <w:sz w:val="24"/>
                <w:szCs w:val="24"/>
                <w:highlight w:val="none"/>
                <w:lang w:val="en-US" w:eastAsia="zh-CN"/>
              </w:rPr>
              <w:t>固体废物产生量及处置措施见</w:t>
            </w:r>
            <w:r>
              <w:rPr>
                <w:rFonts w:hint="default"/>
                <w:color w:val="auto"/>
                <w:sz w:val="24"/>
                <w:szCs w:val="24"/>
                <w:lang w:val="en-US" w:eastAsia="zh-CN"/>
              </w:rPr>
              <w:t>表</w:t>
            </w:r>
            <w:r>
              <w:rPr>
                <w:rFonts w:hint="eastAsia"/>
                <w:color w:val="auto"/>
                <w:sz w:val="24"/>
                <w:szCs w:val="24"/>
                <w:lang w:val="en-US" w:eastAsia="zh-CN"/>
              </w:rPr>
              <w:t>4-18。</w:t>
            </w:r>
          </w:p>
          <w:p w14:paraId="7CE41D43">
            <w:pPr>
              <w:jc w:val="center"/>
              <w:rPr>
                <w:rFonts w:hint="eastAsia"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表</w:t>
            </w:r>
            <w:r>
              <w:rPr>
                <w:rFonts w:hint="eastAsia" w:ascii="Times New Roman" w:hAnsi="Times New Roman" w:eastAsia="仿宋" w:cs="Times New Roman"/>
                <w:b/>
                <w:bCs/>
                <w:color w:val="auto"/>
                <w:kern w:val="2"/>
                <w:sz w:val="22"/>
                <w:szCs w:val="22"/>
                <w:highlight w:val="none"/>
                <w:lang w:val="en-US" w:eastAsia="zh-CN" w:bidi="ar-SA"/>
              </w:rPr>
              <w:t>4-18  扩建后全院</w:t>
            </w:r>
            <w:r>
              <w:rPr>
                <w:rFonts w:hint="default" w:ascii="Times New Roman" w:hAnsi="Times New Roman" w:eastAsia="仿宋" w:cs="Times New Roman"/>
                <w:b/>
                <w:bCs/>
                <w:color w:val="auto"/>
                <w:kern w:val="2"/>
                <w:sz w:val="22"/>
                <w:szCs w:val="22"/>
                <w:highlight w:val="none"/>
                <w:lang w:val="en-US" w:eastAsia="zh-CN" w:bidi="ar-SA"/>
              </w:rPr>
              <w:t>固体废物产生及处置情况</w:t>
            </w:r>
            <w:r>
              <w:rPr>
                <w:rFonts w:hint="eastAsia" w:ascii="Times New Roman" w:hAnsi="Times New Roman" w:eastAsia="仿宋" w:cs="Times New Roman"/>
                <w:b/>
                <w:bCs/>
                <w:color w:val="auto"/>
                <w:kern w:val="2"/>
                <w:sz w:val="22"/>
                <w:szCs w:val="22"/>
                <w:highlight w:val="none"/>
                <w:lang w:val="en-US" w:eastAsia="zh-CN" w:bidi="ar-SA"/>
              </w:rPr>
              <w:t>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615"/>
              <w:gridCol w:w="905"/>
              <w:gridCol w:w="1291"/>
              <w:gridCol w:w="1154"/>
              <w:gridCol w:w="1276"/>
              <w:gridCol w:w="1359"/>
            </w:tblGrid>
            <w:tr w14:paraId="6E6919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427" w:type="pct"/>
                  <w:noWrap w:val="0"/>
                  <w:vAlign w:val="center"/>
                </w:tcPr>
                <w:p w14:paraId="7E616B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属性</w:t>
                  </w:r>
                </w:p>
              </w:tc>
              <w:tc>
                <w:tcPr>
                  <w:tcW w:w="971" w:type="pct"/>
                  <w:noWrap w:val="0"/>
                  <w:vAlign w:val="center"/>
                </w:tcPr>
                <w:p w14:paraId="613D4E3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default" w:ascii="Times New Roman" w:hAnsi="Times New Roman" w:eastAsia="仿宋" w:cs="Times New Roman"/>
                      <w:b/>
                      <w:bCs/>
                      <w:color w:val="auto"/>
                      <w:kern w:val="0"/>
                      <w:sz w:val="21"/>
                      <w:szCs w:val="21"/>
                      <w:highlight w:val="none"/>
                      <w:lang w:val="en-US" w:eastAsia="zh-CN"/>
                    </w:rPr>
                    <w:t>固废名称</w:t>
                  </w:r>
                </w:p>
              </w:tc>
              <w:tc>
                <w:tcPr>
                  <w:tcW w:w="544" w:type="pct"/>
                  <w:noWrap w:val="0"/>
                  <w:vAlign w:val="center"/>
                </w:tcPr>
                <w:p w14:paraId="5A3F60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default" w:ascii="Times New Roman" w:hAnsi="Times New Roman" w:eastAsia="仿宋" w:cs="Times New Roman"/>
                      <w:b/>
                      <w:bCs/>
                      <w:color w:val="auto"/>
                      <w:kern w:val="0"/>
                      <w:sz w:val="21"/>
                      <w:szCs w:val="21"/>
                      <w:highlight w:val="none"/>
                      <w:lang w:eastAsia="zh-CN"/>
                    </w:rPr>
                    <w:t>危废</w:t>
                  </w:r>
                  <w:r>
                    <w:rPr>
                      <w:rFonts w:hint="default" w:ascii="Times New Roman" w:hAnsi="Times New Roman" w:eastAsia="仿宋" w:cs="Times New Roman"/>
                      <w:b/>
                      <w:bCs/>
                      <w:color w:val="auto"/>
                      <w:kern w:val="0"/>
                      <w:sz w:val="21"/>
                      <w:szCs w:val="21"/>
                      <w:highlight w:val="none"/>
                      <w:lang w:val="en-US" w:eastAsia="zh-CN"/>
                    </w:rPr>
                    <w:t>编号</w:t>
                  </w:r>
                </w:p>
              </w:tc>
              <w:tc>
                <w:tcPr>
                  <w:tcW w:w="776" w:type="pct"/>
                  <w:noWrap w:val="0"/>
                  <w:vAlign w:val="center"/>
                </w:tcPr>
                <w:p w14:paraId="41E506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default" w:ascii="Times New Roman" w:hAnsi="Times New Roman" w:eastAsia="仿宋" w:cs="Times New Roman"/>
                      <w:b/>
                      <w:bCs/>
                      <w:color w:val="auto"/>
                      <w:kern w:val="0"/>
                      <w:sz w:val="21"/>
                      <w:szCs w:val="21"/>
                      <w:highlight w:val="none"/>
                      <w:lang w:eastAsia="zh-CN"/>
                    </w:rPr>
                    <w:t>危废代码</w:t>
                  </w:r>
                </w:p>
              </w:tc>
              <w:tc>
                <w:tcPr>
                  <w:tcW w:w="694" w:type="pct"/>
                  <w:noWrap w:val="0"/>
                  <w:vAlign w:val="center"/>
                </w:tcPr>
                <w:p w14:paraId="445A21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产生量(t/a)</w:t>
                  </w:r>
                </w:p>
              </w:tc>
              <w:tc>
                <w:tcPr>
                  <w:tcW w:w="767" w:type="pct"/>
                  <w:noWrap w:val="0"/>
                  <w:vAlign w:val="center"/>
                </w:tcPr>
                <w:p w14:paraId="0BF2FF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临时存储地</w:t>
                  </w:r>
                </w:p>
              </w:tc>
              <w:tc>
                <w:tcPr>
                  <w:tcW w:w="817" w:type="pct"/>
                  <w:noWrap w:val="0"/>
                  <w:vAlign w:val="center"/>
                </w:tcPr>
                <w:p w14:paraId="21D161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处理方式</w:t>
                  </w:r>
                </w:p>
              </w:tc>
            </w:tr>
            <w:tr w14:paraId="09E9B0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427" w:type="pct"/>
                  <w:noWrap w:val="0"/>
                  <w:vAlign w:val="center"/>
                </w:tcPr>
                <w:p w14:paraId="380B1D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生活</w:t>
                  </w:r>
                </w:p>
                <w:p w14:paraId="354108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垃圾</w:t>
                  </w:r>
                </w:p>
              </w:tc>
              <w:tc>
                <w:tcPr>
                  <w:tcW w:w="971" w:type="pct"/>
                  <w:noWrap w:val="0"/>
                  <w:vAlign w:val="center"/>
                </w:tcPr>
                <w:p w14:paraId="6275FF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生活垃圾</w:t>
                  </w:r>
                </w:p>
              </w:tc>
              <w:tc>
                <w:tcPr>
                  <w:tcW w:w="544" w:type="pct"/>
                  <w:noWrap w:val="0"/>
                  <w:vAlign w:val="center"/>
                </w:tcPr>
                <w:p w14:paraId="5BD562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w:t>
                  </w:r>
                </w:p>
              </w:tc>
              <w:tc>
                <w:tcPr>
                  <w:tcW w:w="776" w:type="pct"/>
                  <w:noWrap w:val="0"/>
                  <w:vAlign w:val="center"/>
                </w:tcPr>
                <w:p w14:paraId="639AFB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w:t>
                  </w:r>
                </w:p>
              </w:tc>
              <w:tc>
                <w:tcPr>
                  <w:tcW w:w="694" w:type="pct"/>
                  <w:noWrap w:val="0"/>
                  <w:vAlign w:val="center"/>
                </w:tcPr>
                <w:p w14:paraId="53FEC6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13</w:t>
                  </w:r>
                  <w:r>
                    <w:rPr>
                      <w:rFonts w:hint="eastAsia" w:eastAsia="仿宋" w:cs="Times New Roman"/>
                      <w:color w:val="auto"/>
                      <w:kern w:val="0"/>
                      <w:sz w:val="21"/>
                      <w:szCs w:val="21"/>
                      <w:highlight w:val="none"/>
                      <w:lang w:val="en-US" w:eastAsia="zh-CN"/>
                    </w:rPr>
                    <w:t>3</w:t>
                  </w:r>
                  <w:r>
                    <w:rPr>
                      <w:rFonts w:hint="eastAsia" w:ascii="Times New Roman" w:hAnsi="Times New Roman" w:eastAsia="仿宋" w:cs="Times New Roman"/>
                      <w:color w:val="auto"/>
                      <w:kern w:val="0"/>
                      <w:sz w:val="21"/>
                      <w:szCs w:val="21"/>
                      <w:highlight w:val="none"/>
                      <w:lang w:val="en-US" w:eastAsia="zh-CN"/>
                    </w:rPr>
                    <w:t>0.46</w:t>
                  </w:r>
                </w:p>
              </w:tc>
              <w:tc>
                <w:tcPr>
                  <w:tcW w:w="767" w:type="pct"/>
                  <w:noWrap w:val="0"/>
                  <w:vAlign w:val="center"/>
                </w:tcPr>
                <w:p w14:paraId="6AD2A2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垃圾桶</w:t>
                  </w:r>
                </w:p>
              </w:tc>
              <w:tc>
                <w:tcPr>
                  <w:tcW w:w="817" w:type="pct"/>
                  <w:noWrap w:val="0"/>
                  <w:vAlign w:val="center"/>
                </w:tcPr>
                <w:p w14:paraId="1D5F4E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交由环卫部门处理</w:t>
                  </w:r>
                </w:p>
              </w:tc>
            </w:tr>
            <w:tr w14:paraId="173A5B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427" w:type="pct"/>
                  <w:vMerge w:val="restart"/>
                  <w:noWrap w:val="0"/>
                  <w:vAlign w:val="center"/>
                </w:tcPr>
                <w:p w14:paraId="715B84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危险</w:t>
                  </w:r>
                </w:p>
                <w:p w14:paraId="1A009A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废物</w:t>
                  </w:r>
                </w:p>
              </w:tc>
              <w:tc>
                <w:tcPr>
                  <w:tcW w:w="971" w:type="pct"/>
                  <w:noWrap w:val="0"/>
                  <w:vAlign w:val="center"/>
                </w:tcPr>
                <w:p w14:paraId="353820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医疗废物</w:t>
                  </w:r>
                </w:p>
              </w:tc>
              <w:tc>
                <w:tcPr>
                  <w:tcW w:w="544" w:type="pct"/>
                  <w:vMerge w:val="restart"/>
                  <w:noWrap w:val="0"/>
                  <w:vAlign w:val="center"/>
                </w:tcPr>
                <w:p w14:paraId="3F6DD8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HW01</w:t>
                  </w:r>
                </w:p>
              </w:tc>
              <w:tc>
                <w:tcPr>
                  <w:tcW w:w="776" w:type="pct"/>
                  <w:vMerge w:val="restart"/>
                  <w:noWrap w:val="0"/>
                  <w:vAlign w:val="center"/>
                </w:tcPr>
                <w:p w14:paraId="1E98CB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841-001-01</w:t>
                  </w:r>
                </w:p>
                <w:p w14:paraId="7E139C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841-002-01</w:t>
                  </w:r>
                </w:p>
                <w:p w14:paraId="1A3CF3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841-003-01</w:t>
                  </w:r>
                </w:p>
                <w:p w14:paraId="75C394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841-004-01</w:t>
                  </w:r>
                </w:p>
                <w:p w14:paraId="15C2B06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841-005-01</w:t>
                  </w:r>
                </w:p>
              </w:tc>
              <w:tc>
                <w:tcPr>
                  <w:tcW w:w="694" w:type="pct"/>
                  <w:noWrap w:val="0"/>
                  <w:vAlign w:val="center"/>
                </w:tcPr>
                <w:p w14:paraId="6A47EE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142.50</w:t>
                  </w:r>
                </w:p>
              </w:tc>
              <w:tc>
                <w:tcPr>
                  <w:tcW w:w="767" w:type="pct"/>
                  <w:vMerge w:val="restart"/>
                  <w:noWrap w:val="0"/>
                  <w:vAlign w:val="center"/>
                </w:tcPr>
                <w:p w14:paraId="0C1537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危废暂存间</w:t>
                  </w:r>
                </w:p>
              </w:tc>
              <w:tc>
                <w:tcPr>
                  <w:tcW w:w="817" w:type="pct"/>
                  <w:vMerge w:val="restart"/>
                  <w:noWrap w:val="0"/>
                  <w:vAlign w:val="center"/>
                </w:tcPr>
                <w:p w14:paraId="2E0290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交由危废处理资质单位处理</w:t>
                  </w:r>
                </w:p>
              </w:tc>
            </w:tr>
            <w:tr w14:paraId="0A54CA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427" w:type="pct"/>
                  <w:vMerge w:val="continue"/>
                  <w:noWrap w:val="0"/>
                  <w:vAlign w:val="center"/>
                </w:tcPr>
                <w:p w14:paraId="481367B2">
                  <w:pPr>
                    <w:spacing w:before="0" w:line="240" w:lineRule="auto"/>
                    <w:ind w:firstLine="0"/>
                    <w:jc w:val="center"/>
                    <w:rPr>
                      <w:color w:val="FF0000"/>
                    </w:rPr>
                  </w:pPr>
                </w:p>
              </w:tc>
              <w:tc>
                <w:tcPr>
                  <w:tcW w:w="971" w:type="pct"/>
                  <w:noWrap w:val="0"/>
                  <w:vAlign w:val="center"/>
                </w:tcPr>
                <w:p w14:paraId="32CCD4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污水处理站污泥</w:t>
                  </w:r>
                </w:p>
              </w:tc>
              <w:tc>
                <w:tcPr>
                  <w:tcW w:w="544" w:type="pct"/>
                  <w:vMerge w:val="continue"/>
                  <w:noWrap w:val="0"/>
                  <w:vAlign w:val="center"/>
                </w:tcPr>
                <w:p w14:paraId="607175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776" w:type="pct"/>
                  <w:vMerge w:val="continue"/>
                  <w:noWrap w:val="0"/>
                  <w:vAlign w:val="center"/>
                </w:tcPr>
                <w:p w14:paraId="64AA94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694" w:type="pct"/>
                  <w:noWrap w:val="0"/>
                  <w:vAlign w:val="center"/>
                </w:tcPr>
                <w:p w14:paraId="30A00B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41</w:t>
                  </w:r>
                </w:p>
              </w:tc>
              <w:tc>
                <w:tcPr>
                  <w:tcW w:w="767" w:type="pct"/>
                  <w:vMerge w:val="continue"/>
                  <w:noWrap w:val="0"/>
                  <w:vAlign w:val="center"/>
                </w:tcPr>
                <w:p w14:paraId="4DC8AD59">
                  <w:pPr>
                    <w:spacing w:before="0" w:line="240" w:lineRule="auto"/>
                    <w:ind w:firstLine="0"/>
                    <w:jc w:val="center"/>
                    <w:rPr>
                      <w:rFonts w:hint="eastAsia" w:cs="Times New Roman"/>
                      <w:b w:val="0"/>
                      <w:bCs w:val="0"/>
                      <w:color w:val="FF0000"/>
                      <w:sz w:val="21"/>
                      <w:szCs w:val="21"/>
                      <w:lang w:val="en-US" w:eastAsia="zh-CN"/>
                    </w:rPr>
                  </w:pPr>
                </w:p>
              </w:tc>
              <w:tc>
                <w:tcPr>
                  <w:tcW w:w="817" w:type="pct"/>
                  <w:vMerge w:val="continue"/>
                  <w:noWrap w:val="0"/>
                  <w:vAlign w:val="center"/>
                </w:tcPr>
                <w:p w14:paraId="5B6C26C8">
                  <w:pPr>
                    <w:spacing w:before="0" w:line="240" w:lineRule="auto"/>
                    <w:ind w:firstLine="0"/>
                    <w:jc w:val="center"/>
                    <w:rPr>
                      <w:rFonts w:hint="eastAsia" w:cs="Times New Roman"/>
                      <w:b w:val="0"/>
                      <w:bCs w:val="0"/>
                      <w:color w:val="FF0000"/>
                      <w:sz w:val="21"/>
                      <w:szCs w:val="21"/>
                      <w:lang w:val="en-US" w:eastAsia="zh-CN"/>
                    </w:rPr>
                  </w:pPr>
                </w:p>
              </w:tc>
            </w:tr>
            <w:tr w14:paraId="06A553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427" w:type="pct"/>
                  <w:vMerge w:val="continue"/>
                  <w:noWrap w:val="0"/>
                  <w:vAlign w:val="center"/>
                </w:tcPr>
                <w:p w14:paraId="44853A8E">
                  <w:pPr>
                    <w:spacing w:before="0" w:line="240" w:lineRule="auto"/>
                    <w:ind w:firstLine="0"/>
                    <w:jc w:val="center"/>
                    <w:rPr>
                      <w:color w:val="FF0000"/>
                    </w:rPr>
                  </w:pPr>
                </w:p>
              </w:tc>
              <w:tc>
                <w:tcPr>
                  <w:tcW w:w="971" w:type="pct"/>
                  <w:noWrap w:val="0"/>
                  <w:vAlign w:val="center"/>
                </w:tcPr>
                <w:p w14:paraId="1D9993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废活性炭</w:t>
                  </w:r>
                </w:p>
              </w:tc>
              <w:tc>
                <w:tcPr>
                  <w:tcW w:w="544" w:type="pct"/>
                  <w:noWrap w:val="0"/>
                  <w:vAlign w:val="center"/>
                </w:tcPr>
                <w:p w14:paraId="038DA7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HW49</w:t>
                  </w:r>
                </w:p>
              </w:tc>
              <w:tc>
                <w:tcPr>
                  <w:tcW w:w="776" w:type="pct"/>
                  <w:noWrap w:val="0"/>
                  <w:vAlign w:val="center"/>
                </w:tcPr>
                <w:p w14:paraId="09F533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rPr>
                    <w:t>900-039-49</w:t>
                  </w:r>
                </w:p>
              </w:tc>
              <w:tc>
                <w:tcPr>
                  <w:tcW w:w="694" w:type="pct"/>
                  <w:noWrap w:val="0"/>
                  <w:vAlign w:val="center"/>
                </w:tcPr>
                <w:p w14:paraId="13DE05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w:t>
                  </w:r>
                </w:p>
              </w:tc>
              <w:tc>
                <w:tcPr>
                  <w:tcW w:w="767" w:type="pct"/>
                  <w:vMerge w:val="continue"/>
                  <w:noWrap w:val="0"/>
                  <w:vAlign w:val="center"/>
                </w:tcPr>
                <w:p w14:paraId="5CE040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817" w:type="pct"/>
                  <w:vMerge w:val="continue"/>
                  <w:noWrap w:val="0"/>
                  <w:vAlign w:val="center"/>
                </w:tcPr>
                <w:p w14:paraId="2A05847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p>
              </w:tc>
            </w:tr>
            <w:tr w14:paraId="32DD88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427" w:type="pct"/>
                  <w:vMerge w:val="continue"/>
                  <w:noWrap w:val="0"/>
                  <w:vAlign w:val="center"/>
                </w:tcPr>
                <w:p w14:paraId="0BC12729">
                  <w:pPr>
                    <w:spacing w:before="0" w:line="240" w:lineRule="auto"/>
                    <w:ind w:firstLine="0"/>
                    <w:jc w:val="center"/>
                    <w:rPr>
                      <w:color w:val="FF0000"/>
                    </w:rPr>
                  </w:pPr>
                </w:p>
              </w:tc>
              <w:tc>
                <w:tcPr>
                  <w:tcW w:w="971" w:type="pct"/>
                  <w:noWrap w:val="0"/>
                  <w:vAlign w:val="center"/>
                </w:tcPr>
                <w:p w14:paraId="4C4F16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喷淋废液</w:t>
                  </w:r>
                </w:p>
              </w:tc>
              <w:tc>
                <w:tcPr>
                  <w:tcW w:w="544" w:type="pct"/>
                  <w:noWrap w:val="0"/>
                  <w:vAlign w:val="center"/>
                </w:tcPr>
                <w:p w14:paraId="304B1C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HW09</w:t>
                  </w:r>
                </w:p>
              </w:tc>
              <w:tc>
                <w:tcPr>
                  <w:tcW w:w="776" w:type="pct"/>
                  <w:noWrap w:val="0"/>
                  <w:vAlign w:val="center"/>
                </w:tcPr>
                <w:p w14:paraId="452326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rPr>
                    <w:t>900-007-09</w:t>
                  </w:r>
                </w:p>
              </w:tc>
              <w:tc>
                <w:tcPr>
                  <w:tcW w:w="694" w:type="pct"/>
                  <w:noWrap w:val="0"/>
                  <w:vAlign w:val="center"/>
                </w:tcPr>
                <w:p w14:paraId="277EEC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w:t>
                  </w:r>
                </w:p>
              </w:tc>
              <w:tc>
                <w:tcPr>
                  <w:tcW w:w="767" w:type="pct"/>
                  <w:vMerge w:val="continue"/>
                  <w:noWrap w:val="0"/>
                  <w:vAlign w:val="center"/>
                </w:tcPr>
                <w:p w14:paraId="21E220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817" w:type="pct"/>
                  <w:vMerge w:val="continue"/>
                  <w:noWrap w:val="0"/>
                  <w:vAlign w:val="center"/>
                </w:tcPr>
                <w:p w14:paraId="228F00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p>
              </w:tc>
            </w:tr>
          </w:tbl>
          <w:p w14:paraId="51493EC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color w:val="FF0000"/>
                <w:spacing w:val="0"/>
                <w:w w:val="100"/>
                <w:position w:val="0"/>
                <w:sz w:val="21"/>
                <w:szCs w:val="21"/>
                <w:lang w:val="en-US" w:eastAsia="zh-CN"/>
              </w:rPr>
            </w:pPr>
            <w:r>
              <w:rPr>
                <w:rFonts w:hint="eastAsia" w:ascii="Times New Roman" w:hAnsi="Times New Roman" w:eastAsia="仿宋" w:cs="Times New Roman"/>
                <w:color w:val="auto"/>
                <w:sz w:val="24"/>
                <w:szCs w:val="24"/>
                <w:highlight w:val="none"/>
                <w:lang w:val="en-US" w:eastAsia="zh-CN"/>
              </w:rPr>
              <w:t>扩建后全院</w:t>
            </w:r>
            <w:r>
              <w:rPr>
                <w:rFonts w:hint="default" w:ascii="Times New Roman" w:hAnsi="Times New Roman" w:eastAsia="仿宋" w:cs="Times New Roman"/>
                <w:color w:val="auto"/>
                <w:sz w:val="24"/>
                <w:szCs w:val="24"/>
                <w:highlight w:val="none"/>
                <w:lang w:val="en-US" w:eastAsia="zh-CN"/>
              </w:rPr>
              <w:t>危险废物贮存场所（设施）基本情况见</w:t>
            </w:r>
            <w:r>
              <w:rPr>
                <w:rFonts w:hint="eastAsia" w:ascii="Times New Roman" w:hAnsi="Times New Roman" w:eastAsia="仿宋" w:cs="Times New Roman"/>
                <w:color w:val="auto"/>
                <w:sz w:val="24"/>
                <w:szCs w:val="24"/>
                <w:highlight w:val="none"/>
                <w:lang w:val="en-US" w:eastAsia="zh-CN"/>
              </w:rPr>
              <w:t>表4-</w:t>
            </w:r>
            <w:r>
              <w:rPr>
                <w:rFonts w:hint="eastAsia" w:eastAsia="仿宋" w:cs="Times New Roman"/>
                <w:color w:val="auto"/>
                <w:sz w:val="24"/>
                <w:szCs w:val="24"/>
                <w:highlight w:val="none"/>
                <w:lang w:val="en-US" w:eastAsia="zh-CN"/>
              </w:rPr>
              <w:t>19</w:t>
            </w:r>
            <w:r>
              <w:rPr>
                <w:rFonts w:hint="eastAsia" w:ascii="Times New Roman" w:hAnsi="Times New Roman" w:eastAsia="仿宋" w:cs="Times New Roman"/>
                <w:color w:val="auto"/>
                <w:sz w:val="24"/>
                <w:szCs w:val="24"/>
                <w:highlight w:val="none"/>
                <w:lang w:val="en-US" w:eastAsia="zh-CN"/>
              </w:rPr>
              <w:t>。</w:t>
            </w:r>
          </w:p>
          <w:p w14:paraId="2D16B5D2">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表4-</w:t>
            </w:r>
            <w:r>
              <w:rPr>
                <w:rFonts w:hint="eastAsia" w:ascii="Times New Roman" w:hAnsi="Times New Roman" w:eastAsia="仿宋" w:cs="Times New Roman"/>
                <w:b/>
                <w:bCs/>
                <w:color w:val="auto"/>
                <w:kern w:val="2"/>
                <w:sz w:val="22"/>
                <w:szCs w:val="22"/>
                <w:highlight w:val="none"/>
                <w:lang w:val="en-US" w:eastAsia="zh-CN" w:bidi="ar-SA"/>
              </w:rPr>
              <w:t xml:space="preserve">19  </w:t>
            </w:r>
            <w:r>
              <w:rPr>
                <w:rFonts w:hint="default" w:ascii="Times New Roman" w:hAnsi="Times New Roman" w:eastAsia="仿宋" w:cs="Times New Roman"/>
                <w:b/>
                <w:bCs/>
                <w:color w:val="auto"/>
                <w:kern w:val="2"/>
                <w:sz w:val="22"/>
                <w:szCs w:val="22"/>
                <w:highlight w:val="none"/>
                <w:lang w:val="en-US" w:eastAsia="zh-CN" w:bidi="ar-SA"/>
              </w:rPr>
              <w:t>项目危险废物储存场所基本情况表</w:t>
            </w:r>
          </w:p>
          <w:tbl>
            <w:tblPr>
              <w:tblStyle w:val="31"/>
              <w:tblW w:w="831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21"/>
              <w:gridCol w:w="862"/>
              <w:gridCol w:w="1185"/>
              <w:gridCol w:w="659"/>
              <w:gridCol w:w="1290"/>
              <w:gridCol w:w="901"/>
              <w:gridCol w:w="871"/>
              <w:gridCol w:w="659"/>
              <w:gridCol w:w="689"/>
              <w:gridCol w:w="678"/>
            </w:tblGrid>
            <w:tr w14:paraId="289A26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13" w:type="pct"/>
                  <w:noWrap w:val="0"/>
                  <w:vAlign w:val="center"/>
                </w:tcPr>
                <w:p w14:paraId="2D1D76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序号</w:t>
                  </w:r>
                </w:p>
              </w:tc>
              <w:tc>
                <w:tcPr>
                  <w:tcW w:w="518" w:type="pct"/>
                  <w:noWrap w:val="0"/>
                  <w:vAlign w:val="center"/>
                </w:tcPr>
                <w:p w14:paraId="24810BC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储存场所名称</w:t>
                  </w:r>
                </w:p>
              </w:tc>
              <w:tc>
                <w:tcPr>
                  <w:tcW w:w="712" w:type="pct"/>
                  <w:noWrap w:val="0"/>
                  <w:vAlign w:val="center"/>
                </w:tcPr>
                <w:p w14:paraId="327183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危废名称</w:t>
                  </w:r>
                </w:p>
              </w:tc>
              <w:tc>
                <w:tcPr>
                  <w:tcW w:w="396" w:type="pct"/>
                  <w:noWrap w:val="0"/>
                  <w:vAlign w:val="center"/>
                </w:tcPr>
                <w:p w14:paraId="7541B0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eastAsia="zh-CN"/>
                    </w:rPr>
                  </w:pPr>
                  <w:r>
                    <w:rPr>
                      <w:rFonts w:hint="default" w:ascii="Times New Roman" w:hAnsi="Times New Roman" w:eastAsia="仿宋" w:cs="Times New Roman"/>
                      <w:b/>
                      <w:bCs/>
                      <w:color w:val="auto"/>
                      <w:kern w:val="0"/>
                      <w:sz w:val="21"/>
                      <w:szCs w:val="21"/>
                      <w:highlight w:val="none"/>
                      <w:lang w:eastAsia="zh-CN"/>
                    </w:rPr>
                    <w:t>危废</w:t>
                  </w:r>
                </w:p>
                <w:p w14:paraId="28CC43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b/>
                      <w:bCs/>
                      <w:color w:val="auto"/>
                      <w:kern w:val="0"/>
                      <w:sz w:val="21"/>
                      <w:szCs w:val="21"/>
                      <w:highlight w:val="none"/>
                      <w:lang w:val="en-US" w:eastAsia="zh-CN"/>
                    </w:rPr>
                  </w:pPr>
                  <w:r>
                    <w:rPr>
                      <w:rFonts w:hint="default" w:ascii="Times New Roman" w:hAnsi="Times New Roman" w:eastAsia="仿宋" w:cs="Times New Roman"/>
                      <w:b/>
                      <w:bCs/>
                      <w:color w:val="auto"/>
                      <w:kern w:val="0"/>
                      <w:sz w:val="21"/>
                      <w:szCs w:val="21"/>
                      <w:highlight w:val="none"/>
                      <w:lang w:val="en-US" w:eastAsia="zh-CN"/>
                    </w:rPr>
                    <w:t>编号</w:t>
                  </w:r>
                </w:p>
              </w:tc>
              <w:tc>
                <w:tcPr>
                  <w:tcW w:w="775" w:type="pct"/>
                  <w:noWrap w:val="0"/>
                  <w:vAlign w:val="center"/>
                </w:tcPr>
                <w:p w14:paraId="33C71B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default" w:ascii="Times New Roman" w:hAnsi="Times New Roman" w:eastAsia="仿宋" w:cs="Times New Roman"/>
                      <w:b/>
                      <w:bCs/>
                      <w:color w:val="auto"/>
                      <w:kern w:val="0"/>
                      <w:sz w:val="21"/>
                      <w:szCs w:val="21"/>
                      <w:highlight w:val="none"/>
                      <w:lang w:eastAsia="zh-CN"/>
                    </w:rPr>
                    <w:t>危废代码</w:t>
                  </w:r>
                </w:p>
              </w:tc>
              <w:tc>
                <w:tcPr>
                  <w:tcW w:w="541" w:type="pct"/>
                  <w:noWrap w:val="0"/>
                  <w:vAlign w:val="center"/>
                </w:tcPr>
                <w:p w14:paraId="3F9A26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产生量(t/a)</w:t>
                  </w:r>
                </w:p>
              </w:tc>
              <w:tc>
                <w:tcPr>
                  <w:tcW w:w="523" w:type="pct"/>
                  <w:noWrap w:val="0"/>
                  <w:vAlign w:val="center"/>
                </w:tcPr>
                <w:p w14:paraId="3CA1BD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临时存储地</w:t>
                  </w:r>
                </w:p>
              </w:tc>
              <w:tc>
                <w:tcPr>
                  <w:tcW w:w="396" w:type="pct"/>
                  <w:noWrap w:val="0"/>
                  <w:vAlign w:val="center"/>
                </w:tcPr>
                <w:p w14:paraId="028153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占地面积</w:t>
                  </w:r>
                </w:p>
              </w:tc>
              <w:tc>
                <w:tcPr>
                  <w:tcW w:w="414" w:type="pct"/>
                  <w:noWrap w:val="0"/>
                  <w:vAlign w:val="center"/>
                </w:tcPr>
                <w:p w14:paraId="0FE967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储存方式</w:t>
                  </w:r>
                </w:p>
              </w:tc>
              <w:tc>
                <w:tcPr>
                  <w:tcW w:w="407" w:type="pct"/>
                  <w:noWrap w:val="0"/>
                  <w:vAlign w:val="center"/>
                </w:tcPr>
                <w:p w14:paraId="080C49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eastAsia" w:ascii="Times New Roman" w:hAnsi="Times New Roman" w:eastAsia="仿宋" w:cs="Times New Roman"/>
                      <w:b/>
                      <w:bCs/>
                      <w:color w:val="auto"/>
                      <w:kern w:val="0"/>
                      <w:sz w:val="21"/>
                      <w:szCs w:val="21"/>
                      <w:highlight w:val="none"/>
                      <w:lang w:val="en-US" w:eastAsia="zh-CN"/>
                    </w:rPr>
                    <w:t>储存周期</w:t>
                  </w:r>
                </w:p>
              </w:tc>
            </w:tr>
            <w:tr w14:paraId="1DFC8A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313" w:type="pct"/>
                  <w:vMerge w:val="restart"/>
                  <w:noWrap w:val="0"/>
                  <w:vAlign w:val="center"/>
                </w:tcPr>
                <w:p w14:paraId="27C5E96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危险</w:t>
                  </w:r>
                </w:p>
                <w:p w14:paraId="72EA65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废物</w:t>
                  </w:r>
                </w:p>
              </w:tc>
              <w:tc>
                <w:tcPr>
                  <w:tcW w:w="518" w:type="pct"/>
                  <w:vMerge w:val="restart"/>
                  <w:noWrap w:val="0"/>
                  <w:vAlign w:val="center"/>
                </w:tcPr>
                <w:p w14:paraId="0936C9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危险废物暂存间</w:t>
                  </w:r>
                </w:p>
              </w:tc>
              <w:tc>
                <w:tcPr>
                  <w:tcW w:w="712" w:type="pct"/>
                  <w:noWrap w:val="0"/>
                  <w:vAlign w:val="center"/>
                </w:tcPr>
                <w:p w14:paraId="69704F1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医疗废物</w:t>
                  </w:r>
                </w:p>
              </w:tc>
              <w:tc>
                <w:tcPr>
                  <w:tcW w:w="396" w:type="pct"/>
                  <w:vMerge w:val="restart"/>
                  <w:noWrap w:val="0"/>
                  <w:vAlign w:val="center"/>
                </w:tcPr>
                <w:p w14:paraId="1C6C70D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HW01</w:t>
                  </w:r>
                </w:p>
              </w:tc>
              <w:tc>
                <w:tcPr>
                  <w:tcW w:w="775" w:type="pct"/>
                  <w:vMerge w:val="restart"/>
                  <w:noWrap w:val="0"/>
                  <w:vAlign w:val="center"/>
                </w:tcPr>
                <w:p w14:paraId="2E994F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841-001-01</w:t>
                  </w:r>
                </w:p>
                <w:p w14:paraId="4DC89F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841-002-01</w:t>
                  </w:r>
                </w:p>
                <w:p w14:paraId="28E0FB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841-003-01</w:t>
                  </w:r>
                </w:p>
                <w:p w14:paraId="1E82C6F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841-004-01</w:t>
                  </w:r>
                </w:p>
                <w:p w14:paraId="7BA628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841-005-01</w:t>
                  </w:r>
                </w:p>
              </w:tc>
              <w:tc>
                <w:tcPr>
                  <w:tcW w:w="541" w:type="pct"/>
                  <w:noWrap w:val="0"/>
                  <w:vAlign w:val="center"/>
                </w:tcPr>
                <w:p w14:paraId="02508F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142.50</w:t>
                  </w:r>
                </w:p>
              </w:tc>
              <w:tc>
                <w:tcPr>
                  <w:tcW w:w="523" w:type="pct"/>
                  <w:vMerge w:val="restart"/>
                  <w:noWrap w:val="0"/>
                  <w:vAlign w:val="center"/>
                </w:tcPr>
                <w:p w14:paraId="1250C9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危废暂存间</w:t>
                  </w:r>
                </w:p>
              </w:tc>
              <w:tc>
                <w:tcPr>
                  <w:tcW w:w="396" w:type="pct"/>
                  <w:vMerge w:val="restart"/>
                  <w:noWrap w:val="0"/>
                  <w:vAlign w:val="center"/>
                </w:tcPr>
                <w:p w14:paraId="6EDBA7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68m</w:t>
                  </w:r>
                  <w:r>
                    <w:rPr>
                      <w:rFonts w:hint="eastAsia" w:ascii="Times New Roman" w:hAnsi="Times New Roman" w:eastAsia="仿宋" w:cs="Times New Roman"/>
                      <w:color w:val="auto"/>
                      <w:kern w:val="0"/>
                      <w:sz w:val="21"/>
                      <w:szCs w:val="21"/>
                      <w:highlight w:val="none"/>
                      <w:vertAlign w:val="superscript"/>
                      <w:lang w:val="en-US" w:eastAsia="zh-CN"/>
                    </w:rPr>
                    <w:t>2</w:t>
                  </w:r>
                </w:p>
              </w:tc>
              <w:tc>
                <w:tcPr>
                  <w:tcW w:w="414" w:type="pct"/>
                  <w:noWrap w:val="0"/>
                  <w:vAlign w:val="center"/>
                </w:tcPr>
                <w:p w14:paraId="33B9B1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桶装</w:t>
                  </w:r>
                </w:p>
              </w:tc>
              <w:tc>
                <w:tcPr>
                  <w:tcW w:w="407" w:type="pct"/>
                  <w:noWrap w:val="0"/>
                  <w:vAlign w:val="center"/>
                </w:tcPr>
                <w:p w14:paraId="7A4B7E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1天</w:t>
                  </w:r>
                </w:p>
              </w:tc>
            </w:tr>
            <w:tr w14:paraId="3FB9E4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313" w:type="pct"/>
                  <w:vMerge w:val="continue"/>
                  <w:noWrap w:val="0"/>
                  <w:vAlign w:val="center"/>
                </w:tcPr>
                <w:p w14:paraId="6FD3E9B8">
                  <w:pPr>
                    <w:spacing w:before="0" w:line="240" w:lineRule="auto"/>
                    <w:ind w:firstLine="0"/>
                    <w:jc w:val="center"/>
                    <w:rPr>
                      <w:color w:val="FF0000"/>
                    </w:rPr>
                  </w:pPr>
                </w:p>
              </w:tc>
              <w:tc>
                <w:tcPr>
                  <w:tcW w:w="518" w:type="pct"/>
                  <w:vMerge w:val="continue"/>
                  <w:noWrap w:val="0"/>
                  <w:vAlign w:val="center"/>
                </w:tcPr>
                <w:p w14:paraId="4991E2F3">
                  <w:pPr>
                    <w:spacing w:before="0" w:line="240" w:lineRule="auto"/>
                    <w:ind w:firstLine="0"/>
                    <w:jc w:val="center"/>
                    <w:rPr>
                      <w:rFonts w:hint="default" w:ascii="Times New Roman" w:hAnsi="Times New Roman" w:eastAsia="宋体" w:cs="Times New Roman"/>
                      <w:b w:val="0"/>
                      <w:bCs w:val="0"/>
                      <w:color w:val="FF0000"/>
                      <w:sz w:val="21"/>
                      <w:szCs w:val="21"/>
                      <w:lang w:val="en-US" w:eastAsia="zh-CN"/>
                    </w:rPr>
                  </w:pPr>
                </w:p>
              </w:tc>
              <w:tc>
                <w:tcPr>
                  <w:tcW w:w="712" w:type="pct"/>
                  <w:noWrap w:val="0"/>
                  <w:vAlign w:val="center"/>
                </w:tcPr>
                <w:p w14:paraId="3018FE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污水处理站污泥</w:t>
                  </w:r>
                </w:p>
              </w:tc>
              <w:tc>
                <w:tcPr>
                  <w:tcW w:w="396" w:type="pct"/>
                  <w:vMerge w:val="continue"/>
                  <w:noWrap w:val="0"/>
                  <w:vAlign w:val="center"/>
                </w:tcPr>
                <w:p w14:paraId="2C01F0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775" w:type="pct"/>
                  <w:vMerge w:val="continue"/>
                  <w:noWrap w:val="0"/>
                  <w:vAlign w:val="center"/>
                </w:tcPr>
                <w:p w14:paraId="5386BD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p>
              </w:tc>
              <w:tc>
                <w:tcPr>
                  <w:tcW w:w="541" w:type="pct"/>
                  <w:noWrap w:val="0"/>
                  <w:vAlign w:val="center"/>
                </w:tcPr>
                <w:p w14:paraId="3C5FA8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41</w:t>
                  </w:r>
                </w:p>
              </w:tc>
              <w:tc>
                <w:tcPr>
                  <w:tcW w:w="523" w:type="pct"/>
                  <w:vMerge w:val="continue"/>
                  <w:noWrap w:val="0"/>
                  <w:vAlign w:val="center"/>
                </w:tcPr>
                <w:p w14:paraId="6FF85342">
                  <w:pPr>
                    <w:spacing w:before="0" w:line="240" w:lineRule="auto"/>
                    <w:ind w:firstLine="0"/>
                    <w:jc w:val="center"/>
                    <w:rPr>
                      <w:rFonts w:hint="eastAsia" w:ascii="Times New Roman" w:hAnsi="Times New Roman" w:eastAsia="宋体" w:cs="Times New Roman"/>
                      <w:b w:val="0"/>
                      <w:bCs w:val="0"/>
                      <w:color w:val="FF0000"/>
                      <w:sz w:val="21"/>
                      <w:szCs w:val="21"/>
                      <w:lang w:val="en-US" w:eastAsia="zh-CN"/>
                    </w:rPr>
                  </w:pPr>
                </w:p>
              </w:tc>
              <w:tc>
                <w:tcPr>
                  <w:tcW w:w="396" w:type="pct"/>
                  <w:vMerge w:val="continue"/>
                  <w:noWrap w:val="0"/>
                  <w:vAlign w:val="center"/>
                </w:tcPr>
                <w:p w14:paraId="4F185DF5">
                  <w:pPr>
                    <w:spacing w:before="0" w:line="240" w:lineRule="auto"/>
                    <w:ind w:firstLine="0"/>
                    <w:jc w:val="center"/>
                    <w:rPr>
                      <w:rFonts w:hint="eastAsia" w:ascii="Times New Roman" w:hAnsi="Times New Roman" w:eastAsia="宋体" w:cs="Times New Roman"/>
                      <w:b w:val="0"/>
                      <w:bCs w:val="0"/>
                      <w:color w:val="FF0000"/>
                      <w:sz w:val="21"/>
                      <w:szCs w:val="21"/>
                      <w:lang w:val="en-US" w:eastAsia="zh-CN"/>
                    </w:rPr>
                  </w:pPr>
                </w:p>
              </w:tc>
              <w:tc>
                <w:tcPr>
                  <w:tcW w:w="414" w:type="pct"/>
                  <w:noWrap w:val="0"/>
                  <w:vAlign w:val="center"/>
                </w:tcPr>
                <w:p w14:paraId="59B1CA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桶装</w:t>
                  </w:r>
                </w:p>
              </w:tc>
              <w:tc>
                <w:tcPr>
                  <w:tcW w:w="407" w:type="pct"/>
                  <w:noWrap w:val="0"/>
                  <w:vAlign w:val="center"/>
                </w:tcPr>
                <w:p w14:paraId="45DD80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半年</w:t>
                  </w:r>
                </w:p>
              </w:tc>
            </w:tr>
            <w:tr w14:paraId="4F98CA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313" w:type="pct"/>
                  <w:vMerge w:val="continue"/>
                  <w:noWrap w:val="0"/>
                  <w:vAlign w:val="center"/>
                </w:tcPr>
                <w:p w14:paraId="2BB9E4FB">
                  <w:pPr>
                    <w:spacing w:before="0" w:line="240" w:lineRule="auto"/>
                    <w:ind w:firstLine="0"/>
                    <w:jc w:val="center"/>
                    <w:rPr>
                      <w:color w:val="FF0000"/>
                    </w:rPr>
                  </w:pPr>
                </w:p>
              </w:tc>
              <w:tc>
                <w:tcPr>
                  <w:tcW w:w="518" w:type="pct"/>
                  <w:vMerge w:val="continue"/>
                  <w:noWrap w:val="0"/>
                  <w:vAlign w:val="center"/>
                </w:tcPr>
                <w:p w14:paraId="01045C9F">
                  <w:pPr>
                    <w:spacing w:before="0" w:line="240" w:lineRule="auto"/>
                    <w:ind w:firstLine="0"/>
                    <w:jc w:val="center"/>
                    <w:rPr>
                      <w:rFonts w:hint="default" w:ascii="Times New Roman" w:hAnsi="Times New Roman" w:eastAsia="宋体" w:cs="Times New Roman"/>
                      <w:b w:val="0"/>
                      <w:bCs w:val="0"/>
                      <w:color w:val="FF0000"/>
                      <w:sz w:val="21"/>
                      <w:szCs w:val="21"/>
                      <w:lang w:val="en-US" w:eastAsia="zh-CN"/>
                    </w:rPr>
                  </w:pPr>
                </w:p>
              </w:tc>
              <w:tc>
                <w:tcPr>
                  <w:tcW w:w="712" w:type="pct"/>
                  <w:noWrap w:val="0"/>
                  <w:vAlign w:val="center"/>
                </w:tcPr>
                <w:p w14:paraId="45B6EC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废活性炭</w:t>
                  </w:r>
                </w:p>
              </w:tc>
              <w:tc>
                <w:tcPr>
                  <w:tcW w:w="396" w:type="pct"/>
                  <w:noWrap w:val="0"/>
                  <w:vAlign w:val="center"/>
                </w:tcPr>
                <w:p w14:paraId="716FE3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HW49</w:t>
                  </w:r>
                </w:p>
              </w:tc>
              <w:tc>
                <w:tcPr>
                  <w:tcW w:w="775" w:type="pct"/>
                  <w:noWrap w:val="0"/>
                  <w:vAlign w:val="center"/>
                </w:tcPr>
                <w:p w14:paraId="644B62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rPr>
                    <w:t>900-039-49</w:t>
                  </w:r>
                </w:p>
              </w:tc>
              <w:tc>
                <w:tcPr>
                  <w:tcW w:w="541" w:type="pct"/>
                  <w:noWrap w:val="0"/>
                  <w:vAlign w:val="center"/>
                </w:tcPr>
                <w:p w14:paraId="255AFE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2</w:t>
                  </w:r>
                </w:p>
              </w:tc>
              <w:tc>
                <w:tcPr>
                  <w:tcW w:w="523" w:type="pct"/>
                  <w:vMerge w:val="continue"/>
                  <w:noWrap w:val="0"/>
                  <w:vAlign w:val="center"/>
                </w:tcPr>
                <w:p w14:paraId="286F84C0">
                  <w:pPr>
                    <w:spacing w:before="0" w:line="240" w:lineRule="auto"/>
                    <w:ind w:firstLine="0"/>
                    <w:jc w:val="center"/>
                    <w:rPr>
                      <w:rFonts w:hint="eastAsia" w:ascii="Times New Roman" w:hAnsi="Times New Roman" w:eastAsia="宋体" w:cs="Times New Roman"/>
                      <w:b w:val="0"/>
                      <w:bCs w:val="0"/>
                      <w:color w:val="FF0000"/>
                      <w:sz w:val="21"/>
                      <w:szCs w:val="21"/>
                      <w:lang w:val="en-US" w:eastAsia="zh-CN"/>
                    </w:rPr>
                  </w:pPr>
                </w:p>
              </w:tc>
              <w:tc>
                <w:tcPr>
                  <w:tcW w:w="396" w:type="pct"/>
                  <w:vMerge w:val="continue"/>
                  <w:noWrap w:val="0"/>
                  <w:vAlign w:val="center"/>
                </w:tcPr>
                <w:p w14:paraId="5ABAAFDE">
                  <w:pPr>
                    <w:spacing w:before="0" w:line="240" w:lineRule="auto"/>
                    <w:ind w:firstLine="0"/>
                    <w:jc w:val="center"/>
                    <w:rPr>
                      <w:rFonts w:hint="eastAsia" w:ascii="Times New Roman" w:hAnsi="Times New Roman" w:eastAsia="宋体" w:cs="Times New Roman"/>
                      <w:b w:val="0"/>
                      <w:bCs w:val="0"/>
                      <w:color w:val="FF0000"/>
                      <w:sz w:val="21"/>
                      <w:szCs w:val="21"/>
                      <w:lang w:val="en-US" w:eastAsia="zh-CN"/>
                    </w:rPr>
                  </w:pPr>
                </w:p>
              </w:tc>
              <w:tc>
                <w:tcPr>
                  <w:tcW w:w="414" w:type="pct"/>
                  <w:noWrap w:val="0"/>
                  <w:vAlign w:val="center"/>
                </w:tcPr>
                <w:p w14:paraId="4E6221B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桶装</w:t>
                  </w:r>
                </w:p>
              </w:tc>
              <w:tc>
                <w:tcPr>
                  <w:tcW w:w="407" w:type="pct"/>
                  <w:noWrap w:val="0"/>
                  <w:vAlign w:val="center"/>
                </w:tcPr>
                <w:p w14:paraId="41C0663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3个月</w:t>
                  </w:r>
                </w:p>
              </w:tc>
            </w:tr>
            <w:tr w14:paraId="0C2EB4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313" w:type="pct"/>
                  <w:vMerge w:val="continue"/>
                  <w:noWrap w:val="0"/>
                  <w:vAlign w:val="center"/>
                </w:tcPr>
                <w:p w14:paraId="3F2474BD">
                  <w:pPr>
                    <w:spacing w:before="0" w:line="240" w:lineRule="auto"/>
                    <w:ind w:firstLine="0"/>
                    <w:jc w:val="center"/>
                    <w:rPr>
                      <w:color w:val="FF0000"/>
                    </w:rPr>
                  </w:pPr>
                </w:p>
              </w:tc>
              <w:tc>
                <w:tcPr>
                  <w:tcW w:w="518" w:type="pct"/>
                  <w:vMerge w:val="continue"/>
                  <w:noWrap w:val="0"/>
                  <w:vAlign w:val="center"/>
                </w:tcPr>
                <w:p w14:paraId="1813CAB2">
                  <w:pPr>
                    <w:spacing w:before="0" w:line="240" w:lineRule="auto"/>
                    <w:ind w:firstLine="0"/>
                    <w:jc w:val="center"/>
                    <w:rPr>
                      <w:rFonts w:hint="default" w:ascii="Times New Roman" w:hAnsi="Times New Roman" w:eastAsia="宋体" w:cs="Times New Roman"/>
                      <w:b w:val="0"/>
                      <w:bCs w:val="0"/>
                      <w:color w:val="FF0000"/>
                      <w:sz w:val="21"/>
                      <w:szCs w:val="21"/>
                      <w:lang w:val="en-US" w:eastAsia="zh-CN"/>
                    </w:rPr>
                  </w:pPr>
                </w:p>
              </w:tc>
              <w:tc>
                <w:tcPr>
                  <w:tcW w:w="712" w:type="pct"/>
                  <w:noWrap w:val="0"/>
                  <w:vAlign w:val="center"/>
                </w:tcPr>
                <w:p w14:paraId="0A2C5C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喷淋废液</w:t>
                  </w:r>
                </w:p>
              </w:tc>
              <w:tc>
                <w:tcPr>
                  <w:tcW w:w="396" w:type="pct"/>
                  <w:noWrap w:val="0"/>
                  <w:vAlign w:val="center"/>
                </w:tcPr>
                <w:p w14:paraId="58E183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HW09</w:t>
                  </w:r>
                </w:p>
              </w:tc>
              <w:tc>
                <w:tcPr>
                  <w:tcW w:w="775" w:type="pct"/>
                  <w:noWrap w:val="0"/>
                  <w:vAlign w:val="center"/>
                </w:tcPr>
                <w:p w14:paraId="3F405D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rPr>
                    <w:t>900-007-09</w:t>
                  </w:r>
                </w:p>
              </w:tc>
              <w:tc>
                <w:tcPr>
                  <w:tcW w:w="541" w:type="pct"/>
                  <w:noWrap w:val="0"/>
                  <w:vAlign w:val="center"/>
                </w:tcPr>
                <w:p w14:paraId="656F28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w:t>
                  </w:r>
                </w:p>
              </w:tc>
              <w:tc>
                <w:tcPr>
                  <w:tcW w:w="523" w:type="pct"/>
                  <w:vMerge w:val="continue"/>
                  <w:noWrap w:val="0"/>
                  <w:vAlign w:val="center"/>
                </w:tcPr>
                <w:p w14:paraId="39E56AE3">
                  <w:pPr>
                    <w:spacing w:before="0" w:line="240" w:lineRule="auto"/>
                    <w:ind w:firstLine="0"/>
                    <w:jc w:val="center"/>
                    <w:rPr>
                      <w:rFonts w:hint="eastAsia" w:ascii="Times New Roman" w:hAnsi="Times New Roman" w:eastAsia="宋体" w:cs="Times New Roman"/>
                      <w:b w:val="0"/>
                      <w:bCs w:val="0"/>
                      <w:color w:val="FF0000"/>
                      <w:sz w:val="21"/>
                      <w:szCs w:val="21"/>
                      <w:lang w:val="en-US" w:eastAsia="zh-CN"/>
                    </w:rPr>
                  </w:pPr>
                </w:p>
              </w:tc>
              <w:tc>
                <w:tcPr>
                  <w:tcW w:w="396" w:type="pct"/>
                  <w:vMerge w:val="continue"/>
                  <w:noWrap w:val="0"/>
                  <w:vAlign w:val="center"/>
                </w:tcPr>
                <w:p w14:paraId="6AB90882">
                  <w:pPr>
                    <w:spacing w:before="0" w:line="240" w:lineRule="auto"/>
                    <w:ind w:firstLine="0"/>
                    <w:jc w:val="center"/>
                    <w:rPr>
                      <w:rFonts w:hint="eastAsia" w:ascii="Times New Roman" w:hAnsi="Times New Roman" w:eastAsia="宋体" w:cs="Times New Roman"/>
                      <w:b w:val="0"/>
                      <w:bCs w:val="0"/>
                      <w:color w:val="FF0000"/>
                      <w:sz w:val="21"/>
                      <w:szCs w:val="21"/>
                      <w:lang w:val="en-US" w:eastAsia="zh-CN"/>
                    </w:rPr>
                  </w:pPr>
                </w:p>
              </w:tc>
              <w:tc>
                <w:tcPr>
                  <w:tcW w:w="414" w:type="pct"/>
                  <w:noWrap w:val="0"/>
                  <w:vAlign w:val="center"/>
                </w:tcPr>
                <w:p w14:paraId="33A3B1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桶装</w:t>
                  </w:r>
                </w:p>
              </w:tc>
              <w:tc>
                <w:tcPr>
                  <w:tcW w:w="407" w:type="pct"/>
                  <w:noWrap w:val="0"/>
                  <w:vAlign w:val="center"/>
                </w:tcPr>
                <w:p w14:paraId="4261DE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3个月</w:t>
                  </w:r>
                </w:p>
              </w:tc>
            </w:tr>
          </w:tbl>
          <w:p w14:paraId="618459F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3、固体废物环境管理要求</w:t>
            </w:r>
          </w:p>
          <w:p w14:paraId="5E64D92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lang w:val="en-US" w:eastAsia="zh-CN"/>
              </w:rPr>
              <w:t>生活垃圾</w:t>
            </w:r>
          </w:p>
          <w:p w14:paraId="5CE4638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生活垃圾交环卫部门定期清理，统一处理，并对生活垃圾临时堆放点进行消毒，杀灭害虫，以免散发恶臭，孽生蚊蝇，影响周围环境</w:t>
            </w:r>
            <w:r>
              <w:rPr>
                <w:rFonts w:hint="eastAsia" w:ascii="Times New Roman" w:hAnsi="Times New Roman" w:eastAsia="仿宋" w:cs="Times New Roman"/>
                <w:color w:val="auto"/>
                <w:sz w:val="24"/>
                <w:szCs w:val="24"/>
                <w:highlight w:val="none"/>
                <w:lang w:val="en-US" w:eastAsia="zh-CN"/>
              </w:rPr>
              <w:t>。</w:t>
            </w:r>
          </w:p>
          <w:p w14:paraId="0D61E2D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（2）危险废物</w:t>
            </w:r>
          </w:p>
          <w:p w14:paraId="719641D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须建设专门的危险废物贮存间进行贮存，并设立危险废物标志。本项目现有工程已于9号楼设置危险废物暂存间1个，占地面积</w:t>
            </w:r>
            <w:r>
              <w:rPr>
                <w:rFonts w:hint="eastAsia" w:eastAsia="仿宋" w:cs="Times New Roman"/>
                <w:color w:val="auto"/>
                <w:sz w:val="24"/>
                <w:szCs w:val="24"/>
                <w:highlight w:val="none"/>
                <w:lang w:val="en-US" w:eastAsia="zh-CN"/>
              </w:rPr>
              <w:t>68</w:t>
            </w:r>
            <w:r>
              <w:rPr>
                <w:rFonts w:hint="eastAsia" w:ascii="Times New Roman" w:hAnsi="Times New Roman" w:eastAsia="仿宋" w:cs="Times New Roman"/>
                <w:color w:val="auto"/>
                <w:sz w:val="24"/>
                <w:szCs w:val="24"/>
                <w:highlight w:val="none"/>
                <w:lang w:val="en-US" w:eastAsia="zh-CN"/>
              </w:rPr>
              <w:t>m</w:t>
            </w:r>
            <w:r>
              <w:rPr>
                <w:rFonts w:hint="eastAsia" w:ascii="Times New Roman" w:hAnsi="Times New Roman" w:eastAsia="仿宋" w:cs="Times New Roman"/>
                <w:color w:val="auto"/>
                <w:sz w:val="24"/>
                <w:szCs w:val="24"/>
                <w:highlight w:val="none"/>
                <w:vertAlign w:val="superscript"/>
                <w:lang w:val="en-US" w:eastAsia="zh-CN"/>
              </w:rPr>
              <w:t>2</w:t>
            </w:r>
            <w:r>
              <w:rPr>
                <w:rFonts w:hint="eastAsia" w:ascii="Times New Roman" w:hAnsi="Times New Roman" w:eastAsia="仿宋" w:cs="Times New Roman"/>
                <w:color w:val="auto"/>
                <w:sz w:val="24"/>
                <w:szCs w:val="24"/>
                <w:highlight w:val="none"/>
                <w:lang w:val="en-US" w:eastAsia="zh-CN"/>
              </w:rPr>
              <w:t>。禁止将危险废物以任何形式转移给无许可证的单位，或转移到非危险废物贮存设施中。危险废物贮存设施应有相应的配套设施并按有关规定进行管理。</w:t>
            </w:r>
          </w:p>
          <w:p w14:paraId="5B7ED10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扩建工程项目生产过程中产生的危险废物主要包括医疗废物和污水处理站污泥。本环评要求建设方单独设施医疗废物间，各类医疗废物分类存放，医疗废物管理要求如下：</w:t>
            </w:r>
          </w:p>
          <w:p w14:paraId="3DBF32F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1）收集容器规定</w:t>
            </w:r>
          </w:p>
          <w:p w14:paraId="59F6EDB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盛装医疗废物的每个包装物、容器外表面应当有警示标识，在每个包装物、容器上应当系中文标签，中文标签的内容应当包括：医疗废物产生单位、产生日期、类别及需要的特别说明等。周转箱整体为硬制材料，防液体渗漏，可一次性或多次重复使用；多次重复使用的周转箱(桶)应能被快速消毒或清洗；周转箱(桶)整体为黄色，外表面应印（喷）制医疗废物警示标识和文字说明</w:t>
            </w:r>
            <w:r>
              <w:rPr>
                <w:rFonts w:hint="eastAsia" w:ascii="Times New Roman" w:hAnsi="Times New Roman" w:eastAsia="仿宋" w:cs="Times New Roman"/>
                <w:color w:val="auto"/>
                <w:sz w:val="24"/>
                <w:szCs w:val="24"/>
                <w:highlight w:val="none"/>
                <w:lang w:val="en-US" w:eastAsia="zh-CN"/>
              </w:rPr>
              <w:t>。</w:t>
            </w:r>
          </w:p>
          <w:p w14:paraId="09F8C6C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2）分类收集</w:t>
            </w:r>
          </w:p>
          <w:p w14:paraId="0564EE3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感染性废物、病理性废物、损伤性废物、药物性废物及化学性废物不能混合收集。少量的药物性废物可以混入感染性废物，但应当在标签上注明。废弃的麻醉、毒性等药品及其相关的废物的管理，依照有关法律、行政法规和国家有关规定、标准执行。化学性废物中批量的废化学试剂、废消毒剂应当交由专门机构处置。放入包装物或者容器内的感染性废物、病理性废物、损伤性废物不得取出。盛装的医疗废物达到包装物或者容器的3/4时，应当使用有效的封口方式，使包装物或者容器的封口紧实、严密。包装物或者容器的外表面被感染性废物污染时，应当对被污染处，进行消毒处理或者增加一层包装。</w:t>
            </w:r>
          </w:p>
          <w:p w14:paraId="0F68B7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3）暂时贮存要求</w:t>
            </w:r>
          </w:p>
          <w:p w14:paraId="3D28260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a、医疗废物间必须单独设施，尽量远离病房、居民区建筑物并设置隔离带。</w:t>
            </w:r>
          </w:p>
          <w:p w14:paraId="22B94A0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b、废物间地面需密闭，防风、防雨和防晒，地面做防渗防腐处理并设置警示标志。</w:t>
            </w:r>
          </w:p>
          <w:p w14:paraId="65F1695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c、废物的贮存器有明显标志，并且具有耐腐蚀、与所贮存的废物不发生反应等特性。</w:t>
            </w:r>
          </w:p>
          <w:p w14:paraId="3086866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d、贮存场所内禁止混放不相容危险废物。</w:t>
            </w:r>
          </w:p>
          <w:p w14:paraId="325AA96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e、贮存场所内采用安全照明设施，并设置观察窗口。</w:t>
            </w:r>
          </w:p>
          <w:p w14:paraId="319B6A4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f</w:t>
            </w:r>
            <w:r>
              <w:rPr>
                <w:rFonts w:hint="eastAsia" w:ascii="Times New Roman" w:hAnsi="Times New Roman" w:eastAsia="仿宋" w:cs="Times New Roman"/>
                <w:color w:val="auto"/>
                <w:sz w:val="24"/>
                <w:szCs w:val="24"/>
                <w:highlight w:val="none"/>
              </w:rPr>
              <w:t>、</w:t>
            </w:r>
            <w:r>
              <w:rPr>
                <w:rFonts w:hint="eastAsia" w:ascii="Times New Roman" w:hAnsi="Times New Roman" w:eastAsia="仿宋" w:cs="Times New Roman"/>
                <w:color w:val="auto"/>
                <w:sz w:val="24"/>
                <w:szCs w:val="24"/>
                <w:highlight w:val="none"/>
                <w:lang w:eastAsia="zh-CN"/>
              </w:rPr>
              <w:t>贮存场所应符合消防要求。</w:t>
            </w:r>
          </w:p>
          <w:p w14:paraId="64E5548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g</w:t>
            </w:r>
            <w:r>
              <w:rPr>
                <w:rFonts w:hint="eastAsia" w:ascii="Times New Roman" w:hAnsi="Times New Roman" w:eastAsia="仿宋" w:cs="Times New Roman"/>
                <w:color w:val="auto"/>
                <w:sz w:val="24"/>
                <w:szCs w:val="24"/>
                <w:highlight w:val="none"/>
              </w:rPr>
              <w:t>、</w:t>
            </w:r>
            <w:r>
              <w:rPr>
                <w:rFonts w:hint="eastAsia" w:ascii="Times New Roman" w:hAnsi="Times New Roman" w:eastAsia="仿宋" w:cs="Times New Roman"/>
                <w:color w:val="auto"/>
                <w:sz w:val="24"/>
                <w:szCs w:val="24"/>
                <w:highlight w:val="none"/>
                <w:lang w:eastAsia="zh-CN"/>
              </w:rPr>
              <w:t>对于医院废物当日消毒，消毒后装入容器，常温下贮存期不超过1天，于5℃以下冷藏，不超过7天。</w:t>
            </w:r>
          </w:p>
          <w:p w14:paraId="1E20247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h</w:t>
            </w:r>
            <w:r>
              <w:rPr>
                <w:rFonts w:hint="eastAsia" w:ascii="Times New Roman" w:hAnsi="Times New Roman" w:eastAsia="仿宋" w:cs="Times New Roman"/>
                <w:color w:val="auto"/>
                <w:sz w:val="24"/>
                <w:szCs w:val="24"/>
                <w:highlight w:val="none"/>
              </w:rPr>
              <w:t>、</w:t>
            </w:r>
            <w:r>
              <w:rPr>
                <w:rFonts w:hint="eastAsia" w:ascii="Times New Roman" w:hAnsi="Times New Roman" w:eastAsia="仿宋" w:cs="Times New Roman"/>
                <w:color w:val="auto"/>
                <w:sz w:val="24"/>
                <w:szCs w:val="24"/>
                <w:highlight w:val="none"/>
                <w:lang w:eastAsia="zh-CN"/>
              </w:rPr>
              <w:t>建立档案制度，详细记录医疗废物的种类和数量等信息，保存时间，供随时查阅。</w:t>
            </w:r>
          </w:p>
          <w:p w14:paraId="059E7A0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（4）医疗废物的转移、运输过程中，应遵循以下要求：</w:t>
            </w:r>
          </w:p>
          <w:p w14:paraId="3E64D8E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1）医疗废物运送人员在接收医疗废物时，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生态环境部门报告。化学性医疗废物应由医疗卫生机构委托有经营资格的危险废物处置单位处置，未取得相应许可的处置单位医疗废物运送人员不得接收化学性医疗废物。</w:t>
            </w:r>
          </w:p>
          <w:p w14:paraId="557301B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2）医疗卫生机构交予处置的废物采用危险废物转移联单管理。设区的市生态环境部门对医疗废物转移计划进行审批。转移计划批准后，医疗废物产生单位和处置单位的日常医疗废物交接可采用简化的《危险废物转移联单》（医疗废物专用）。在医疗卫生机构、处置单位及运送方式变化后，应对医疗废物转移计划进行重新审批。</w:t>
            </w:r>
          </w:p>
          <w:p w14:paraId="4CEF419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eastAsia="zh-CN"/>
              </w:rPr>
            </w:pPr>
            <w:r>
              <w:rPr>
                <w:rFonts w:hint="eastAsia" w:ascii="Times New Roman" w:hAnsi="Times New Roman" w:eastAsia="仿宋" w:cs="Times New Roman"/>
                <w:color w:val="auto"/>
                <w:sz w:val="24"/>
                <w:szCs w:val="24"/>
                <w:highlight w:val="none"/>
                <w:lang w:eastAsia="zh-CN"/>
              </w:rPr>
              <w:t>3）每车每次运送的医疗废物采用《医疗废物运送登记卡》管理，一车一卡，由医疗卫生机构医疗废物管理人员交接时填写并签字。</w:t>
            </w:r>
          </w:p>
          <w:p w14:paraId="2964B7B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lang w:eastAsia="zh-CN"/>
              </w:rPr>
              <w:t>4）医疗废物处置单位应当填报医疗废物处置月报表，报当地环保主管部门。医疗废物产生单位和处置单位应当填报医疗废物产生和处置的年报表，并于每年 1 月份向当地环保主管部门报送上一年度的产生和处置情况年报表。</w:t>
            </w:r>
          </w:p>
          <w:p w14:paraId="165E9AF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4、结论</w:t>
            </w:r>
          </w:p>
          <w:p w14:paraId="2763A98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本项目各类固体废物只要严格按以上要求分类处理处置各类固废，各类固废去向合理，不会对项目周围环境造成二次污染，对周边环境影响较小。</w:t>
            </w:r>
          </w:p>
          <w:p w14:paraId="67AA3222">
            <w:pPr>
              <w:keepNext w:val="0"/>
              <w:keepLines w:val="0"/>
              <w:pageBreakBefore w:val="0"/>
              <w:widowControl w:val="0"/>
              <w:kinsoku/>
              <w:wordWrap/>
              <w:overflowPunct/>
              <w:topLinePunct w:val="0"/>
              <w:autoSpaceDE w:val="0"/>
              <w:autoSpaceDN w:val="0"/>
              <w:bidi w:val="0"/>
              <w:spacing w:line="360" w:lineRule="auto"/>
              <w:textAlignment w:val="auto"/>
              <w:rPr>
                <w:rFonts w:hint="eastAsia" w:ascii="Times New Roman" w:hAnsi="Times New Roman" w:eastAsia="仿宋" w:cs="Times New Roman"/>
                <w:b/>
                <w:bCs/>
                <w:color w:val="auto"/>
                <w:kern w:val="0"/>
                <w:sz w:val="24"/>
                <w:szCs w:val="24"/>
                <w:highlight w:val="none"/>
                <w:lang w:val="en-US" w:eastAsia="zh-CN"/>
              </w:rPr>
            </w:pPr>
            <w:r>
              <w:rPr>
                <w:rFonts w:hint="default" w:ascii="Times New Roman" w:hAnsi="Times New Roman" w:eastAsia="仿宋" w:cs="Times New Roman"/>
                <w:b/>
                <w:bCs/>
                <w:color w:val="auto"/>
                <w:kern w:val="0"/>
                <w:sz w:val="24"/>
                <w:szCs w:val="24"/>
                <w:highlight w:val="none"/>
              </w:rPr>
              <w:t>五、地下水、土壤</w:t>
            </w:r>
            <w:r>
              <w:rPr>
                <w:rFonts w:hint="default" w:ascii="Times New Roman" w:hAnsi="Times New Roman" w:eastAsia="仿宋" w:cs="Times New Roman"/>
                <w:b/>
                <w:bCs/>
                <w:color w:val="auto"/>
                <w:kern w:val="0"/>
                <w:sz w:val="24"/>
                <w:szCs w:val="24"/>
                <w:highlight w:val="none"/>
                <w:lang w:val="en-US" w:eastAsia="zh-CN"/>
              </w:rPr>
              <w:t>环境影响分析</w:t>
            </w:r>
          </w:p>
          <w:p w14:paraId="3EF6C25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1、地下水环境影响分析</w:t>
            </w:r>
          </w:p>
          <w:p w14:paraId="088B3B9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项目为</w:t>
            </w:r>
            <w:r>
              <w:rPr>
                <w:rFonts w:hint="eastAsia" w:ascii="Times New Roman" w:hAnsi="Times New Roman" w:eastAsia="仿宋" w:cs="Times New Roman"/>
                <w:color w:val="auto"/>
                <w:sz w:val="24"/>
                <w:szCs w:val="24"/>
                <w:highlight w:val="none"/>
              </w:rPr>
              <w:t>Q8411综合医院</w:t>
            </w:r>
            <w:r>
              <w:rPr>
                <w:rFonts w:hint="default" w:ascii="Times New Roman" w:hAnsi="Times New Roman" w:eastAsia="仿宋" w:cs="Times New Roman"/>
                <w:color w:val="auto"/>
                <w:sz w:val="24"/>
                <w:szCs w:val="24"/>
                <w:highlight w:val="none"/>
              </w:rPr>
              <w:t>项目，</w:t>
            </w:r>
            <w:r>
              <w:rPr>
                <w:rFonts w:hint="eastAsia" w:ascii="Times New Roman" w:hAnsi="Times New Roman" w:eastAsia="仿宋" w:cs="Times New Roman"/>
                <w:color w:val="auto"/>
                <w:sz w:val="24"/>
                <w:szCs w:val="24"/>
                <w:highlight w:val="none"/>
              </w:rPr>
              <w:t>根据《环境影响</w:t>
            </w:r>
            <w:r>
              <w:rPr>
                <w:rFonts w:hint="default" w:ascii="Times New Roman" w:hAnsi="Times New Roman" w:eastAsia="仿宋" w:cs="Times New Roman"/>
                <w:color w:val="auto"/>
                <w:sz w:val="24"/>
                <w:szCs w:val="24"/>
                <w:highlight w:val="none"/>
              </w:rPr>
              <w:t>评价技术导则</w:t>
            </w:r>
            <w:r>
              <w:rPr>
                <w:rFonts w:hint="eastAsia"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rPr>
              <w:t>地下水环境》（HJ610-2016）</w:t>
            </w:r>
            <w:r>
              <w:rPr>
                <w:rFonts w:hint="eastAsia" w:ascii="Times New Roman" w:hAnsi="Times New Roman" w:eastAsia="仿宋" w:cs="Times New Roman"/>
                <w:color w:val="auto"/>
                <w:sz w:val="24"/>
                <w:szCs w:val="24"/>
                <w:highlight w:val="none"/>
              </w:rPr>
              <w:t>附录A</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地下水环境影响评价行业分类表</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可知，项目属于</w:t>
            </w:r>
            <w:r>
              <w:rPr>
                <w:rFonts w:hint="eastAsia" w:ascii="Times New Roman" w:hAnsi="Times New Roman" w:eastAsia="仿宋" w:cs="Times New Roman"/>
                <w:color w:val="auto"/>
                <w:sz w:val="24"/>
                <w:szCs w:val="24"/>
                <w:highlight w:val="none"/>
                <w:lang w:eastAsia="zh-CN"/>
              </w:rPr>
              <w:t>“</w:t>
            </w:r>
            <w:r>
              <w:rPr>
                <w:rFonts w:hint="eastAsia" w:ascii="Times New Roman" w:hAnsi="Times New Roman" w:eastAsia="仿宋" w:cs="Times New Roman"/>
                <w:color w:val="auto"/>
                <w:sz w:val="24"/>
                <w:szCs w:val="24"/>
                <w:highlight w:val="none"/>
                <w:lang w:val="en-US" w:eastAsia="zh-CN"/>
              </w:rPr>
              <w:t>V</w:t>
            </w:r>
            <w:r>
              <w:rPr>
                <w:rFonts w:hint="default" w:ascii="Times New Roman" w:hAnsi="Times New Roman" w:eastAsia="仿宋" w:cs="Times New Roman"/>
                <w:color w:val="auto"/>
                <w:sz w:val="24"/>
                <w:szCs w:val="24"/>
                <w:highlight w:val="none"/>
              </w:rPr>
              <w:t>、</w:t>
            </w:r>
            <w:r>
              <w:rPr>
                <w:rFonts w:hint="eastAsia" w:ascii="Times New Roman" w:hAnsi="Times New Roman" w:eastAsia="仿宋" w:cs="Times New Roman"/>
                <w:color w:val="auto"/>
                <w:sz w:val="24"/>
                <w:szCs w:val="24"/>
                <w:highlight w:val="none"/>
                <w:lang w:val="en-US" w:eastAsia="zh-CN"/>
              </w:rPr>
              <w:t>社会事业与服务业</w:t>
            </w:r>
            <w:r>
              <w:rPr>
                <w:rFonts w:hint="eastAsia" w:ascii="Times New Roman" w:hAnsi="Times New Roman" w:eastAsia="仿宋" w:cs="Times New Roman"/>
                <w:color w:val="auto"/>
                <w:sz w:val="24"/>
                <w:szCs w:val="24"/>
                <w:highlight w:val="none"/>
              </w:rPr>
              <w:t>—</w:t>
            </w:r>
            <w:r>
              <w:rPr>
                <w:rFonts w:hint="eastAsia" w:ascii="Times New Roman" w:hAnsi="Times New Roman" w:eastAsia="仿宋" w:cs="Times New Roman"/>
                <w:color w:val="auto"/>
                <w:sz w:val="24"/>
                <w:szCs w:val="24"/>
                <w:highlight w:val="none"/>
                <w:lang w:val="en-US" w:eastAsia="zh-CN"/>
              </w:rPr>
              <w:t>158</w:t>
            </w:r>
            <w:r>
              <w:rPr>
                <w:rFonts w:hint="default" w:ascii="Times New Roman" w:hAnsi="Times New Roman" w:eastAsia="仿宋" w:cs="Times New Roman"/>
                <w:color w:val="auto"/>
                <w:sz w:val="24"/>
                <w:szCs w:val="24"/>
                <w:highlight w:val="none"/>
              </w:rPr>
              <w:t>、</w:t>
            </w:r>
            <w:r>
              <w:rPr>
                <w:rFonts w:hint="eastAsia" w:ascii="Times New Roman" w:hAnsi="Times New Roman" w:eastAsia="仿宋" w:cs="Times New Roman"/>
                <w:color w:val="auto"/>
                <w:sz w:val="24"/>
                <w:szCs w:val="24"/>
                <w:highlight w:val="none"/>
                <w:lang w:val="en-US" w:eastAsia="zh-CN"/>
              </w:rPr>
              <w:t>医院</w:t>
            </w:r>
            <w:r>
              <w:rPr>
                <w:rFonts w:hint="eastAsia" w:ascii="Times New Roman" w:hAnsi="Times New Roman" w:eastAsia="仿宋" w:cs="Times New Roman"/>
                <w:color w:val="auto"/>
                <w:sz w:val="24"/>
                <w:szCs w:val="24"/>
                <w:highlight w:val="none"/>
                <w:lang w:eastAsia="zh-CN"/>
              </w:rPr>
              <w:t>”</w:t>
            </w:r>
            <w:r>
              <w:rPr>
                <w:rFonts w:hint="eastAsia" w:ascii="Times New Roman" w:hAnsi="Times New Roman" w:eastAsia="仿宋" w:cs="Times New Roman"/>
                <w:color w:val="auto"/>
                <w:sz w:val="24"/>
                <w:szCs w:val="24"/>
                <w:highlight w:val="none"/>
              </w:rPr>
              <w:t>中</w:t>
            </w:r>
            <w:r>
              <w:rPr>
                <w:rFonts w:hint="eastAsia" w:ascii="Times New Roman" w:hAnsi="Times New Roman" w:eastAsia="仿宋" w:cs="Times New Roman"/>
                <w:color w:val="auto"/>
                <w:sz w:val="24"/>
                <w:szCs w:val="24"/>
                <w:highlight w:val="none"/>
                <w:lang w:eastAsia="zh-CN"/>
              </w:rPr>
              <w:t>“其它”</w:t>
            </w:r>
            <w:r>
              <w:rPr>
                <w:rFonts w:hint="eastAsia" w:ascii="Times New Roman" w:hAnsi="Times New Roman" w:eastAsia="仿宋" w:cs="Times New Roman"/>
                <w:color w:val="auto"/>
                <w:sz w:val="24"/>
                <w:szCs w:val="24"/>
                <w:highlight w:val="none"/>
              </w:rPr>
              <w:t>，项目</w:t>
            </w:r>
            <w:r>
              <w:rPr>
                <w:rFonts w:hint="default" w:ascii="Times New Roman" w:hAnsi="Times New Roman" w:eastAsia="仿宋" w:cs="Times New Roman"/>
                <w:color w:val="auto"/>
                <w:sz w:val="24"/>
                <w:szCs w:val="24"/>
                <w:highlight w:val="none"/>
              </w:rPr>
              <w:t>属于地下水环境影响评价行业分类表中Ⅳ类项目</w:t>
            </w:r>
            <w:r>
              <w:rPr>
                <w:rFonts w:hint="eastAsia"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rPr>
              <w:t>根据该导则可知，Ⅳ类建设项目可不开展地下水环境影响评价</w:t>
            </w:r>
            <w:r>
              <w:rPr>
                <w:rFonts w:hint="eastAsia" w:ascii="Times New Roman" w:hAnsi="Times New Roman" w:eastAsia="仿宋" w:cs="Times New Roman"/>
                <w:color w:val="auto"/>
                <w:sz w:val="24"/>
                <w:szCs w:val="24"/>
                <w:highlight w:val="none"/>
              </w:rPr>
              <w:t>。</w:t>
            </w:r>
          </w:p>
          <w:p w14:paraId="2CF6A08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rPr>
              <w:t>2</w:t>
            </w:r>
            <w:r>
              <w:rPr>
                <w:rFonts w:hint="default" w:ascii="Times New Roman" w:hAnsi="Times New Roman" w:eastAsia="仿宋" w:cs="Times New Roman"/>
                <w:color w:val="auto"/>
                <w:sz w:val="24"/>
                <w:szCs w:val="24"/>
                <w:highlight w:val="none"/>
              </w:rPr>
              <w:t>、</w:t>
            </w:r>
            <w:r>
              <w:rPr>
                <w:rFonts w:hint="eastAsia" w:ascii="Times New Roman" w:hAnsi="Times New Roman" w:eastAsia="仿宋" w:cs="Times New Roman"/>
                <w:color w:val="auto"/>
                <w:sz w:val="24"/>
                <w:szCs w:val="24"/>
                <w:highlight w:val="none"/>
              </w:rPr>
              <w:t>土壤</w:t>
            </w:r>
            <w:r>
              <w:rPr>
                <w:rFonts w:hint="default" w:ascii="Times New Roman" w:hAnsi="Times New Roman" w:eastAsia="仿宋" w:cs="Times New Roman"/>
                <w:color w:val="auto"/>
                <w:sz w:val="24"/>
                <w:szCs w:val="24"/>
                <w:highlight w:val="none"/>
              </w:rPr>
              <w:t>环境影响分析</w:t>
            </w:r>
          </w:p>
          <w:p w14:paraId="63704A0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项目为</w:t>
            </w:r>
            <w:r>
              <w:rPr>
                <w:rFonts w:hint="eastAsia" w:ascii="Times New Roman" w:hAnsi="Times New Roman" w:eastAsia="仿宋" w:cs="Times New Roman"/>
                <w:color w:val="auto"/>
                <w:sz w:val="24"/>
                <w:szCs w:val="24"/>
                <w:highlight w:val="none"/>
              </w:rPr>
              <w:t>Q8411综合医院</w:t>
            </w:r>
            <w:r>
              <w:rPr>
                <w:rFonts w:hint="default" w:ascii="Times New Roman" w:hAnsi="Times New Roman" w:eastAsia="仿宋" w:cs="Times New Roman"/>
                <w:color w:val="auto"/>
                <w:sz w:val="24"/>
                <w:szCs w:val="24"/>
                <w:highlight w:val="none"/>
              </w:rPr>
              <w:t>项目</w:t>
            </w:r>
            <w:r>
              <w:rPr>
                <w:rFonts w:hint="eastAsia" w:ascii="Times New Roman" w:hAnsi="Times New Roman" w:eastAsia="仿宋" w:cs="Times New Roman"/>
                <w:color w:val="auto"/>
                <w:sz w:val="24"/>
                <w:szCs w:val="24"/>
                <w:highlight w:val="none"/>
              </w:rPr>
              <w:t>，属于污染影响类建设项目。《环境影响评价技术导则 土壤环境》（HJ 964-2018）附录A土壤环境影响评价项目类</w:t>
            </w:r>
            <w:r>
              <w:rPr>
                <w:rFonts w:hint="default" w:ascii="Times New Roman" w:hAnsi="Times New Roman" w:eastAsia="仿宋" w:cs="Times New Roman"/>
                <w:color w:val="auto"/>
                <w:sz w:val="24"/>
                <w:szCs w:val="24"/>
                <w:highlight w:val="none"/>
              </w:rPr>
              <w:t>别表中规定可知，本项目属</w:t>
            </w:r>
            <w:r>
              <w:rPr>
                <w:rFonts w:hint="eastAsia" w:ascii="Times New Roman" w:hAnsi="Times New Roman" w:eastAsia="仿宋" w:cs="Times New Roman"/>
                <w:color w:val="auto"/>
                <w:sz w:val="24"/>
                <w:szCs w:val="24"/>
                <w:highlight w:val="none"/>
                <w:lang w:eastAsia="zh-CN"/>
              </w:rPr>
              <w:t>“</w:t>
            </w:r>
            <w:r>
              <w:rPr>
                <w:rFonts w:hint="eastAsia" w:ascii="Times New Roman" w:hAnsi="Times New Roman" w:eastAsia="仿宋" w:cs="Times New Roman"/>
                <w:color w:val="auto"/>
                <w:sz w:val="24"/>
                <w:szCs w:val="24"/>
                <w:highlight w:val="none"/>
                <w:lang w:val="en-US" w:eastAsia="zh-CN"/>
              </w:rPr>
              <w:t>社会事业与服务业</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中</w:t>
            </w:r>
            <w:r>
              <w:rPr>
                <w:rFonts w:hint="eastAsia" w:ascii="Times New Roman" w:hAnsi="Times New Roman" w:eastAsia="仿宋" w:cs="Times New Roman"/>
                <w:color w:val="auto"/>
                <w:sz w:val="24"/>
                <w:szCs w:val="24"/>
                <w:highlight w:val="none"/>
                <w:lang w:eastAsia="zh-CN"/>
              </w:rPr>
              <w:t>“</w:t>
            </w:r>
            <w:r>
              <w:rPr>
                <w:rFonts w:hint="eastAsia" w:ascii="Times New Roman" w:hAnsi="Times New Roman" w:eastAsia="仿宋" w:cs="Times New Roman"/>
                <w:color w:val="auto"/>
                <w:sz w:val="24"/>
                <w:szCs w:val="24"/>
                <w:highlight w:val="none"/>
                <w:lang w:val="en-US" w:eastAsia="zh-CN"/>
              </w:rPr>
              <w:t>其它</w:t>
            </w:r>
            <w:r>
              <w:rPr>
                <w:rFonts w:hint="eastAsia"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w:t>
            </w:r>
            <w:r>
              <w:rPr>
                <w:rFonts w:hint="eastAsia" w:ascii="Times New Roman" w:hAnsi="Times New Roman" w:eastAsia="仿宋" w:cs="Times New Roman"/>
                <w:color w:val="auto"/>
                <w:sz w:val="24"/>
                <w:szCs w:val="24"/>
                <w:highlight w:val="none"/>
              </w:rPr>
              <w:t>项目</w:t>
            </w:r>
            <w:r>
              <w:rPr>
                <w:rFonts w:hint="default" w:ascii="Times New Roman" w:hAnsi="Times New Roman" w:eastAsia="仿宋" w:cs="Times New Roman"/>
                <w:color w:val="auto"/>
                <w:sz w:val="24"/>
                <w:szCs w:val="24"/>
                <w:highlight w:val="none"/>
              </w:rPr>
              <w:t>属于</w:t>
            </w:r>
            <w:r>
              <w:rPr>
                <w:rFonts w:hint="eastAsia" w:ascii="Times New Roman" w:hAnsi="Times New Roman" w:eastAsia="仿宋" w:cs="Times New Roman"/>
                <w:color w:val="auto"/>
                <w:sz w:val="24"/>
                <w:szCs w:val="24"/>
                <w:highlight w:val="none"/>
                <w:lang w:val="en-US" w:eastAsia="zh-CN"/>
              </w:rPr>
              <w:t>土壤</w:t>
            </w:r>
            <w:r>
              <w:rPr>
                <w:rFonts w:hint="default" w:ascii="Times New Roman" w:hAnsi="Times New Roman" w:eastAsia="仿宋" w:cs="Times New Roman"/>
                <w:color w:val="auto"/>
                <w:sz w:val="24"/>
                <w:szCs w:val="24"/>
                <w:highlight w:val="none"/>
              </w:rPr>
              <w:t>环境影响评价行业分类表中Ⅳ类项目</w:t>
            </w:r>
            <w:r>
              <w:rPr>
                <w:rFonts w:hint="eastAsia"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rPr>
              <w:t>根据该导则可知，Ⅳ类建设项目可不开展</w:t>
            </w:r>
            <w:r>
              <w:rPr>
                <w:rFonts w:hint="eastAsia" w:ascii="Times New Roman" w:hAnsi="Times New Roman" w:eastAsia="仿宋" w:cs="Times New Roman"/>
                <w:color w:val="auto"/>
                <w:sz w:val="24"/>
                <w:szCs w:val="24"/>
                <w:highlight w:val="none"/>
                <w:lang w:val="en-US" w:eastAsia="zh-CN"/>
              </w:rPr>
              <w:t>土壤</w:t>
            </w:r>
            <w:r>
              <w:rPr>
                <w:rFonts w:hint="default" w:ascii="Times New Roman" w:hAnsi="Times New Roman" w:eastAsia="仿宋" w:cs="Times New Roman"/>
                <w:color w:val="auto"/>
                <w:sz w:val="24"/>
                <w:szCs w:val="24"/>
                <w:highlight w:val="none"/>
              </w:rPr>
              <w:t>环境影响评价</w:t>
            </w:r>
            <w:r>
              <w:rPr>
                <w:rFonts w:hint="eastAsia" w:ascii="Times New Roman" w:hAnsi="Times New Roman" w:eastAsia="仿宋" w:cs="Times New Roman"/>
                <w:color w:val="auto"/>
                <w:sz w:val="24"/>
                <w:szCs w:val="24"/>
                <w:highlight w:val="none"/>
              </w:rPr>
              <w:t>。</w:t>
            </w:r>
          </w:p>
          <w:p w14:paraId="5EB1C410">
            <w:pPr>
              <w:keepNext w:val="0"/>
              <w:keepLines w:val="0"/>
              <w:pageBreakBefore w:val="0"/>
              <w:widowControl w:val="0"/>
              <w:kinsoku/>
              <w:wordWrap/>
              <w:overflowPunct/>
              <w:topLinePunct w:val="0"/>
              <w:autoSpaceDE w:val="0"/>
              <w:autoSpaceDN w:val="0"/>
              <w:bidi w:val="0"/>
              <w:spacing w:line="360" w:lineRule="auto"/>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六、环境风险</w:t>
            </w:r>
          </w:p>
          <w:p w14:paraId="75213848">
            <w:pPr>
              <w:keepNext w:val="0"/>
              <w:keepLines w:val="0"/>
              <w:pageBreakBefore w:val="0"/>
              <w:widowControl w:val="0"/>
              <w:kinsoku/>
              <w:wordWrap/>
              <w:overflowPunct/>
              <w:topLinePunct w:val="0"/>
              <w:autoSpaceDE w:val="0"/>
              <w:autoSpaceDN w:val="0"/>
              <w:bidi w:val="0"/>
              <w:spacing w:line="360" w:lineRule="auto"/>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（1）危险物质与临界量比值（Q）</w:t>
            </w:r>
          </w:p>
          <w:p w14:paraId="3504FCFD">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计算所涉及的每种危险物质在厂界内的最大存在总量与其对应临界量的比值Q。当只涉及一种危险物质时，计算该物质的总量与其临界比值，即为 Q；当存在多种危险物质时则按下式计算物质总量与其临界比值（Q）：</w:t>
            </w:r>
          </w:p>
          <w:p w14:paraId="5AD4E4C1">
            <w:pPr>
              <w:keepNext w:val="0"/>
              <w:keepLines w:val="0"/>
              <w:pageBreakBefore w:val="0"/>
              <w:widowControl w:val="0"/>
              <w:kinsoku/>
              <w:wordWrap/>
              <w:overflowPunct/>
              <w:topLinePunct w:val="0"/>
              <w:bidi w:val="0"/>
              <w:adjustRightInd w:val="0"/>
              <w:snapToGrid w:val="0"/>
              <w:spacing w:line="360" w:lineRule="auto"/>
              <w:ind w:firstLine="480"/>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position w:val="-30"/>
                <w:sz w:val="24"/>
                <w:szCs w:val="24"/>
                <w:highlight w:val="none"/>
              </w:rPr>
              <w:object>
                <v:shape id="_x0000_i1030" o:spt="75" type="#_x0000_t75" style="height:33.95pt;width:10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p>
          <w:p w14:paraId="40D757AD">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式中：q1、q2……qn——每种危险物质的最大存在总量，t；</w:t>
            </w:r>
          </w:p>
          <w:p w14:paraId="4142606C">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Q1、Q2……Qn——每种危险物质的临界量，t。</w:t>
            </w:r>
          </w:p>
          <w:p w14:paraId="14F5C191">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当 Q＜1 时，该项目环境风险潜势为 I。</w:t>
            </w:r>
          </w:p>
          <w:p w14:paraId="38F88901">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当 Q ≥ 1 时，将 Q 值划分为（1）1≤Q＜10；（2）10≤Q＜100；（3）Q≥100。</w:t>
            </w:r>
          </w:p>
          <w:p w14:paraId="73124483">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经对照《建设项目环境风险评价技术导则》（HJ 169-2018），本项目原辅料中风险物质总量和临界量见下表。</w:t>
            </w:r>
          </w:p>
          <w:p w14:paraId="70B94D40">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表4-</w:t>
            </w:r>
            <w:r>
              <w:rPr>
                <w:rFonts w:hint="eastAsia" w:eastAsia="仿宋" w:cs="Times New Roman"/>
                <w:b/>
                <w:bCs/>
                <w:color w:val="auto"/>
                <w:kern w:val="2"/>
                <w:sz w:val="22"/>
                <w:szCs w:val="22"/>
                <w:highlight w:val="none"/>
                <w:lang w:val="en-US" w:eastAsia="zh-CN" w:bidi="ar-SA"/>
              </w:rPr>
              <w:t>20</w:t>
            </w:r>
            <w:r>
              <w:rPr>
                <w:rFonts w:hint="default" w:ascii="Times New Roman" w:hAnsi="Times New Roman" w:eastAsia="仿宋" w:cs="Times New Roman"/>
                <w:b/>
                <w:bCs/>
                <w:color w:val="auto"/>
                <w:kern w:val="2"/>
                <w:sz w:val="22"/>
                <w:szCs w:val="22"/>
                <w:highlight w:val="none"/>
                <w:lang w:val="en-US" w:eastAsia="zh-CN" w:bidi="ar-SA"/>
              </w:rPr>
              <w:t xml:space="preserve"> 本项目危险物质与其临界量比值表</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290"/>
              <w:gridCol w:w="1548"/>
              <w:gridCol w:w="1067"/>
              <w:gridCol w:w="1807"/>
              <w:gridCol w:w="1807"/>
            </w:tblGrid>
            <w:tr w14:paraId="66BA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66" w:type="pct"/>
                  <w:vAlign w:val="center"/>
                </w:tcPr>
                <w:p w14:paraId="79F87770">
                  <w:pPr>
                    <w:keepNext w:val="0"/>
                    <w:keepLines w:val="0"/>
                    <w:pageBreakBefore w:val="0"/>
                    <w:kinsoku/>
                    <w:wordWrap/>
                    <w:overflowPunct/>
                    <w:topLinePunct w:val="0"/>
                    <w:autoSpaceDE w:val="0"/>
                    <w:autoSpaceDN w:val="0"/>
                    <w:bidi w:val="0"/>
                    <w:adjustRightInd/>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777" w:type="pct"/>
                  <w:vAlign w:val="center"/>
                </w:tcPr>
                <w:p w14:paraId="28C50C3F">
                  <w:pPr>
                    <w:keepNext w:val="0"/>
                    <w:keepLines w:val="0"/>
                    <w:pageBreakBefore w:val="0"/>
                    <w:kinsoku/>
                    <w:wordWrap/>
                    <w:overflowPunct/>
                    <w:topLinePunct w:val="0"/>
                    <w:autoSpaceDE w:val="0"/>
                    <w:autoSpaceDN w:val="0"/>
                    <w:bidi w:val="0"/>
                    <w:adjustRightInd/>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物质名称</w:t>
                  </w:r>
                </w:p>
              </w:tc>
              <w:tc>
                <w:tcPr>
                  <w:tcW w:w="933" w:type="pct"/>
                  <w:vAlign w:val="center"/>
                </w:tcPr>
                <w:p w14:paraId="7BC362D4">
                  <w:pPr>
                    <w:pStyle w:val="12"/>
                    <w:keepNext w:val="0"/>
                    <w:keepLines w:val="0"/>
                    <w:pageBreakBefore w:val="0"/>
                    <w:kinsoku/>
                    <w:wordWrap/>
                    <w:overflowPunct/>
                    <w:topLinePunct w:val="0"/>
                    <w:autoSpaceDE w:val="0"/>
                    <w:autoSpaceDN w:val="0"/>
                    <w:bidi w:val="0"/>
                    <w:adjustRightInd/>
                    <w:snapToGrid w:val="0"/>
                    <w:spacing w:after="0"/>
                    <w:ind w:left="0" w:left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最大存在量</w:t>
                  </w:r>
                </w:p>
                <w:p w14:paraId="672F1D72">
                  <w:pPr>
                    <w:pStyle w:val="12"/>
                    <w:keepNext w:val="0"/>
                    <w:keepLines w:val="0"/>
                    <w:pageBreakBefore w:val="0"/>
                    <w:kinsoku/>
                    <w:wordWrap/>
                    <w:overflowPunct/>
                    <w:topLinePunct w:val="0"/>
                    <w:autoSpaceDE w:val="0"/>
                    <w:autoSpaceDN w:val="0"/>
                    <w:bidi w:val="0"/>
                    <w:adjustRightInd/>
                    <w:snapToGrid w:val="0"/>
                    <w:spacing w:after="0"/>
                    <w:ind w:left="0" w:left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q（t）</w:t>
                  </w:r>
                </w:p>
              </w:tc>
              <w:tc>
                <w:tcPr>
                  <w:tcW w:w="643" w:type="pct"/>
                  <w:vAlign w:val="center"/>
                </w:tcPr>
                <w:p w14:paraId="035A942A">
                  <w:pPr>
                    <w:pStyle w:val="12"/>
                    <w:keepNext w:val="0"/>
                    <w:keepLines w:val="0"/>
                    <w:pageBreakBefore w:val="0"/>
                    <w:kinsoku/>
                    <w:wordWrap/>
                    <w:overflowPunct/>
                    <w:topLinePunct w:val="0"/>
                    <w:autoSpaceDE w:val="0"/>
                    <w:autoSpaceDN w:val="0"/>
                    <w:bidi w:val="0"/>
                    <w:adjustRightInd/>
                    <w:snapToGrid w:val="0"/>
                    <w:spacing w:after="0"/>
                    <w:ind w:left="0" w:left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临界量</w:t>
                  </w:r>
                </w:p>
                <w:p w14:paraId="2262A5C2">
                  <w:pPr>
                    <w:pStyle w:val="12"/>
                    <w:keepNext w:val="0"/>
                    <w:keepLines w:val="0"/>
                    <w:pageBreakBefore w:val="0"/>
                    <w:kinsoku/>
                    <w:wordWrap/>
                    <w:overflowPunct/>
                    <w:topLinePunct w:val="0"/>
                    <w:autoSpaceDE w:val="0"/>
                    <w:autoSpaceDN w:val="0"/>
                    <w:bidi w:val="0"/>
                    <w:adjustRightInd/>
                    <w:snapToGrid w:val="0"/>
                    <w:spacing w:after="0"/>
                    <w:ind w:left="0" w:left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Q（t）</w:t>
                  </w:r>
                </w:p>
              </w:tc>
              <w:tc>
                <w:tcPr>
                  <w:tcW w:w="1089" w:type="pct"/>
                  <w:vAlign w:val="center"/>
                </w:tcPr>
                <w:p w14:paraId="4D448E48">
                  <w:pPr>
                    <w:pStyle w:val="12"/>
                    <w:keepNext w:val="0"/>
                    <w:keepLines w:val="0"/>
                    <w:pageBreakBefore w:val="0"/>
                    <w:kinsoku/>
                    <w:wordWrap/>
                    <w:overflowPunct/>
                    <w:topLinePunct w:val="0"/>
                    <w:autoSpaceDE w:val="0"/>
                    <w:autoSpaceDN w:val="0"/>
                    <w:bidi w:val="0"/>
                    <w:adjustRightInd/>
                    <w:snapToGrid w:val="0"/>
                    <w:spacing w:after="0"/>
                    <w:ind w:left="0" w:left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与临界量比值</w:t>
                  </w:r>
                </w:p>
                <w:p w14:paraId="3656E241">
                  <w:pPr>
                    <w:pStyle w:val="12"/>
                    <w:keepNext w:val="0"/>
                    <w:keepLines w:val="0"/>
                    <w:pageBreakBefore w:val="0"/>
                    <w:kinsoku/>
                    <w:wordWrap/>
                    <w:overflowPunct/>
                    <w:topLinePunct w:val="0"/>
                    <w:autoSpaceDE w:val="0"/>
                    <w:autoSpaceDN w:val="0"/>
                    <w:bidi w:val="0"/>
                    <w:adjustRightInd/>
                    <w:snapToGrid w:val="0"/>
                    <w:spacing w:after="0"/>
                    <w:ind w:left="0" w:left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q/Q</w:t>
                  </w:r>
                </w:p>
              </w:tc>
              <w:tc>
                <w:tcPr>
                  <w:tcW w:w="1089" w:type="pct"/>
                  <w:vAlign w:val="center"/>
                </w:tcPr>
                <w:p w14:paraId="3881EF5B">
                  <w:pPr>
                    <w:pStyle w:val="12"/>
                    <w:keepNext w:val="0"/>
                    <w:keepLines w:val="0"/>
                    <w:pageBreakBefore w:val="0"/>
                    <w:kinsoku/>
                    <w:wordWrap/>
                    <w:overflowPunct/>
                    <w:topLinePunct w:val="0"/>
                    <w:autoSpaceDE w:val="0"/>
                    <w:autoSpaceDN w:val="0"/>
                    <w:bidi w:val="0"/>
                    <w:adjustRightInd/>
                    <w:snapToGrid w:val="0"/>
                    <w:spacing w:after="0"/>
                    <w:ind w:left="0" w:left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临界值来源</w:t>
                  </w:r>
                </w:p>
              </w:tc>
            </w:tr>
            <w:tr w14:paraId="1628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66" w:type="pct"/>
                  <w:vAlign w:val="center"/>
                </w:tcPr>
                <w:p w14:paraId="2736B7CE">
                  <w:pPr>
                    <w:keepNext w:val="0"/>
                    <w:keepLines w:val="0"/>
                    <w:pageBreakBefore w:val="0"/>
                    <w:widowControl/>
                    <w:kinsoku/>
                    <w:wordWrap/>
                    <w:overflowPunct/>
                    <w:topLinePunct w:val="0"/>
                    <w:bidi w:val="0"/>
                    <w:adjustRightInd/>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777" w:type="pct"/>
                  <w:vAlign w:val="center"/>
                </w:tcPr>
                <w:p w14:paraId="3D23EF92">
                  <w:pPr>
                    <w:keepNext w:val="0"/>
                    <w:keepLines w:val="0"/>
                    <w:pageBreakBefore w:val="0"/>
                    <w:widowControl/>
                    <w:kinsoku/>
                    <w:wordWrap/>
                    <w:overflowPunct/>
                    <w:topLinePunct w:val="0"/>
                    <w:bidi w:val="0"/>
                    <w:adjustRightInd/>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酒精</w:t>
                  </w:r>
                </w:p>
              </w:tc>
              <w:tc>
                <w:tcPr>
                  <w:tcW w:w="933" w:type="pct"/>
                  <w:vAlign w:val="center"/>
                </w:tcPr>
                <w:p w14:paraId="609DD612">
                  <w:pPr>
                    <w:keepNext w:val="0"/>
                    <w:keepLines w:val="0"/>
                    <w:pageBreakBefore w:val="0"/>
                    <w:widowControl/>
                    <w:kinsoku/>
                    <w:wordWrap/>
                    <w:overflowPunct/>
                    <w:topLinePunct w:val="0"/>
                    <w:bidi w:val="0"/>
                    <w:adjustRightInd/>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0.2</w:t>
                  </w:r>
                </w:p>
              </w:tc>
              <w:tc>
                <w:tcPr>
                  <w:tcW w:w="643" w:type="pct"/>
                  <w:vAlign w:val="center"/>
                </w:tcPr>
                <w:p w14:paraId="348BA9F4">
                  <w:pPr>
                    <w:keepNext w:val="0"/>
                    <w:keepLines w:val="0"/>
                    <w:pageBreakBefore w:val="0"/>
                    <w:widowControl/>
                    <w:kinsoku/>
                    <w:wordWrap/>
                    <w:overflowPunct/>
                    <w:topLinePunct w:val="0"/>
                    <w:bidi w:val="0"/>
                    <w:adjustRightInd/>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500</w:t>
                  </w:r>
                </w:p>
              </w:tc>
              <w:tc>
                <w:tcPr>
                  <w:tcW w:w="1089" w:type="pct"/>
                  <w:vAlign w:val="center"/>
                </w:tcPr>
                <w:p w14:paraId="6CC93297">
                  <w:pPr>
                    <w:keepNext w:val="0"/>
                    <w:keepLines w:val="0"/>
                    <w:pageBreakBefore w:val="0"/>
                    <w:widowControl/>
                    <w:kinsoku/>
                    <w:wordWrap/>
                    <w:overflowPunct/>
                    <w:topLinePunct w:val="0"/>
                    <w:bidi w:val="0"/>
                    <w:adjustRightInd/>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0.0003</w:t>
                  </w:r>
                </w:p>
              </w:tc>
              <w:tc>
                <w:tcPr>
                  <w:tcW w:w="1089" w:type="pct"/>
                  <w:vMerge w:val="restart"/>
                  <w:vAlign w:val="center"/>
                </w:tcPr>
                <w:p w14:paraId="0681047A">
                  <w:pPr>
                    <w:keepNext w:val="0"/>
                    <w:keepLines w:val="0"/>
                    <w:pageBreakBefore w:val="0"/>
                    <w:widowControl/>
                    <w:kinsoku/>
                    <w:wordWrap/>
                    <w:overflowPunct/>
                    <w:topLinePunct w:val="0"/>
                    <w:bidi w:val="0"/>
                    <w:adjustRightInd/>
                    <w:snapToGrid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《企业突发环境事件风险分级方法》(HJ941-2018)</w:t>
                  </w:r>
                </w:p>
                <w:p w14:paraId="518BAEF1">
                  <w:pPr>
                    <w:keepNext w:val="0"/>
                    <w:keepLines w:val="0"/>
                    <w:pageBreakBefore w:val="0"/>
                    <w:widowControl/>
                    <w:kinsoku/>
                    <w:wordWrap/>
                    <w:overflowPunct/>
                    <w:topLinePunct w:val="0"/>
                    <w:bidi w:val="0"/>
                    <w:adjustRightInd/>
                    <w:snapToGrid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中附录A</w:t>
                  </w:r>
                </w:p>
              </w:tc>
            </w:tr>
            <w:tr w14:paraId="0FFC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6" w:type="pct"/>
                  <w:vAlign w:val="center"/>
                </w:tcPr>
                <w:p w14:paraId="66DFD3E1">
                  <w:pPr>
                    <w:keepNext w:val="0"/>
                    <w:keepLines w:val="0"/>
                    <w:pageBreakBefore w:val="0"/>
                    <w:widowControl/>
                    <w:kinsoku/>
                    <w:wordWrap/>
                    <w:overflowPunct/>
                    <w:topLinePunct w:val="0"/>
                    <w:bidi w:val="0"/>
                    <w:adjustRightInd/>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777" w:type="pct"/>
                  <w:vAlign w:val="center"/>
                </w:tcPr>
                <w:p w14:paraId="7AF86386">
                  <w:pPr>
                    <w:keepNext w:val="0"/>
                    <w:keepLines w:val="0"/>
                    <w:pageBreakBefore w:val="0"/>
                    <w:widowControl/>
                    <w:kinsoku/>
                    <w:wordWrap/>
                    <w:overflowPunct/>
                    <w:topLinePunct w:val="0"/>
                    <w:bidi w:val="0"/>
                    <w:adjustRightInd/>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碘伏</w:t>
                  </w:r>
                </w:p>
              </w:tc>
              <w:tc>
                <w:tcPr>
                  <w:tcW w:w="933" w:type="pct"/>
                  <w:vAlign w:val="center"/>
                </w:tcPr>
                <w:p w14:paraId="0E865C6F">
                  <w:pPr>
                    <w:keepNext w:val="0"/>
                    <w:keepLines w:val="0"/>
                    <w:pageBreakBefore w:val="0"/>
                    <w:widowControl/>
                    <w:kinsoku/>
                    <w:wordWrap/>
                    <w:overflowPunct/>
                    <w:topLinePunct w:val="0"/>
                    <w:bidi w:val="0"/>
                    <w:adjustRightInd/>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0.1</w:t>
                  </w:r>
                </w:p>
              </w:tc>
              <w:tc>
                <w:tcPr>
                  <w:tcW w:w="643" w:type="pct"/>
                  <w:vAlign w:val="center"/>
                </w:tcPr>
                <w:p w14:paraId="08B3329A">
                  <w:pPr>
                    <w:keepNext w:val="0"/>
                    <w:keepLines w:val="0"/>
                    <w:pageBreakBefore w:val="0"/>
                    <w:widowControl/>
                    <w:kinsoku/>
                    <w:wordWrap/>
                    <w:overflowPunct/>
                    <w:topLinePunct w:val="0"/>
                    <w:bidi w:val="0"/>
                    <w:adjustRightInd/>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w:t>
                  </w:r>
                </w:p>
              </w:tc>
              <w:tc>
                <w:tcPr>
                  <w:tcW w:w="1089" w:type="pct"/>
                  <w:vAlign w:val="center"/>
                </w:tcPr>
                <w:p w14:paraId="6BBABDEF">
                  <w:pPr>
                    <w:keepNext w:val="0"/>
                    <w:keepLines w:val="0"/>
                    <w:pageBreakBefore w:val="0"/>
                    <w:widowControl/>
                    <w:kinsoku/>
                    <w:wordWrap/>
                    <w:overflowPunct/>
                    <w:topLinePunct w:val="0"/>
                    <w:bidi w:val="0"/>
                    <w:adjustRightInd/>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0.002</w:t>
                  </w:r>
                </w:p>
              </w:tc>
              <w:tc>
                <w:tcPr>
                  <w:tcW w:w="1089" w:type="pct"/>
                  <w:vMerge w:val="continue"/>
                  <w:vAlign w:val="center"/>
                </w:tcPr>
                <w:p w14:paraId="642609CB">
                  <w:pPr>
                    <w:keepNext w:val="0"/>
                    <w:keepLines w:val="0"/>
                    <w:pageBreakBefore w:val="0"/>
                    <w:widowControl/>
                    <w:kinsoku/>
                    <w:wordWrap/>
                    <w:overflowPunct/>
                    <w:topLinePunct w:val="0"/>
                    <w:bidi w:val="0"/>
                    <w:adjustRightInd/>
                    <w:snapToGrid w:val="0"/>
                    <w:jc w:val="center"/>
                    <w:textAlignment w:val="center"/>
                    <w:rPr>
                      <w:rFonts w:hint="default" w:ascii="Times New Roman" w:hAnsi="Times New Roman" w:eastAsia="仿宋" w:cs="Times New Roman"/>
                      <w:color w:val="auto"/>
                      <w:sz w:val="21"/>
                      <w:szCs w:val="21"/>
                      <w:highlight w:val="none"/>
                    </w:rPr>
                  </w:pPr>
                </w:p>
              </w:tc>
            </w:tr>
            <w:tr w14:paraId="062C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6" w:type="pct"/>
                  <w:vAlign w:val="center"/>
                </w:tcPr>
                <w:p w14:paraId="1FBA8913">
                  <w:pPr>
                    <w:keepNext w:val="0"/>
                    <w:keepLines w:val="0"/>
                    <w:pageBreakBefore w:val="0"/>
                    <w:widowControl/>
                    <w:kinsoku/>
                    <w:wordWrap/>
                    <w:overflowPunct/>
                    <w:topLinePunct w:val="0"/>
                    <w:bidi w:val="0"/>
                    <w:adjustRightInd/>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w:t>
                  </w:r>
                </w:p>
              </w:tc>
              <w:tc>
                <w:tcPr>
                  <w:tcW w:w="777" w:type="pct"/>
                  <w:vAlign w:val="center"/>
                </w:tcPr>
                <w:p w14:paraId="1FD8CDBD">
                  <w:pPr>
                    <w:keepNext w:val="0"/>
                    <w:keepLines w:val="0"/>
                    <w:pageBreakBefore w:val="0"/>
                    <w:widowControl w:val="0"/>
                    <w:kinsoku/>
                    <w:wordWrap/>
                    <w:overflowPunct/>
                    <w:topLinePunct w:val="0"/>
                    <w:bidi w:val="0"/>
                    <w:adjustRightInd/>
                    <w:snapToGrid/>
                    <w:spacing w:line="240" w:lineRule="auto"/>
                    <w:jc w:val="center"/>
                    <w:textAlignment w:val="auto"/>
                    <w:rPr>
                      <w:rFonts w:hint="eastAsia" w:eastAsia="仿宋" w:cs="Times New Roman"/>
                      <w:color w:val="auto"/>
                      <w:sz w:val="21"/>
                      <w:szCs w:val="21"/>
                      <w:highlight w:val="none"/>
                      <w:lang w:val="en-US" w:eastAsia="zh-CN"/>
                    </w:rPr>
                  </w:pPr>
                  <w:r>
                    <w:rPr>
                      <w:rFonts w:hint="default" w:ascii="Times New Roman" w:hAnsi="Times New Roman" w:eastAsia="仿宋" w:cs="Times New Roman"/>
                      <w:szCs w:val="21"/>
                      <w:highlight w:val="none"/>
                    </w:rPr>
                    <w:t>废活性炭</w:t>
                  </w:r>
                </w:p>
              </w:tc>
              <w:tc>
                <w:tcPr>
                  <w:tcW w:w="933" w:type="pct"/>
                  <w:vAlign w:val="center"/>
                </w:tcPr>
                <w:p w14:paraId="71DA1281">
                  <w:pPr>
                    <w:keepNext w:val="0"/>
                    <w:keepLines w:val="0"/>
                    <w:pageBreakBefore w:val="0"/>
                    <w:widowControl/>
                    <w:kinsoku/>
                    <w:wordWrap/>
                    <w:overflowPunct/>
                    <w:topLinePunct w:val="0"/>
                    <w:bidi w:val="0"/>
                    <w:adjustRightInd/>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0.2</w:t>
                  </w:r>
                </w:p>
              </w:tc>
              <w:tc>
                <w:tcPr>
                  <w:tcW w:w="643" w:type="pct"/>
                  <w:vAlign w:val="center"/>
                </w:tcPr>
                <w:p w14:paraId="26945A78">
                  <w:pPr>
                    <w:keepNext w:val="0"/>
                    <w:keepLines w:val="0"/>
                    <w:pageBreakBefore w:val="0"/>
                    <w:widowControl/>
                    <w:kinsoku/>
                    <w:wordWrap/>
                    <w:overflowPunct/>
                    <w:topLinePunct w:val="0"/>
                    <w:bidi w:val="0"/>
                    <w:adjustRightInd/>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100</w:t>
                  </w:r>
                </w:p>
              </w:tc>
              <w:tc>
                <w:tcPr>
                  <w:tcW w:w="1089" w:type="pct"/>
                  <w:vAlign w:val="center"/>
                </w:tcPr>
                <w:p w14:paraId="7655B154">
                  <w:pPr>
                    <w:keepNext w:val="0"/>
                    <w:keepLines w:val="0"/>
                    <w:pageBreakBefore w:val="0"/>
                    <w:widowControl/>
                    <w:kinsoku/>
                    <w:wordWrap/>
                    <w:overflowPunct/>
                    <w:topLinePunct w:val="0"/>
                    <w:bidi w:val="0"/>
                    <w:adjustRightInd/>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0.002</w:t>
                  </w:r>
                </w:p>
              </w:tc>
              <w:tc>
                <w:tcPr>
                  <w:tcW w:w="1089" w:type="pct"/>
                  <w:vMerge w:val="continue"/>
                  <w:vAlign w:val="center"/>
                </w:tcPr>
                <w:p w14:paraId="38CC910E">
                  <w:pPr>
                    <w:keepNext w:val="0"/>
                    <w:keepLines w:val="0"/>
                    <w:pageBreakBefore w:val="0"/>
                    <w:widowControl/>
                    <w:kinsoku/>
                    <w:wordWrap/>
                    <w:overflowPunct/>
                    <w:topLinePunct w:val="0"/>
                    <w:bidi w:val="0"/>
                    <w:adjustRightInd/>
                    <w:snapToGrid w:val="0"/>
                    <w:jc w:val="center"/>
                    <w:textAlignment w:val="center"/>
                    <w:rPr>
                      <w:rFonts w:hint="default" w:ascii="Times New Roman" w:hAnsi="Times New Roman" w:eastAsia="仿宋" w:cs="Times New Roman"/>
                      <w:color w:val="auto"/>
                      <w:sz w:val="21"/>
                      <w:szCs w:val="21"/>
                      <w:highlight w:val="none"/>
                    </w:rPr>
                  </w:pPr>
                </w:p>
              </w:tc>
            </w:tr>
            <w:tr w14:paraId="40D2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6" w:type="pct"/>
                  <w:vAlign w:val="center"/>
                </w:tcPr>
                <w:p w14:paraId="1349FBA5">
                  <w:pPr>
                    <w:keepNext w:val="0"/>
                    <w:keepLines w:val="0"/>
                    <w:pageBreakBefore w:val="0"/>
                    <w:widowControl/>
                    <w:kinsoku/>
                    <w:wordWrap/>
                    <w:overflowPunct/>
                    <w:topLinePunct w:val="0"/>
                    <w:bidi w:val="0"/>
                    <w:adjustRightInd/>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w:t>
                  </w:r>
                </w:p>
              </w:tc>
              <w:tc>
                <w:tcPr>
                  <w:tcW w:w="777" w:type="pct"/>
                  <w:vAlign w:val="center"/>
                </w:tcPr>
                <w:p w14:paraId="06CA422A">
                  <w:pPr>
                    <w:keepNext w:val="0"/>
                    <w:keepLines w:val="0"/>
                    <w:pageBreakBefore w:val="0"/>
                    <w:widowControl w:val="0"/>
                    <w:kinsoku/>
                    <w:wordWrap/>
                    <w:overflowPunct/>
                    <w:topLinePunct w:val="0"/>
                    <w:bidi w:val="0"/>
                    <w:adjustRightInd/>
                    <w:snapToGrid/>
                    <w:spacing w:line="240" w:lineRule="auto"/>
                    <w:jc w:val="center"/>
                    <w:textAlignment w:val="auto"/>
                    <w:rPr>
                      <w:rFonts w:hint="default" w:eastAsia="仿宋" w:cs="Times New Roman"/>
                      <w:color w:val="auto"/>
                      <w:sz w:val="21"/>
                      <w:szCs w:val="21"/>
                      <w:highlight w:val="none"/>
                      <w:lang w:val="en-US" w:eastAsia="zh-CN"/>
                    </w:rPr>
                  </w:pPr>
                  <w:r>
                    <w:rPr>
                      <w:rFonts w:hint="eastAsia" w:eastAsia="仿宋" w:cs="Times New Roman"/>
                      <w:szCs w:val="21"/>
                      <w:highlight w:val="none"/>
                      <w:lang w:val="en-US" w:eastAsia="zh-CN"/>
                    </w:rPr>
                    <w:t>喷淋废液</w:t>
                  </w:r>
                </w:p>
              </w:tc>
              <w:tc>
                <w:tcPr>
                  <w:tcW w:w="933" w:type="pct"/>
                  <w:vAlign w:val="center"/>
                </w:tcPr>
                <w:p w14:paraId="78A5882D">
                  <w:pPr>
                    <w:keepNext w:val="0"/>
                    <w:keepLines w:val="0"/>
                    <w:pageBreakBefore w:val="0"/>
                    <w:widowControl/>
                    <w:kinsoku/>
                    <w:wordWrap/>
                    <w:overflowPunct/>
                    <w:topLinePunct w:val="0"/>
                    <w:bidi w:val="0"/>
                    <w:adjustRightInd/>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0.2</w:t>
                  </w:r>
                </w:p>
              </w:tc>
              <w:tc>
                <w:tcPr>
                  <w:tcW w:w="643" w:type="pct"/>
                  <w:vAlign w:val="center"/>
                </w:tcPr>
                <w:p w14:paraId="118555FA">
                  <w:pPr>
                    <w:keepNext w:val="0"/>
                    <w:keepLines w:val="0"/>
                    <w:pageBreakBefore w:val="0"/>
                    <w:widowControl/>
                    <w:kinsoku/>
                    <w:wordWrap/>
                    <w:overflowPunct/>
                    <w:topLinePunct w:val="0"/>
                    <w:bidi w:val="0"/>
                    <w:adjustRightInd/>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100</w:t>
                  </w:r>
                </w:p>
              </w:tc>
              <w:tc>
                <w:tcPr>
                  <w:tcW w:w="1089" w:type="pct"/>
                  <w:vAlign w:val="center"/>
                </w:tcPr>
                <w:p w14:paraId="36B50DB2">
                  <w:pPr>
                    <w:keepNext w:val="0"/>
                    <w:keepLines w:val="0"/>
                    <w:pageBreakBefore w:val="0"/>
                    <w:widowControl/>
                    <w:kinsoku/>
                    <w:wordWrap/>
                    <w:overflowPunct/>
                    <w:topLinePunct w:val="0"/>
                    <w:bidi w:val="0"/>
                    <w:adjustRightInd/>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0.002</w:t>
                  </w:r>
                </w:p>
              </w:tc>
              <w:tc>
                <w:tcPr>
                  <w:tcW w:w="1089" w:type="pct"/>
                  <w:vMerge w:val="continue"/>
                  <w:vAlign w:val="center"/>
                </w:tcPr>
                <w:p w14:paraId="2D324660">
                  <w:pPr>
                    <w:keepNext w:val="0"/>
                    <w:keepLines w:val="0"/>
                    <w:pageBreakBefore w:val="0"/>
                    <w:widowControl/>
                    <w:kinsoku/>
                    <w:wordWrap/>
                    <w:overflowPunct/>
                    <w:topLinePunct w:val="0"/>
                    <w:bidi w:val="0"/>
                    <w:adjustRightInd/>
                    <w:snapToGrid w:val="0"/>
                    <w:jc w:val="center"/>
                    <w:textAlignment w:val="center"/>
                    <w:rPr>
                      <w:rFonts w:hint="default" w:ascii="Times New Roman" w:hAnsi="Times New Roman" w:eastAsia="仿宋" w:cs="Times New Roman"/>
                      <w:color w:val="auto"/>
                      <w:sz w:val="21"/>
                      <w:szCs w:val="21"/>
                      <w:highlight w:val="none"/>
                    </w:rPr>
                  </w:pPr>
                </w:p>
              </w:tc>
            </w:tr>
            <w:tr w14:paraId="53D1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1" w:type="pct"/>
                  <w:gridSpan w:val="4"/>
                  <w:vAlign w:val="center"/>
                </w:tcPr>
                <w:p w14:paraId="0CE8660E">
                  <w:pPr>
                    <w:keepNext w:val="0"/>
                    <w:keepLines w:val="0"/>
                    <w:pageBreakBefore w:val="0"/>
                    <w:kinsoku/>
                    <w:wordWrap/>
                    <w:overflowPunct/>
                    <w:topLinePunct w:val="0"/>
                    <w:autoSpaceDE w:val="0"/>
                    <w:autoSpaceDN w:val="0"/>
                    <w:bidi w:val="0"/>
                    <w:adjustRightInd/>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合计</w:t>
                  </w:r>
                </w:p>
              </w:tc>
              <w:tc>
                <w:tcPr>
                  <w:tcW w:w="1089" w:type="pct"/>
                  <w:vAlign w:val="center"/>
                </w:tcPr>
                <w:p w14:paraId="30C9C889">
                  <w:pPr>
                    <w:keepNext w:val="0"/>
                    <w:keepLines w:val="0"/>
                    <w:pageBreakBefore w:val="0"/>
                    <w:widowControl/>
                    <w:suppressLineNumbers w:val="0"/>
                    <w:kinsoku/>
                    <w:wordWrap/>
                    <w:overflowPunct/>
                    <w:bidi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2"/>
                      <w:sz w:val="21"/>
                      <w:szCs w:val="21"/>
                      <w:highlight w:val="none"/>
                      <w:u w:val="none"/>
                      <w:lang w:val="en-US" w:eastAsia="zh-CN" w:bidi="ar-SA"/>
                    </w:rPr>
                    <w:t>0.0063</w:t>
                  </w:r>
                </w:p>
              </w:tc>
              <w:tc>
                <w:tcPr>
                  <w:tcW w:w="1089" w:type="pct"/>
                  <w:vAlign w:val="center"/>
                </w:tcPr>
                <w:p w14:paraId="2472A3B3">
                  <w:pPr>
                    <w:keepNext w:val="0"/>
                    <w:keepLines w:val="0"/>
                    <w:pageBreakBefore w:val="0"/>
                    <w:widowControl/>
                    <w:kinsoku/>
                    <w:wordWrap/>
                    <w:overflowPunct/>
                    <w:topLinePunct w:val="0"/>
                    <w:bidi w:val="0"/>
                    <w:adjustRightInd/>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bl>
          <w:p w14:paraId="070A562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根据以上分析可知，本项目q/Q&lt;1，环境风险潜势为Ⅰ。</w:t>
            </w:r>
          </w:p>
          <w:p w14:paraId="159AA912">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（2）评价工作等级判断</w:t>
            </w:r>
          </w:p>
          <w:p w14:paraId="197F3B0D">
            <w:pPr>
              <w:jc w:val="center"/>
              <w:rPr>
                <w:rFonts w:hint="default" w:ascii="Times New Roman" w:hAnsi="Times New Roman" w:eastAsia="仿宋" w:cs="Times New Roman"/>
                <w:b/>
                <w:bCs/>
                <w:color w:val="auto"/>
                <w:kern w:val="2"/>
                <w:sz w:val="22"/>
                <w:szCs w:val="22"/>
                <w:highlight w:val="none"/>
                <w:lang w:val="en-US" w:eastAsia="zh-CN" w:bidi="ar-SA"/>
              </w:rPr>
            </w:pPr>
            <w:r>
              <w:rPr>
                <w:rFonts w:hint="default" w:ascii="Times New Roman" w:hAnsi="Times New Roman" w:eastAsia="仿宋" w:cs="Times New Roman"/>
                <w:b/>
                <w:bCs/>
                <w:color w:val="auto"/>
                <w:kern w:val="2"/>
                <w:sz w:val="22"/>
                <w:szCs w:val="22"/>
                <w:highlight w:val="none"/>
                <w:lang w:val="en-US" w:eastAsia="zh-CN" w:bidi="ar-SA"/>
              </w:rPr>
              <w:t>表4-</w:t>
            </w:r>
            <w:r>
              <w:rPr>
                <w:rFonts w:hint="eastAsia" w:ascii="Times New Roman" w:hAnsi="Times New Roman" w:eastAsia="仿宋" w:cs="Times New Roman"/>
                <w:b/>
                <w:bCs/>
                <w:color w:val="auto"/>
                <w:kern w:val="2"/>
                <w:sz w:val="22"/>
                <w:szCs w:val="22"/>
                <w:highlight w:val="none"/>
                <w:lang w:val="en-US" w:eastAsia="zh-CN" w:bidi="ar-SA"/>
              </w:rPr>
              <w:t>2</w:t>
            </w:r>
            <w:r>
              <w:rPr>
                <w:rFonts w:hint="eastAsia" w:eastAsia="仿宋" w:cs="Times New Roman"/>
                <w:b/>
                <w:bCs/>
                <w:color w:val="auto"/>
                <w:kern w:val="2"/>
                <w:sz w:val="22"/>
                <w:szCs w:val="22"/>
                <w:highlight w:val="none"/>
                <w:lang w:val="en-US" w:eastAsia="zh-CN" w:bidi="ar-SA"/>
              </w:rPr>
              <w:t>1</w:t>
            </w:r>
            <w:r>
              <w:rPr>
                <w:rFonts w:hint="default" w:ascii="Times New Roman" w:hAnsi="Times New Roman" w:eastAsia="仿宋" w:cs="Times New Roman"/>
                <w:b/>
                <w:bCs/>
                <w:color w:val="auto"/>
                <w:kern w:val="2"/>
                <w:sz w:val="22"/>
                <w:szCs w:val="22"/>
                <w:highlight w:val="none"/>
                <w:lang w:val="en-US" w:eastAsia="zh-CN" w:bidi="ar-SA"/>
              </w:rPr>
              <w:t xml:space="preserve"> 风险评价工作等级划分表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1813"/>
              <w:gridCol w:w="784"/>
              <w:gridCol w:w="784"/>
              <w:gridCol w:w="2208"/>
            </w:tblGrid>
            <w:tr w14:paraId="593E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pct"/>
                </w:tcPr>
                <w:p w14:paraId="1D08ABAA">
                  <w:pPr>
                    <w:keepNext w:val="0"/>
                    <w:keepLines w:val="0"/>
                    <w:pageBreakBefore w:val="0"/>
                    <w:kinsoku/>
                    <w:wordWrap/>
                    <w:overflowPunct/>
                    <w:bidi w:val="0"/>
                    <w:jc w:val="center"/>
                    <w:rPr>
                      <w:rFonts w:hint="default" w:ascii="Times New Roman" w:hAnsi="Times New Roman" w:eastAsia="仿宋" w:cs="Times New Roman"/>
                      <w:b/>
                      <w:bCs w:val="0"/>
                      <w:color w:val="auto"/>
                      <w:sz w:val="21"/>
                      <w:szCs w:val="21"/>
                      <w:highlight w:val="none"/>
                    </w:rPr>
                  </w:pPr>
                  <w:r>
                    <w:rPr>
                      <w:rFonts w:hint="default" w:ascii="Times New Roman" w:hAnsi="Times New Roman" w:eastAsia="仿宋" w:cs="Times New Roman"/>
                      <w:b/>
                      <w:bCs w:val="0"/>
                      <w:color w:val="auto"/>
                      <w:sz w:val="21"/>
                      <w:szCs w:val="21"/>
                      <w:highlight w:val="none"/>
                    </w:rPr>
                    <w:t>环境风险潜势</w:t>
                  </w:r>
                </w:p>
              </w:tc>
              <w:tc>
                <w:tcPr>
                  <w:tcW w:w="1092" w:type="pct"/>
                </w:tcPr>
                <w:p w14:paraId="5342890C">
                  <w:pPr>
                    <w:keepNext w:val="0"/>
                    <w:keepLines w:val="0"/>
                    <w:pageBreakBefore w:val="0"/>
                    <w:kinsoku/>
                    <w:wordWrap/>
                    <w:overflowPunct/>
                    <w:bidi w:val="0"/>
                    <w:jc w:val="center"/>
                    <w:rPr>
                      <w:rFonts w:hint="default" w:ascii="Times New Roman" w:hAnsi="Times New Roman" w:eastAsia="仿宋" w:cs="Times New Roman"/>
                      <w:b/>
                      <w:bCs w:val="0"/>
                      <w:color w:val="auto"/>
                      <w:sz w:val="21"/>
                      <w:szCs w:val="21"/>
                      <w:highlight w:val="none"/>
                    </w:rPr>
                  </w:pPr>
                  <w:r>
                    <w:rPr>
                      <w:rFonts w:hint="default" w:ascii="Times New Roman" w:hAnsi="Times New Roman" w:eastAsia="仿宋" w:cs="Times New Roman"/>
                      <w:b/>
                      <w:bCs w:val="0"/>
                      <w:color w:val="auto"/>
                      <w:sz w:val="21"/>
                      <w:szCs w:val="21"/>
                      <w:highlight w:val="none"/>
                    </w:rPr>
                    <w:t>Ⅳ、Ⅳ+</w:t>
                  </w:r>
                </w:p>
              </w:tc>
              <w:tc>
                <w:tcPr>
                  <w:tcW w:w="472" w:type="pct"/>
                </w:tcPr>
                <w:p w14:paraId="44C72E7C">
                  <w:pPr>
                    <w:keepNext w:val="0"/>
                    <w:keepLines w:val="0"/>
                    <w:pageBreakBefore w:val="0"/>
                    <w:kinsoku/>
                    <w:wordWrap/>
                    <w:overflowPunct/>
                    <w:bidi w:val="0"/>
                    <w:jc w:val="center"/>
                    <w:rPr>
                      <w:rFonts w:hint="default" w:ascii="Times New Roman" w:hAnsi="Times New Roman" w:eastAsia="仿宋" w:cs="Times New Roman"/>
                      <w:b/>
                      <w:bCs w:val="0"/>
                      <w:color w:val="auto"/>
                      <w:sz w:val="21"/>
                      <w:szCs w:val="21"/>
                      <w:highlight w:val="none"/>
                    </w:rPr>
                  </w:pPr>
                  <w:r>
                    <w:rPr>
                      <w:rFonts w:hint="default" w:ascii="Times New Roman" w:hAnsi="Times New Roman" w:eastAsia="仿宋" w:cs="Times New Roman"/>
                      <w:b/>
                      <w:bCs w:val="0"/>
                      <w:color w:val="auto"/>
                      <w:sz w:val="21"/>
                      <w:szCs w:val="21"/>
                      <w:highlight w:val="none"/>
                    </w:rPr>
                    <w:t>Ⅲ</w:t>
                  </w:r>
                </w:p>
              </w:tc>
              <w:tc>
                <w:tcPr>
                  <w:tcW w:w="472" w:type="pct"/>
                </w:tcPr>
                <w:p w14:paraId="23E6B12E">
                  <w:pPr>
                    <w:keepNext w:val="0"/>
                    <w:keepLines w:val="0"/>
                    <w:pageBreakBefore w:val="0"/>
                    <w:kinsoku/>
                    <w:wordWrap/>
                    <w:overflowPunct/>
                    <w:bidi w:val="0"/>
                    <w:jc w:val="center"/>
                    <w:rPr>
                      <w:rFonts w:hint="default" w:ascii="Times New Roman" w:hAnsi="Times New Roman" w:eastAsia="仿宋" w:cs="Times New Roman"/>
                      <w:b/>
                      <w:bCs w:val="0"/>
                      <w:color w:val="auto"/>
                      <w:sz w:val="21"/>
                      <w:szCs w:val="21"/>
                      <w:highlight w:val="none"/>
                    </w:rPr>
                  </w:pPr>
                  <w:r>
                    <w:rPr>
                      <w:rFonts w:hint="default" w:ascii="Times New Roman" w:hAnsi="Times New Roman" w:eastAsia="仿宋" w:cs="Times New Roman"/>
                      <w:b/>
                      <w:bCs w:val="0"/>
                      <w:color w:val="auto"/>
                      <w:sz w:val="21"/>
                      <w:szCs w:val="21"/>
                      <w:highlight w:val="none"/>
                    </w:rPr>
                    <w:t>Ⅱ</w:t>
                  </w:r>
                </w:p>
              </w:tc>
              <w:tc>
                <w:tcPr>
                  <w:tcW w:w="1331" w:type="pct"/>
                </w:tcPr>
                <w:p w14:paraId="22E8076B">
                  <w:pPr>
                    <w:keepNext w:val="0"/>
                    <w:keepLines w:val="0"/>
                    <w:pageBreakBefore w:val="0"/>
                    <w:kinsoku/>
                    <w:wordWrap/>
                    <w:overflowPunct/>
                    <w:bidi w:val="0"/>
                    <w:jc w:val="center"/>
                    <w:rPr>
                      <w:rFonts w:hint="default" w:ascii="Times New Roman" w:hAnsi="Times New Roman" w:eastAsia="仿宋" w:cs="Times New Roman"/>
                      <w:b/>
                      <w:bCs w:val="0"/>
                      <w:color w:val="auto"/>
                      <w:sz w:val="21"/>
                      <w:szCs w:val="21"/>
                      <w:highlight w:val="none"/>
                    </w:rPr>
                  </w:pPr>
                  <w:r>
                    <w:rPr>
                      <w:rFonts w:hint="default" w:ascii="Times New Roman" w:hAnsi="Times New Roman" w:eastAsia="仿宋" w:cs="Times New Roman"/>
                      <w:b/>
                      <w:bCs w:val="0"/>
                      <w:color w:val="auto"/>
                      <w:sz w:val="21"/>
                      <w:szCs w:val="21"/>
                      <w:highlight w:val="none"/>
                    </w:rPr>
                    <w:t>Ⅰ</w:t>
                  </w:r>
                </w:p>
              </w:tc>
            </w:tr>
            <w:tr w14:paraId="3FEC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pct"/>
                </w:tcPr>
                <w:p w14:paraId="330695D1">
                  <w:pPr>
                    <w:keepNext w:val="0"/>
                    <w:keepLines w:val="0"/>
                    <w:pageBreakBefore w:val="0"/>
                    <w:kinsoku/>
                    <w:wordWrap/>
                    <w:overflowPunct/>
                    <w:bidi w:val="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评价工作等级</w:t>
                  </w:r>
                </w:p>
              </w:tc>
              <w:tc>
                <w:tcPr>
                  <w:tcW w:w="1092" w:type="pct"/>
                </w:tcPr>
                <w:p w14:paraId="1F7DE34F">
                  <w:pPr>
                    <w:keepNext w:val="0"/>
                    <w:keepLines w:val="0"/>
                    <w:pageBreakBefore w:val="0"/>
                    <w:kinsoku/>
                    <w:wordWrap/>
                    <w:overflowPunct/>
                    <w:bidi w:val="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一</w:t>
                  </w:r>
                </w:p>
              </w:tc>
              <w:tc>
                <w:tcPr>
                  <w:tcW w:w="472" w:type="pct"/>
                </w:tcPr>
                <w:p w14:paraId="6F65424F">
                  <w:pPr>
                    <w:keepNext w:val="0"/>
                    <w:keepLines w:val="0"/>
                    <w:pageBreakBefore w:val="0"/>
                    <w:kinsoku/>
                    <w:wordWrap/>
                    <w:overflowPunct/>
                    <w:bidi w:val="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二</w:t>
                  </w:r>
                </w:p>
              </w:tc>
              <w:tc>
                <w:tcPr>
                  <w:tcW w:w="472" w:type="pct"/>
                </w:tcPr>
                <w:p w14:paraId="62A850AB">
                  <w:pPr>
                    <w:keepNext w:val="0"/>
                    <w:keepLines w:val="0"/>
                    <w:pageBreakBefore w:val="0"/>
                    <w:kinsoku/>
                    <w:wordWrap/>
                    <w:overflowPunct/>
                    <w:bidi w:val="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三</w:t>
                  </w:r>
                </w:p>
              </w:tc>
              <w:tc>
                <w:tcPr>
                  <w:tcW w:w="1331" w:type="pct"/>
                </w:tcPr>
                <w:p w14:paraId="391A10E6">
                  <w:pPr>
                    <w:keepNext w:val="0"/>
                    <w:keepLines w:val="0"/>
                    <w:pageBreakBefore w:val="0"/>
                    <w:kinsoku/>
                    <w:wordWrap/>
                    <w:overflowPunct/>
                    <w:bidi w:val="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简单分析a</w:t>
                  </w:r>
                </w:p>
              </w:tc>
            </w:tr>
          </w:tbl>
          <w:p w14:paraId="03F5620E">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eastAsia" w:ascii="Times New Roman" w:hAnsi="Times New Roman" w:eastAsia="仿宋" w:cs="Times New Roman"/>
                <w:bCs/>
                <w:color w:val="auto"/>
                <w:kern w:val="0"/>
                <w:sz w:val="24"/>
                <w:szCs w:val="24"/>
                <w:highlight w:val="none"/>
                <w:lang w:eastAsia="zh-CN"/>
              </w:rPr>
            </w:pPr>
            <w:r>
              <w:rPr>
                <w:rFonts w:hint="default" w:ascii="Times New Roman" w:hAnsi="Times New Roman" w:eastAsia="仿宋" w:cs="Times New Roman"/>
                <w:bCs/>
                <w:color w:val="auto"/>
                <w:kern w:val="0"/>
                <w:sz w:val="24"/>
                <w:szCs w:val="24"/>
                <w:highlight w:val="none"/>
              </w:rPr>
              <w:t>a相对于详细评价工作内容而言，在描述危险物质、环境影响途径、环境危害后果、风险防范、措施等方面给出定性的说明</w:t>
            </w:r>
            <w:r>
              <w:rPr>
                <w:rFonts w:hint="eastAsia" w:eastAsia="仿宋" w:cs="Times New Roman"/>
                <w:bCs/>
                <w:color w:val="auto"/>
                <w:kern w:val="0"/>
                <w:sz w:val="24"/>
                <w:szCs w:val="24"/>
                <w:highlight w:val="none"/>
                <w:lang w:eastAsia="zh-CN"/>
              </w:rPr>
              <w:t>。</w:t>
            </w:r>
          </w:p>
          <w:p w14:paraId="5A630FCE">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根据《建设项目环境风险评价技术导则》（HJ 169-2018）分级判据，本项目环境风险潜势为Ⅰ，评价工作等级进行简单分析。</w:t>
            </w:r>
          </w:p>
          <w:p w14:paraId="52A4C3A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项目涉及的有毒有害和易燃易爆等危险物质为</w:t>
            </w:r>
            <w:r>
              <w:rPr>
                <w:rFonts w:hint="eastAsia" w:eastAsia="仿宋" w:cs="Times New Roman"/>
                <w:color w:val="auto"/>
                <w:kern w:val="0"/>
                <w:sz w:val="24"/>
                <w:szCs w:val="24"/>
                <w:highlight w:val="none"/>
                <w:lang w:val="en-US" w:eastAsia="zh-CN"/>
              </w:rPr>
              <w:t>酒精、碘伏</w:t>
            </w:r>
            <w:r>
              <w:rPr>
                <w:rFonts w:hint="default" w:ascii="Times New Roman" w:hAnsi="Times New Roman" w:eastAsia="仿宋" w:cs="Times New Roman"/>
                <w:color w:val="auto"/>
                <w:kern w:val="0"/>
                <w:sz w:val="24"/>
                <w:szCs w:val="24"/>
                <w:highlight w:val="none"/>
              </w:rPr>
              <w:t>等，暂存在</w:t>
            </w:r>
            <w:r>
              <w:rPr>
                <w:rFonts w:hint="eastAsia" w:eastAsia="仿宋" w:cs="Times New Roman"/>
                <w:color w:val="auto"/>
                <w:kern w:val="0"/>
                <w:sz w:val="24"/>
                <w:szCs w:val="24"/>
                <w:highlight w:val="none"/>
                <w:lang w:val="en-US" w:eastAsia="zh-CN"/>
              </w:rPr>
              <w:t>库房</w:t>
            </w:r>
            <w:r>
              <w:rPr>
                <w:rFonts w:hint="default" w:ascii="Times New Roman" w:hAnsi="Times New Roman" w:eastAsia="仿宋" w:cs="Times New Roman"/>
                <w:color w:val="auto"/>
                <w:kern w:val="0"/>
                <w:sz w:val="24"/>
                <w:szCs w:val="24"/>
                <w:highlight w:val="none"/>
              </w:rPr>
              <w:t>内，在贮存过程中可能发生泄露，建设方必须严格采取行之有效的防范泄漏措施，尽可能降低泄漏事故的发生。主要的环境风险防范措施包括但不限于：</w:t>
            </w:r>
          </w:p>
          <w:p w14:paraId="6135801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eastAsia" w:eastAsia="仿宋" w:cs="Times New Roman"/>
                <w:color w:val="auto"/>
                <w:kern w:val="0"/>
                <w:sz w:val="24"/>
                <w:szCs w:val="24"/>
                <w:highlight w:val="none"/>
                <w:lang w:val="en-US" w:eastAsia="zh-CN"/>
              </w:rPr>
              <w:t>管理措施：</w:t>
            </w:r>
            <w:r>
              <w:rPr>
                <w:rFonts w:hint="default" w:ascii="Times New Roman" w:hAnsi="Times New Roman" w:eastAsia="仿宋" w:cs="Times New Roman"/>
                <w:color w:val="auto"/>
                <w:kern w:val="0"/>
                <w:sz w:val="24"/>
                <w:szCs w:val="24"/>
                <w:highlight w:val="none"/>
              </w:rPr>
              <w:t>①建立岗位责任制，专人负责管理危险化学品运作，人员需定期培训。制定突发环境事件应急预案，建立应急小组，负责应急突发性事件的组织、指挥、抢修、控制、协调等应急响应行动；配备消防器材、救生器、防护面罩、胶皮手套、急救用品、沙袋、吸收棉、收集桶等应急物资或设备；发生泄漏时，用砂土或其它材料吸附或吸收，然后铲入桶内收集。</w:t>
            </w:r>
          </w:p>
          <w:p w14:paraId="7485992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②</w:t>
            </w:r>
            <w:r>
              <w:rPr>
                <w:rFonts w:hint="eastAsia" w:eastAsia="仿宋" w:cs="Times New Roman"/>
                <w:color w:val="auto"/>
                <w:kern w:val="0"/>
                <w:sz w:val="24"/>
                <w:szCs w:val="24"/>
                <w:highlight w:val="none"/>
                <w:lang w:val="en-US" w:eastAsia="zh-CN"/>
              </w:rPr>
              <w:t>项</w:t>
            </w:r>
            <w:r>
              <w:rPr>
                <w:rFonts w:hint="default" w:ascii="Times New Roman" w:hAnsi="Times New Roman" w:eastAsia="仿宋" w:cs="Times New Roman"/>
                <w:color w:val="auto"/>
                <w:kern w:val="0"/>
                <w:sz w:val="24"/>
                <w:szCs w:val="24"/>
                <w:highlight w:val="none"/>
              </w:rPr>
              <w:t>目危险废物的储存除需设施危险废物暂存间集中储存和管理外，必须遵守国务院下达的《危险化学品安全管理条例》。危险废物贮存严格按照</w:t>
            </w:r>
            <w:r>
              <w:rPr>
                <w:rFonts w:hint="default" w:ascii="Times New Roman" w:hAnsi="Times New Roman" w:eastAsia="仿宋" w:cs="Times New Roman"/>
                <w:color w:val="auto"/>
                <w:kern w:val="0"/>
                <w:sz w:val="24"/>
                <w:szCs w:val="24"/>
                <w:highlight w:val="none"/>
                <w:lang w:val="en-US" w:eastAsia="zh-CN"/>
              </w:rPr>
              <w:t>《危险废物贮存污染控制标准》（GB18597-2023）</w:t>
            </w:r>
            <w:r>
              <w:rPr>
                <w:rFonts w:hint="default" w:ascii="Times New Roman" w:hAnsi="Times New Roman" w:eastAsia="仿宋" w:cs="Times New Roman"/>
                <w:color w:val="auto"/>
                <w:kern w:val="0"/>
                <w:sz w:val="24"/>
                <w:szCs w:val="24"/>
                <w:highlight w:val="none"/>
              </w:rPr>
              <w:t>要做好危废间防渗防漏工作，存放于防腐、防漏容器中，密封存放，定期委托有资质单位处理。</w:t>
            </w:r>
          </w:p>
          <w:p w14:paraId="73707B6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工程措施：①库房设置防漏、防渗措施。</w:t>
            </w:r>
          </w:p>
          <w:p w14:paraId="102CF0F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②雨水口设置截流阀。</w:t>
            </w:r>
          </w:p>
          <w:p w14:paraId="39ECE98B">
            <w:pPr>
              <w:adjustRightInd w:val="0"/>
              <w:snapToGrid w:val="0"/>
              <w:spacing w:line="360" w:lineRule="auto"/>
              <w:rPr>
                <w:rFonts w:hint="default" w:ascii="Times New Roman" w:hAnsi="Times New Roman" w:cs="Times New Roman"/>
                <w:color w:val="FF0000"/>
                <w:sz w:val="24"/>
              </w:rPr>
            </w:pPr>
          </w:p>
        </w:tc>
      </w:tr>
    </w:tbl>
    <w:p w14:paraId="704DEBB5">
      <w:pPr>
        <w:pStyle w:val="27"/>
        <w:jc w:val="center"/>
        <w:outlineLvl w:val="0"/>
        <w:rPr>
          <w:rFonts w:hint="default" w:ascii="Times New Roman" w:hAnsi="Times New Roman" w:eastAsia="黑体" w:cs="Times New Roman"/>
          <w:snapToGrid w:val="0"/>
          <w:color w:val="FF0000"/>
          <w:sz w:val="30"/>
          <w:szCs w:val="30"/>
        </w:rPr>
        <w:sectPr>
          <w:pgSz w:w="11906" w:h="16838"/>
          <w:pgMar w:top="1701" w:right="1531" w:bottom="1701" w:left="1531" w:header="851" w:footer="1322" w:gutter="0"/>
          <w:pgBorders>
            <w:top w:val="none" w:sz="0" w:space="0"/>
            <w:left w:val="none" w:sz="0" w:space="0"/>
            <w:bottom w:val="none" w:sz="0" w:space="0"/>
            <w:right w:val="none" w:sz="0" w:space="0"/>
          </w:pgBorders>
          <w:cols w:space="720" w:num="1"/>
          <w:docGrid w:linePitch="312" w:charSpace="0"/>
        </w:sectPr>
      </w:pPr>
    </w:p>
    <w:p w14:paraId="31FF641D">
      <w:pPr>
        <w:pStyle w:val="27"/>
        <w:spacing w:before="0" w:beforeAutospacing="0" w:after="0" w:afterAutospacing="0" w:line="360" w:lineRule="auto"/>
        <w:jc w:val="center"/>
        <w:outlineLvl w:val="0"/>
        <w:rPr>
          <w:rFonts w:ascii="Times New Roman" w:hAnsi="Times New Roman"/>
          <w:snapToGrid w:val="0"/>
          <w:color w:val="auto"/>
          <w:sz w:val="30"/>
          <w:szCs w:val="30"/>
        </w:rPr>
      </w:pPr>
      <w:bookmarkStart w:id="8" w:name="_Toc11139"/>
      <w:bookmarkStart w:id="9" w:name="_Toc18781"/>
      <w:r>
        <w:rPr>
          <w:rFonts w:hint="eastAsia" w:ascii="黑体" w:hAnsi="黑体" w:eastAsia="黑体" w:cs="黑体"/>
          <w:snapToGrid w:val="0"/>
          <w:color w:val="auto"/>
          <w:sz w:val="32"/>
          <w:szCs w:val="32"/>
        </w:rPr>
        <w:t>五、</w:t>
      </w:r>
      <w:bookmarkStart w:id="10" w:name="_Hlk54167917"/>
      <w:r>
        <w:rPr>
          <w:rFonts w:hint="eastAsia" w:ascii="黑体" w:hAnsi="黑体" w:eastAsia="黑体" w:cs="黑体"/>
          <w:snapToGrid w:val="0"/>
          <w:color w:val="auto"/>
          <w:sz w:val="32"/>
          <w:szCs w:val="32"/>
        </w:rPr>
        <w:t>环境保护措施监督检查清单</w:t>
      </w:r>
      <w:bookmarkEnd w:id="8"/>
      <w:bookmarkEnd w:id="9"/>
      <w:bookmarkEnd w:id="10"/>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440"/>
        <w:gridCol w:w="1639"/>
        <w:gridCol w:w="1811"/>
        <w:gridCol w:w="2666"/>
      </w:tblGrid>
      <w:tr w14:paraId="3705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pct"/>
            <w:noWrap w:val="0"/>
            <w:vAlign w:val="center"/>
          </w:tcPr>
          <w:p w14:paraId="1B8FAB45">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要素</w:t>
            </w:r>
          </w:p>
          <w:p w14:paraId="2EE1E9F3">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内容</w:t>
            </w:r>
          </w:p>
        </w:tc>
        <w:tc>
          <w:tcPr>
            <w:tcW w:w="795" w:type="pct"/>
            <w:noWrap w:val="0"/>
            <w:vAlign w:val="center"/>
          </w:tcPr>
          <w:p w14:paraId="0B61D7D9">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排放源</w:t>
            </w:r>
          </w:p>
          <w:p w14:paraId="5BFF84B5">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（编号）</w:t>
            </w:r>
          </w:p>
        </w:tc>
        <w:tc>
          <w:tcPr>
            <w:tcW w:w="904" w:type="pct"/>
            <w:noWrap w:val="0"/>
            <w:vAlign w:val="center"/>
          </w:tcPr>
          <w:p w14:paraId="23C96B95">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污染物</w:t>
            </w:r>
          </w:p>
          <w:p w14:paraId="2B4BA9C3">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名称</w:t>
            </w:r>
          </w:p>
        </w:tc>
        <w:tc>
          <w:tcPr>
            <w:tcW w:w="999" w:type="pct"/>
            <w:noWrap w:val="0"/>
            <w:vAlign w:val="center"/>
          </w:tcPr>
          <w:p w14:paraId="13B32222">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环境保护措施</w:t>
            </w:r>
          </w:p>
        </w:tc>
        <w:tc>
          <w:tcPr>
            <w:tcW w:w="1471" w:type="pct"/>
            <w:noWrap w:val="0"/>
            <w:vAlign w:val="center"/>
          </w:tcPr>
          <w:p w14:paraId="4A49A0A8">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执行标准</w:t>
            </w:r>
          </w:p>
        </w:tc>
      </w:tr>
      <w:tr w14:paraId="1A40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28" w:type="pct"/>
            <w:vMerge w:val="restart"/>
            <w:noWrap w:val="0"/>
            <w:vAlign w:val="center"/>
          </w:tcPr>
          <w:p w14:paraId="1FB2CFA0">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废气</w:t>
            </w:r>
          </w:p>
        </w:tc>
        <w:tc>
          <w:tcPr>
            <w:tcW w:w="795" w:type="pct"/>
            <w:noWrap w:val="0"/>
            <w:vAlign w:val="center"/>
          </w:tcPr>
          <w:p w14:paraId="747C2CA9">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食堂</w:t>
            </w:r>
          </w:p>
        </w:tc>
        <w:tc>
          <w:tcPr>
            <w:tcW w:w="904" w:type="pct"/>
            <w:noWrap w:val="0"/>
            <w:vAlign w:val="center"/>
          </w:tcPr>
          <w:p w14:paraId="4D246240">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食堂油烟</w:t>
            </w:r>
          </w:p>
        </w:tc>
        <w:tc>
          <w:tcPr>
            <w:tcW w:w="999" w:type="pct"/>
            <w:noWrap w:val="0"/>
            <w:vAlign w:val="center"/>
          </w:tcPr>
          <w:p w14:paraId="7CBDA785">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经油烟净化装置处理后通过专用烟道排放</w:t>
            </w:r>
          </w:p>
        </w:tc>
        <w:tc>
          <w:tcPr>
            <w:tcW w:w="1471" w:type="pct"/>
            <w:noWrap w:val="0"/>
            <w:vAlign w:val="center"/>
          </w:tcPr>
          <w:p w14:paraId="2A5A074F">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排放标准执行《饮食业油烟排放标准》（GB18483-2001）中的标准</w:t>
            </w:r>
          </w:p>
        </w:tc>
      </w:tr>
      <w:tr w14:paraId="2EAD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28" w:type="pct"/>
            <w:vMerge w:val="continue"/>
            <w:noWrap w:val="0"/>
            <w:vAlign w:val="center"/>
          </w:tcPr>
          <w:p w14:paraId="6BD7768A">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p>
        </w:tc>
        <w:tc>
          <w:tcPr>
            <w:tcW w:w="795" w:type="pct"/>
            <w:noWrap w:val="0"/>
            <w:vAlign w:val="center"/>
          </w:tcPr>
          <w:p w14:paraId="36BFBB4C">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污水处理站</w:t>
            </w:r>
          </w:p>
        </w:tc>
        <w:tc>
          <w:tcPr>
            <w:tcW w:w="904" w:type="pct"/>
            <w:noWrap w:val="0"/>
            <w:vAlign w:val="center"/>
          </w:tcPr>
          <w:p w14:paraId="7C693E5D">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氨、硫化氢、臭气浓度</w:t>
            </w:r>
          </w:p>
        </w:tc>
        <w:tc>
          <w:tcPr>
            <w:tcW w:w="999" w:type="pct"/>
            <w:noWrap w:val="0"/>
            <w:vAlign w:val="center"/>
          </w:tcPr>
          <w:p w14:paraId="0FCFCD1C">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捕集后活性炭+水喷淋处理，再通过</w:t>
            </w:r>
            <w:r>
              <w:rPr>
                <w:rFonts w:hint="default" w:ascii="Times New Roman" w:hAnsi="Times New Roman" w:eastAsia="仿宋" w:cs="Times New Roman"/>
                <w:color w:val="auto"/>
                <w:kern w:val="0"/>
                <w:sz w:val="24"/>
                <w:szCs w:val="24"/>
                <w:lang w:val="en-US" w:eastAsia="zh-CN" w:bidi="ar-SA"/>
              </w:rPr>
              <w:t>15m高排气筒排放</w:t>
            </w:r>
          </w:p>
        </w:tc>
        <w:tc>
          <w:tcPr>
            <w:tcW w:w="1471" w:type="pct"/>
            <w:noWrap w:val="0"/>
            <w:vAlign w:val="center"/>
          </w:tcPr>
          <w:p w14:paraId="19F7446F">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排放标准执行《恶臭污染物排放标准》（GB14554-93）表</w:t>
            </w:r>
            <w:r>
              <w:rPr>
                <w:rFonts w:hint="default" w:ascii="Times New Roman" w:hAnsi="Times New Roman" w:eastAsia="仿宋" w:cs="Times New Roman"/>
                <w:color w:val="auto"/>
                <w:kern w:val="0"/>
                <w:sz w:val="24"/>
                <w:szCs w:val="24"/>
                <w:lang w:val="en-US" w:eastAsia="zh-CN" w:bidi="ar-SA"/>
              </w:rPr>
              <w:t>2</w:t>
            </w:r>
            <w:r>
              <w:rPr>
                <w:rFonts w:hint="eastAsia" w:ascii="Times New Roman" w:hAnsi="Times New Roman" w:eastAsia="仿宋" w:cs="Times New Roman"/>
                <w:color w:val="auto"/>
                <w:kern w:val="0"/>
                <w:sz w:val="24"/>
                <w:szCs w:val="24"/>
                <w:lang w:val="en-US" w:eastAsia="zh-CN" w:bidi="ar-SA"/>
              </w:rPr>
              <w:t>中标准</w:t>
            </w:r>
          </w:p>
        </w:tc>
      </w:tr>
      <w:tr w14:paraId="264A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28" w:type="pct"/>
            <w:vMerge w:val="restart"/>
            <w:noWrap w:val="0"/>
            <w:vAlign w:val="center"/>
          </w:tcPr>
          <w:p w14:paraId="63266E93">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废水</w:t>
            </w:r>
          </w:p>
        </w:tc>
        <w:tc>
          <w:tcPr>
            <w:tcW w:w="795" w:type="pct"/>
            <w:noWrap w:val="0"/>
            <w:vAlign w:val="center"/>
          </w:tcPr>
          <w:p w14:paraId="5C66B4A9">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生活污水</w:t>
            </w:r>
          </w:p>
        </w:tc>
        <w:tc>
          <w:tcPr>
            <w:tcW w:w="904" w:type="pct"/>
            <w:noWrap w:val="0"/>
            <w:vAlign w:val="center"/>
          </w:tcPr>
          <w:p w14:paraId="5B782A06">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COD、</w:t>
            </w:r>
            <w:r>
              <w:rPr>
                <w:rFonts w:hint="default" w:ascii="Times New Roman" w:hAnsi="Times New Roman" w:eastAsia="仿宋" w:cs="Times New Roman"/>
                <w:color w:val="auto"/>
                <w:kern w:val="0"/>
                <w:sz w:val="24"/>
                <w:szCs w:val="24"/>
                <w:lang w:val="en-US" w:eastAsia="zh-CN" w:bidi="ar-SA"/>
              </w:rPr>
              <w:t>SS</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NH</w:t>
            </w:r>
            <w:r>
              <w:rPr>
                <w:rFonts w:hint="default" w:ascii="Times New Roman" w:hAnsi="Times New Roman" w:eastAsia="仿宋" w:cs="Times New Roman"/>
                <w:color w:val="auto"/>
                <w:kern w:val="0"/>
                <w:sz w:val="24"/>
                <w:szCs w:val="24"/>
                <w:vertAlign w:val="subscript"/>
                <w:lang w:val="en-US" w:eastAsia="zh-CN" w:bidi="ar-SA"/>
              </w:rPr>
              <w:t>3</w:t>
            </w:r>
            <w:r>
              <w:rPr>
                <w:rFonts w:hint="default" w:ascii="Times New Roman" w:hAnsi="Times New Roman" w:eastAsia="仿宋" w:cs="Times New Roman"/>
                <w:color w:val="auto"/>
                <w:kern w:val="0"/>
                <w:sz w:val="24"/>
                <w:szCs w:val="24"/>
                <w:lang w:val="en-US" w:eastAsia="zh-CN" w:bidi="ar-SA"/>
              </w:rPr>
              <w:t>-N</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TN</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TP</w:t>
            </w:r>
            <w:r>
              <w:rPr>
                <w:rFonts w:hint="eastAsia" w:ascii="Times New Roman" w:hAnsi="Times New Roman" w:eastAsia="仿宋" w:cs="Times New Roman"/>
                <w:color w:val="auto"/>
                <w:kern w:val="0"/>
                <w:sz w:val="24"/>
                <w:szCs w:val="24"/>
                <w:lang w:val="en-US" w:eastAsia="zh-CN" w:bidi="ar-SA"/>
              </w:rPr>
              <w:t>、动植物油</w:t>
            </w:r>
          </w:p>
        </w:tc>
        <w:tc>
          <w:tcPr>
            <w:tcW w:w="999" w:type="pct"/>
            <w:vMerge w:val="restart"/>
            <w:noWrap w:val="0"/>
            <w:vAlign w:val="center"/>
          </w:tcPr>
          <w:p w14:paraId="7E13566F">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经院内污水处理设施预处理后接入市政污水管网后排入金坛第一污水处理厂进行处理，处理达标后尾水最终排入丹金溧漕河</w:t>
            </w:r>
          </w:p>
        </w:tc>
        <w:tc>
          <w:tcPr>
            <w:tcW w:w="1471" w:type="pct"/>
            <w:vMerge w:val="restart"/>
            <w:noWrap w:val="0"/>
            <w:vAlign w:val="center"/>
          </w:tcPr>
          <w:p w14:paraId="28030EFA">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pH、</w:t>
            </w:r>
            <w:r>
              <w:rPr>
                <w:rFonts w:hint="default" w:ascii="Times New Roman" w:hAnsi="Times New Roman" w:eastAsia="仿宋" w:cs="Times New Roman"/>
                <w:color w:val="auto"/>
                <w:kern w:val="0"/>
                <w:sz w:val="24"/>
                <w:szCs w:val="24"/>
                <w:lang w:val="en-US" w:eastAsia="zh-CN" w:bidi="ar-SA"/>
              </w:rPr>
              <w:t>COD</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SS</w:t>
            </w:r>
            <w:r>
              <w:rPr>
                <w:rFonts w:hint="eastAsia" w:ascii="Times New Roman" w:hAnsi="Times New Roman" w:eastAsia="仿宋" w:cs="Times New Roman"/>
                <w:color w:val="auto"/>
                <w:kern w:val="0"/>
                <w:sz w:val="24"/>
                <w:szCs w:val="24"/>
                <w:lang w:val="en-US" w:eastAsia="zh-CN" w:bidi="ar-SA"/>
              </w:rPr>
              <w:t>、动植物油、粪大肠菌群数、总余氯执行《医疗机构水污染物排放标准》（</w:t>
            </w:r>
            <w:r>
              <w:rPr>
                <w:rFonts w:hint="default" w:ascii="Times New Roman" w:hAnsi="Times New Roman" w:eastAsia="仿宋" w:cs="Times New Roman"/>
                <w:color w:val="auto"/>
                <w:kern w:val="0"/>
                <w:sz w:val="24"/>
                <w:szCs w:val="24"/>
                <w:lang w:val="en-US" w:eastAsia="zh-CN" w:bidi="ar-SA"/>
              </w:rPr>
              <w:t>GB18466-2005</w:t>
            </w:r>
            <w:r>
              <w:rPr>
                <w:rFonts w:hint="eastAsia" w:ascii="Times New Roman" w:hAnsi="Times New Roman" w:eastAsia="仿宋" w:cs="Times New Roman"/>
                <w:color w:val="auto"/>
                <w:kern w:val="0"/>
                <w:sz w:val="24"/>
                <w:szCs w:val="24"/>
                <w:lang w:val="en-US" w:eastAsia="zh-CN" w:bidi="ar-SA"/>
              </w:rPr>
              <w:t>）表</w:t>
            </w:r>
            <w:r>
              <w:rPr>
                <w:rFonts w:hint="default" w:ascii="Times New Roman" w:hAnsi="Times New Roman" w:eastAsia="仿宋" w:cs="Times New Roman"/>
                <w:color w:val="auto"/>
                <w:kern w:val="0"/>
                <w:sz w:val="24"/>
                <w:szCs w:val="24"/>
                <w:lang w:val="en-US" w:eastAsia="zh-CN" w:bidi="ar-SA"/>
              </w:rPr>
              <w:t>2</w:t>
            </w:r>
            <w:r>
              <w:rPr>
                <w:rFonts w:hint="eastAsia" w:ascii="Times New Roman" w:hAnsi="Times New Roman" w:eastAsia="仿宋" w:cs="Times New Roman"/>
                <w:color w:val="auto"/>
                <w:kern w:val="0"/>
                <w:sz w:val="24"/>
                <w:szCs w:val="24"/>
                <w:lang w:val="en-US" w:eastAsia="zh-CN" w:bidi="ar-SA"/>
              </w:rPr>
              <w:t>中综合性医疗机构预处理标准，总氮、总磷、氨氮执行《污水排入城镇下水道水质标准》（</w:t>
            </w:r>
            <w:r>
              <w:rPr>
                <w:rFonts w:hint="default" w:ascii="Times New Roman" w:hAnsi="Times New Roman" w:eastAsia="仿宋" w:cs="Times New Roman"/>
                <w:color w:val="auto"/>
                <w:kern w:val="0"/>
                <w:sz w:val="24"/>
                <w:szCs w:val="24"/>
                <w:lang w:val="en-US" w:eastAsia="zh-CN" w:bidi="ar-SA"/>
              </w:rPr>
              <w:t>GB/T31962-2015</w:t>
            </w:r>
            <w:r>
              <w:rPr>
                <w:rFonts w:hint="eastAsia" w:ascii="Times New Roman" w:hAnsi="Times New Roman" w:eastAsia="仿宋" w:cs="Times New Roman"/>
                <w:color w:val="auto"/>
                <w:kern w:val="0"/>
                <w:sz w:val="24"/>
                <w:szCs w:val="24"/>
                <w:lang w:val="en-US" w:eastAsia="zh-CN" w:bidi="ar-SA"/>
              </w:rPr>
              <w:t>）表</w:t>
            </w:r>
            <w:r>
              <w:rPr>
                <w:rFonts w:hint="default" w:ascii="Times New Roman" w:hAnsi="Times New Roman" w:eastAsia="仿宋" w:cs="Times New Roman"/>
                <w:color w:val="auto"/>
                <w:kern w:val="0"/>
                <w:sz w:val="24"/>
                <w:szCs w:val="24"/>
                <w:lang w:val="en-US" w:eastAsia="zh-CN" w:bidi="ar-SA"/>
              </w:rPr>
              <w:t>1</w:t>
            </w:r>
            <w:r>
              <w:rPr>
                <w:rFonts w:hint="eastAsia" w:ascii="Times New Roman" w:hAnsi="Times New Roman" w:eastAsia="仿宋" w:cs="Times New Roman"/>
                <w:color w:val="auto"/>
                <w:kern w:val="0"/>
                <w:sz w:val="24"/>
                <w:szCs w:val="24"/>
                <w:lang w:val="en-US" w:eastAsia="zh-CN" w:bidi="ar-SA"/>
              </w:rPr>
              <w:t>中</w:t>
            </w:r>
            <w:r>
              <w:rPr>
                <w:rFonts w:hint="default" w:ascii="Times New Roman" w:hAnsi="Times New Roman" w:eastAsia="仿宋" w:cs="Times New Roman"/>
                <w:color w:val="auto"/>
                <w:kern w:val="0"/>
                <w:sz w:val="24"/>
                <w:szCs w:val="24"/>
                <w:lang w:val="en-US" w:eastAsia="zh-CN" w:bidi="ar-SA"/>
              </w:rPr>
              <w:t>B</w:t>
            </w:r>
            <w:r>
              <w:rPr>
                <w:rFonts w:hint="eastAsia" w:ascii="Times New Roman" w:hAnsi="Times New Roman" w:eastAsia="仿宋" w:cs="Times New Roman"/>
                <w:color w:val="auto"/>
                <w:kern w:val="0"/>
                <w:sz w:val="24"/>
                <w:szCs w:val="24"/>
                <w:lang w:val="en-US" w:eastAsia="zh-CN" w:bidi="ar-SA"/>
              </w:rPr>
              <w:t>级标准</w:t>
            </w:r>
          </w:p>
        </w:tc>
      </w:tr>
      <w:tr w14:paraId="5146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28" w:type="pct"/>
            <w:vMerge w:val="continue"/>
            <w:noWrap w:val="0"/>
            <w:vAlign w:val="center"/>
          </w:tcPr>
          <w:p w14:paraId="7B300970">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p>
        </w:tc>
        <w:tc>
          <w:tcPr>
            <w:tcW w:w="795" w:type="pct"/>
            <w:noWrap w:val="0"/>
            <w:vAlign w:val="center"/>
          </w:tcPr>
          <w:p w14:paraId="33635E73">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医疗废水</w:t>
            </w:r>
          </w:p>
        </w:tc>
        <w:tc>
          <w:tcPr>
            <w:tcW w:w="904" w:type="pct"/>
            <w:noWrap w:val="0"/>
            <w:vAlign w:val="center"/>
          </w:tcPr>
          <w:p w14:paraId="7A98FAD4">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pH、</w:t>
            </w:r>
            <w:r>
              <w:rPr>
                <w:rFonts w:hint="default" w:ascii="Times New Roman" w:hAnsi="Times New Roman" w:eastAsia="仿宋" w:cs="Times New Roman"/>
                <w:color w:val="auto"/>
                <w:kern w:val="0"/>
                <w:sz w:val="24"/>
                <w:szCs w:val="24"/>
                <w:lang w:val="en-US" w:eastAsia="zh-CN" w:bidi="ar-SA"/>
              </w:rPr>
              <w:t>COD</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SS</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NH</w:t>
            </w:r>
            <w:r>
              <w:rPr>
                <w:rFonts w:hint="default" w:ascii="Times New Roman" w:hAnsi="Times New Roman" w:eastAsia="仿宋" w:cs="Times New Roman"/>
                <w:color w:val="auto"/>
                <w:kern w:val="0"/>
                <w:sz w:val="24"/>
                <w:szCs w:val="24"/>
                <w:vertAlign w:val="subscript"/>
                <w:lang w:val="en-US" w:eastAsia="zh-CN" w:bidi="ar-SA"/>
              </w:rPr>
              <w:t>3</w:t>
            </w:r>
            <w:r>
              <w:rPr>
                <w:rFonts w:hint="default" w:ascii="Times New Roman" w:hAnsi="Times New Roman" w:eastAsia="仿宋" w:cs="Times New Roman"/>
                <w:color w:val="auto"/>
                <w:kern w:val="0"/>
                <w:sz w:val="24"/>
                <w:szCs w:val="24"/>
                <w:lang w:val="en-US" w:eastAsia="zh-CN" w:bidi="ar-SA"/>
              </w:rPr>
              <w:t>-N</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TN</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TP</w:t>
            </w:r>
            <w:r>
              <w:rPr>
                <w:rFonts w:hint="eastAsia" w:ascii="Times New Roman" w:hAnsi="Times New Roman" w:eastAsia="仿宋" w:cs="Times New Roman"/>
                <w:color w:val="auto"/>
                <w:kern w:val="0"/>
                <w:sz w:val="24"/>
                <w:szCs w:val="24"/>
                <w:lang w:val="en-US" w:eastAsia="zh-CN" w:bidi="ar-SA"/>
              </w:rPr>
              <w:t>、动植物油、粪大肠菌群数、总余氯</w:t>
            </w:r>
          </w:p>
        </w:tc>
        <w:tc>
          <w:tcPr>
            <w:tcW w:w="999" w:type="pct"/>
            <w:vMerge w:val="continue"/>
            <w:noWrap w:val="0"/>
            <w:vAlign w:val="center"/>
          </w:tcPr>
          <w:p w14:paraId="2B3953AA">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color w:val="auto"/>
                <w:kern w:val="0"/>
                <w:sz w:val="24"/>
                <w:szCs w:val="24"/>
                <w:lang w:val="en-US" w:eastAsia="zh-CN" w:bidi="ar-SA"/>
              </w:rPr>
            </w:pPr>
          </w:p>
        </w:tc>
        <w:tc>
          <w:tcPr>
            <w:tcW w:w="1471" w:type="pct"/>
            <w:vMerge w:val="continue"/>
            <w:noWrap w:val="0"/>
            <w:vAlign w:val="center"/>
          </w:tcPr>
          <w:p w14:paraId="0E409C5F">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p>
        </w:tc>
      </w:tr>
      <w:tr w14:paraId="61C1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828" w:type="pct"/>
            <w:vMerge w:val="restart"/>
            <w:noWrap w:val="0"/>
            <w:vAlign w:val="center"/>
          </w:tcPr>
          <w:p w14:paraId="3DC8E20C">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固体废物</w:t>
            </w:r>
          </w:p>
        </w:tc>
        <w:tc>
          <w:tcPr>
            <w:tcW w:w="795" w:type="pct"/>
            <w:noWrap w:val="0"/>
            <w:vAlign w:val="center"/>
          </w:tcPr>
          <w:p w14:paraId="5984E17D">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一般固废</w:t>
            </w:r>
          </w:p>
        </w:tc>
        <w:tc>
          <w:tcPr>
            <w:tcW w:w="904" w:type="pct"/>
            <w:noWrap w:val="0"/>
            <w:vAlign w:val="center"/>
          </w:tcPr>
          <w:p w14:paraId="45467121">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生活垃圾</w:t>
            </w:r>
          </w:p>
        </w:tc>
        <w:tc>
          <w:tcPr>
            <w:tcW w:w="999" w:type="pct"/>
            <w:noWrap w:val="0"/>
            <w:vAlign w:val="center"/>
          </w:tcPr>
          <w:p w14:paraId="34CAC19E">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由环卫部门清运处理</w:t>
            </w:r>
          </w:p>
        </w:tc>
        <w:tc>
          <w:tcPr>
            <w:tcW w:w="1471" w:type="pct"/>
            <w:vMerge w:val="restart"/>
            <w:noWrap w:val="0"/>
            <w:vAlign w:val="center"/>
          </w:tcPr>
          <w:p w14:paraId="386FD4D3">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零排放，处置率100%</w:t>
            </w:r>
          </w:p>
        </w:tc>
      </w:tr>
      <w:tr w14:paraId="2B7C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828" w:type="pct"/>
            <w:vMerge w:val="continue"/>
            <w:noWrap w:val="0"/>
            <w:vAlign w:val="center"/>
          </w:tcPr>
          <w:p w14:paraId="5EE18AFC">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p>
        </w:tc>
        <w:tc>
          <w:tcPr>
            <w:tcW w:w="795" w:type="pct"/>
            <w:vMerge w:val="restart"/>
            <w:noWrap w:val="0"/>
            <w:vAlign w:val="center"/>
          </w:tcPr>
          <w:p w14:paraId="0F47A871">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危险固废</w:t>
            </w:r>
          </w:p>
        </w:tc>
        <w:tc>
          <w:tcPr>
            <w:tcW w:w="904" w:type="pct"/>
            <w:noWrap w:val="0"/>
            <w:vAlign w:val="center"/>
          </w:tcPr>
          <w:p w14:paraId="68495EB2">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医疗废物</w:t>
            </w:r>
          </w:p>
        </w:tc>
        <w:tc>
          <w:tcPr>
            <w:tcW w:w="999" w:type="pct"/>
            <w:vMerge w:val="restart"/>
            <w:noWrap w:val="0"/>
            <w:vAlign w:val="center"/>
          </w:tcPr>
          <w:p w14:paraId="7526BA71">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由有资质单位处置</w:t>
            </w:r>
          </w:p>
        </w:tc>
        <w:tc>
          <w:tcPr>
            <w:tcW w:w="1471" w:type="pct"/>
            <w:vMerge w:val="continue"/>
            <w:noWrap w:val="0"/>
            <w:vAlign w:val="center"/>
          </w:tcPr>
          <w:p w14:paraId="35FEFBF3">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p>
        </w:tc>
      </w:tr>
      <w:tr w14:paraId="46EA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828" w:type="pct"/>
            <w:vMerge w:val="continue"/>
            <w:noWrap w:val="0"/>
            <w:vAlign w:val="center"/>
          </w:tcPr>
          <w:p w14:paraId="226953AF">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p>
        </w:tc>
        <w:tc>
          <w:tcPr>
            <w:tcW w:w="795" w:type="pct"/>
            <w:vMerge w:val="continue"/>
            <w:noWrap w:val="0"/>
            <w:vAlign w:val="center"/>
          </w:tcPr>
          <w:p w14:paraId="6845A8D4">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p>
        </w:tc>
        <w:tc>
          <w:tcPr>
            <w:tcW w:w="904" w:type="pct"/>
            <w:noWrap w:val="0"/>
            <w:vAlign w:val="center"/>
          </w:tcPr>
          <w:p w14:paraId="4327D615">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污泥</w:t>
            </w:r>
          </w:p>
        </w:tc>
        <w:tc>
          <w:tcPr>
            <w:tcW w:w="999" w:type="pct"/>
            <w:vMerge w:val="continue"/>
            <w:noWrap w:val="0"/>
            <w:vAlign w:val="center"/>
          </w:tcPr>
          <w:p w14:paraId="36FC95BC">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p>
        </w:tc>
        <w:tc>
          <w:tcPr>
            <w:tcW w:w="1471" w:type="pct"/>
            <w:vMerge w:val="continue"/>
            <w:noWrap w:val="0"/>
            <w:vAlign w:val="center"/>
          </w:tcPr>
          <w:p w14:paraId="1198D381">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p>
        </w:tc>
      </w:tr>
      <w:tr w14:paraId="79FD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828" w:type="pct"/>
            <w:vMerge w:val="continue"/>
            <w:noWrap w:val="0"/>
            <w:vAlign w:val="center"/>
          </w:tcPr>
          <w:p w14:paraId="079A1282">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p>
        </w:tc>
        <w:tc>
          <w:tcPr>
            <w:tcW w:w="795" w:type="pct"/>
            <w:vMerge w:val="continue"/>
            <w:noWrap w:val="0"/>
            <w:vAlign w:val="center"/>
          </w:tcPr>
          <w:p w14:paraId="3660EC70">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p>
        </w:tc>
        <w:tc>
          <w:tcPr>
            <w:tcW w:w="904" w:type="pct"/>
            <w:noWrap w:val="0"/>
            <w:vAlign w:val="center"/>
          </w:tcPr>
          <w:p w14:paraId="1EE16B75">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废喷淋液</w:t>
            </w:r>
          </w:p>
        </w:tc>
        <w:tc>
          <w:tcPr>
            <w:tcW w:w="999" w:type="pct"/>
            <w:vMerge w:val="continue"/>
            <w:noWrap w:val="0"/>
            <w:vAlign w:val="center"/>
          </w:tcPr>
          <w:p w14:paraId="608B780F">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p>
        </w:tc>
        <w:tc>
          <w:tcPr>
            <w:tcW w:w="1471" w:type="pct"/>
            <w:vMerge w:val="continue"/>
            <w:noWrap w:val="0"/>
            <w:vAlign w:val="center"/>
          </w:tcPr>
          <w:p w14:paraId="7ED4640D">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p>
        </w:tc>
      </w:tr>
      <w:tr w14:paraId="05A9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828" w:type="pct"/>
            <w:vMerge w:val="continue"/>
            <w:noWrap w:val="0"/>
            <w:vAlign w:val="center"/>
          </w:tcPr>
          <w:p w14:paraId="0BD11DD6">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p>
        </w:tc>
        <w:tc>
          <w:tcPr>
            <w:tcW w:w="795" w:type="pct"/>
            <w:vMerge w:val="continue"/>
            <w:noWrap w:val="0"/>
            <w:vAlign w:val="center"/>
          </w:tcPr>
          <w:p w14:paraId="45657E8B">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p>
        </w:tc>
        <w:tc>
          <w:tcPr>
            <w:tcW w:w="904" w:type="pct"/>
            <w:noWrap w:val="0"/>
            <w:vAlign w:val="center"/>
          </w:tcPr>
          <w:p w14:paraId="5CFA36A2">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废活性炭</w:t>
            </w:r>
          </w:p>
        </w:tc>
        <w:tc>
          <w:tcPr>
            <w:tcW w:w="999" w:type="pct"/>
            <w:vMerge w:val="continue"/>
            <w:noWrap w:val="0"/>
            <w:vAlign w:val="center"/>
          </w:tcPr>
          <w:p w14:paraId="6AC4B8AC">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p>
        </w:tc>
        <w:tc>
          <w:tcPr>
            <w:tcW w:w="1471" w:type="pct"/>
            <w:vMerge w:val="continue"/>
            <w:noWrap w:val="0"/>
            <w:vAlign w:val="center"/>
          </w:tcPr>
          <w:p w14:paraId="0B8D6A84">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p>
        </w:tc>
      </w:tr>
      <w:tr w14:paraId="37A1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28" w:type="pct"/>
            <w:noWrap w:val="0"/>
            <w:vAlign w:val="center"/>
          </w:tcPr>
          <w:p w14:paraId="0D54D811">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噪声</w:t>
            </w:r>
          </w:p>
        </w:tc>
        <w:tc>
          <w:tcPr>
            <w:tcW w:w="795" w:type="pct"/>
            <w:noWrap w:val="0"/>
            <w:vAlign w:val="center"/>
          </w:tcPr>
          <w:p w14:paraId="343C3F9C">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风机、水泵等</w:t>
            </w:r>
          </w:p>
        </w:tc>
        <w:tc>
          <w:tcPr>
            <w:tcW w:w="904" w:type="pct"/>
            <w:noWrap w:val="0"/>
            <w:vAlign w:val="center"/>
          </w:tcPr>
          <w:p w14:paraId="533AA19A">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等效A声级</w:t>
            </w:r>
          </w:p>
        </w:tc>
        <w:tc>
          <w:tcPr>
            <w:tcW w:w="999" w:type="pct"/>
            <w:noWrap w:val="0"/>
            <w:vAlign w:val="center"/>
          </w:tcPr>
          <w:p w14:paraId="49A20EF8">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选用低噪声设备，利用实体墙隔声、合理平面布局、减振隔声、距离衰减</w:t>
            </w:r>
          </w:p>
        </w:tc>
        <w:tc>
          <w:tcPr>
            <w:tcW w:w="1471" w:type="pct"/>
            <w:noWrap w:val="0"/>
            <w:vAlign w:val="center"/>
          </w:tcPr>
          <w:p w14:paraId="1FBB46EE">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《工业企业厂界环境噪声排放标准》（GB12348-2008）表1中4类标准</w:t>
            </w:r>
          </w:p>
        </w:tc>
      </w:tr>
      <w:tr w14:paraId="52AF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pct"/>
            <w:noWrap w:val="0"/>
            <w:vAlign w:val="center"/>
          </w:tcPr>
          <w:p w14:paraId="197BB468">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土壤及地下水污染防治措施</w:t>
            </w:r>
          </w:p>
        </w:tc>
        <w:tc>
          <w:tcPr>
            <w:tcW w:w="4171" w:type="pct"/>
            <w:gridSpan w:val="4"/>
            <w:noWrap w:val="0"/>
            <w:vAlign w:val="center"/>
          </w:tcPr>
          <w:p w14:paraId="535D2344">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（1）源头控制：使用先进工艺，良好的管道、设备和污水储存设施，尽可能从源头上减少污染物产生；</w:t>
            </w:r>
          </w:p>
          <w:p w14:paraId="19272646">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（2）分区防渗：对危废暂存间、污水处理站</w:t>
            </w:r>
            <w:r>
              <w:rPr>
                <w:rFonts w:hint="eastAsia" w:ascii="Times New Roman" w:hAnsi="Times New Roman" w:eastAsia="仿宋" w:cs="Times New Roman"/>
                <w:color w:val="auto"/>
                <w:kern w:val="0"/>
                <w:sz w:val="24"/>
                <w:szCs w:val="24"/>
                <w:lang w:val="en-US" w:eastAsia="zh-CN" w:bidi="ar-SA"/>
              </w:rPr>
              <w:t>进行重点防渗；</w:t>
            </w:r>
            <w:r>
              <w:rPr>
                <w:rFonts w:hint="default" w:ascii="Times New Roman" w:hAnsi="Times New Roman" w:eastAsia="仿宋" w:cs="Times New Roman"/>
                <w:color w:val="auto"/>
                <w:kern w:val="0"/>
                <w:sz w:val="24"/>
                <w:szCs w:val="24"/>
                <w:lang w:val="en-US" w:eastAsia="zh-CN" w:bidi="ar-SA"/>
              </w:rPr>
              <w:t>对办公楼进行简单防渗处理。</w:t>
            </w:r>
          </w:p>
        </w:tc>
      </w:tr>
      <w:tr w14:paraId="635D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28" w:type="pct"/>
            <w:noWrap w:val="0"/>
            <w:vAlign w:val="center"/>
          </w:tcPr>
          <w:p w14:paraId="4208FC75">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生态保护措施</w:t>
            </w:r>
          </w:p>
        </w:tc>
        <w:tc>
          <w:tcPr>
            <w:tcW w:w="4171" w:type="pct"/>
            <w:gridSpan w:val="4"/>
            <w:noWrap w:val="0"/>
            <w:vAlign w:val="center"/>
          </w:tcPr>
          <w:p w14:paraId="4A648C63">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w:t>
            </w:r>
          </w:p>
        </w:tc>
      </w:tr>
      <w:tr w14:paraId="7836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28" w:type="pct"/>
            <w:noWrap w:val="0"/>
            <w:vAlign w:val="center"/>
          </w:tcPr>
          <w:p w14:paraId="563ABB79">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环境风险防范措施</w:t>
            </w:r>
          </w:p>
        </w:tc>
        <w:tc>
          <w:tcPr>
            <w:tcW w:w="4171" w:type="pct"/>
            <w:gridSpan w:val="4"/>
            <w:noWrap w:val="0"/>
            <w:vAlign w:val="center"/>
          </w:tcPr>
          <w:p w14:paraId="7717AA90">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根据本项目识别可能的影响途径，本项目提出了大气环境风险防范措施、水污染风险防范措施、地下水风险防范措施等。加强管理；定期进行安全演练，定期检修设备；制定环境突发事故应急预案</w:t>
            </w:r>
            <w:r>
              <w:rPr>
                <w:rFonts w:hint="eastAsia" w:ascii="Times New Roman" w:hAnsi="Times New Roman" w:eastAsia="仿宋" w:cs="Times New Roman"/>
                <w:color w:val="auto"/>
                <w:kern w:val="0"/>
                <w:sz w:val="24"/>
                <w:szCs w:val="24"/>
                <w:lang w:val="en-US" w:eastAsia="zh-CN" w:bidi="ar-SA"/>
              </w:rPr>
              <w:t>。</w:t>
            </w:r>
          </w:p>
        </w:tc>
      </w:tr>
      <w:tr w14:paraId="3B73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28" w:type="pct"/>
            <w:noWrap w:val="0"/>
            <w:vAlign w:val="center"/>
          </w:tcPr>
          <w:p w14:paraId="1DABB1E2">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其他管理要求</w:t>
            </w:r>
          </w:p>
        </w:tc>
        <w:tc>
          <w:tcPr>
            <w:tcW w:w="4171" w:type="pct"/>
            <w:gridSpan w:val="4"/>
            <w:noWrap w:val="0"/>
            <w:vAlign w:val="center"/>
          </w:tcPr>
          <w:p w14:paraId="0E1CB147">
            <w:pPr>
              <w:pStyle w:val="13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根据《排污单位自行监测技术指南总则》、《排污许可证申请与核发技术规范医疗机构》（HJ1105-2020）可知</w:t>
            </w:r>
            <w:r>
              <w:rPr>
                <w:rFonts w:hint="default" w:ascii="Times New Roman" w:hAnsi="Times New Roman" w:eastAsia="仿宋" w:cs="Times New Roman"/>
                <w:color w:val="auto"/>
                <w:kern w:val="0"/>
                <w:sz w:val="24"/>
                <w:szCs w:val="24"/>
                <w:lang w:val="en-US" w:eastAsia="zh-CN" w:bidi="ar-SA"/>
              </w:rPr>
              <w:t>，建立环境管理台账制度，落实环境管理台账记录满足环境管理要求；定期提交排污许可执行报告，保证执行报告的规范性和真实性；同时，衔接好排污许可工作，制定自行监测计划、环保竣工验收安排等</w:t>
            </w:r>
            <w:r>
              <w:rPr>
                <w:rFonts w:hint="eastAsia" w:ascii="Times New Roman" w:hAnsi="Times New Roman" w:eastAsia="仿宋" w:cs="Times New Roman"/>
                <w:color w:val="auto"/>
                <w:kern w:val="0"/>
                <w:sz w:val="24"/>
                <w:szCs w:val="24"/>
                <w:lang w:val="en-US" w:eastAsia="zh-CN" w:bidi="ar-SA"/>
              </w:rPr>
              <w:t>。</w:t>
            </w:r>
          </w:p>
        </w:tc>
      </w:tr>
    </w:tbl>
    <w:p w14:paraId="5A1FDE6D">
      <w:pPr>
        <w:pStyle w:val="27"/>
        <w:spacing w:before="0" w:beforeAutospacing="0" w:after="0" w:afterAutospacing="0" w:line="360" w:lineRule="auto"/>
        <w:jc w:val="center"/>
        <w:outlineLvl w:val="0"/>
        <w:rPr>
          <w:rFonts w:ascii="黑体" w:hAnsi="黑体" w:eastAsia="黑体" w:cs="黑体"/>
          <w:snapToGrid w:val="0"/>
          <w:color w:val="auto"/>
          <w:sz w:val="32"/>
          <w:szCs w:val="32"/>
        </w:rPr>
      </w:pPr>
      <w:r>
        <w:rPr>
          <w:rFonts w:hint="default" w:ascii="Times New Roman" w:hAnsi="Times New Roman" w:cs="Times New Roman"/>
          <w:color w:val="FF0000"/>
        </w:rPr>
        <w:br w:type="page"/>
      </w:r>
      <w:bookmarkStart w:id="11" w:name="_Toc600"/>
      <w:bookmarkStart w:id="12" w:name="_Toc30429"/>
      <w:r>
        <w:rPr>
          <w:rFonts w:hint="eastAsia" w:ascii="黑体" w:hAnsi="黑体" w:eastAsia="黑体" w:cs="黑体"/>
          <w:snapToGrid w:val="0"/>
          <w:color w:val="auto"/>
          <w:sz w:val="32"/>
          <w:szCs w:val="32"/>
        </w:rPr>
        <w:t>六、结论</w:t>
      </w:r>
      <w:bookmarkEnd w:id="11"/>
      <w:bookmarkEnd w:id="12"/>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9905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7590F622">
            <w:pPr>
              <w:pStyle w:val="138"/>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项目符合《建设项目环境保护管理条例》（2017 修订版）的相关要求，符合国家及地方有关产业政策、法律法规；本项目符合城市总体规划及用地规划要求，选址较合理；本项目采取各项污染防治措施后污染物实现达标排放，所在地的现有环境功能不下降；本项目建成后排放的各类污染物可以在区域内实现平衡；在做好各项风险防范及应急措施的前提下本项目的环境风险在可接受水平内；本项目符合环境保护法律法规和相关要求。</w:t>
            </w:r>
          </w:p>
          <w:p w14:paraId="38645D50">
            <w:pPr>
              <w:pStyle w:val="138"/>
            </w:pPr>
            <w:r>
              <w:rPr>
                <w:rFonts w:hint="eastAsia" w:ascii="Times New Roman" w:hAnsi="Times New Roman" w:eastAsia="仿宋" w:cs="Times New Roman"/>
                <w:color w:val="auto"/>
                <w:kern w:val="0"/>
                <w:sz w:val="24"/>
                <w:szCs w:val="24"/>
                <w:lang w:val="en-US" w:eastAsia="zh-CN" w:bidi="ar-SA"/>
              </w:rPr>
              <w:t>因此，落实本报告表提出的各项环保措施要求、严格执行环保“三同时”的前提下，从环保角度分析，本项目建设具有环境可行性。</w:t>
            </w:r>
          </w:p>
        </w:tc>
      </w:tr>
    </w:tbl>
    <w:p w14:paraId="19F87E08">
      <w:pPr>
        <w:rPr>
          <w:rFonts w:hint="default" w:ascii="Times New Roman" w:hAnsi="Times New Roman" w:cs="Times New Roman"/>
          <w:color w:val="FF0000"/>
        </w:rPr>
      </w:pPr>
    </w:p>
    <w:p w14:paraId="324B70E8">
      <w:pPr>
        <w:rPr>
          <w:rFonts w:hint="default" w:ascii="Times New Roman" w:hAnsi="Times New Roman" w:cs="Times New Roman"/>
          <w:color w:val="FF0000"/>
        </w:rPr>
      </w:pPr>
    </w:p>
    <w:p w14:paraId="718E58E5">
      <w:pPr>
        <w:rPr>
          <w:rFonts w:hint="default" w:ascii="Times New Roman" w:hAnsi="Times New Roman" w:cs="Times New Roman"/>
          <w:color w:val="FF0000"/>
        </w:rPr>
        <w:sectPr>
          <w:pgSz w:w="11906" w:h="16838"/>
          <w:pgMar w:top="1701" w:right="1531" w:bottom="1701" w:left="1531" w:header="851" w:footer="1322" w:gutter="0"/>
          <w:pgBorders>
            <w:top w:val="none" w:sz="0" w:space="0"/>
            <w:left w:val="none" w:sz="0" w:space="0"/>
            <w:bottom w:val="none" w:sz="0" w:space="0"/>
            <w:right w:val="none" w:sz="0" w:space="0"/>
          </w:pgBorders>
          <w:cols w:space="720" w:num="1"/>
          <w:docGrid w:linePitch="312" w:charSpace="0"/>
        </w:sectPr>
      </w:pPr>
    </w:p>
    <w:p w14:paraId="1849A42C">
      <w:pPr>
        <w:pStyle w:val="27"/>
        <w:adjustRightInd w:val="0"/>
        <w:snapToGrid w:val="0"/>
        <w:spacing w:before="0" w:beforeAutospacing="0" w:after="0" w:afterAutospacing="0" w:line="552" w:lineRule="auto"/>
        <w:outlineLvl w:val="0"/>
        <w:rPr>
          <w:rFonts w:hint="default" w:ascii="Times New Roman" w:hAnsi="Times New Roman" w:eastAsia="仿宋" w:cs="Times New Roman"/>
          <w:b/>
          <w:bCs/>
          <w:snapToGrid w:val="0"/>
          <w:color w:val="auto"/>
          <w:sz w:val="21"/>
          <w:szCs w:val="21"/>
          <w:highlight w:val="none"/>
        </w:rPr>
      </w:pPr>
      <w:bookmarkStart w:id="13" w:name="_Toc11677"/>
      <w:r>
        <w:rPr>
          <w:rFonts w:hint="default" w:ascii="Times New Roman" w:hAnsi="Times New Roman" w:eastAsia="仿宋" w:cs="Times New Roman"/>
          <w:b/>
          <w:bCs/>
          <w:snapToGrid w:val="0"/>
          <w:color w:val="auto"/>
          <w:sz w:val="21"/>
          <w:szCs w:val="21"/>
          <w:highlight w:val="none"/>
        </w:rPr>
        <w:t>附表</w:t>
      </w:r>
      <w:bookmarkEnd w:id="13"/>
    </w:p>
    <w:p w14:paraId="2A99FFB0">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仿宋" w:cs="Times New Roman"/>
          <w:b/>
          <w:bCs/>
          <w:snapToGrid w:val="0"/>
          <w:color w:val="auto"/>
          <w:sz w:val="21"/>
          <w:szCs w:val="21"/>
          <w:highlight w:val="none"/>
        </w:rPr>
      </w:pPr>
      <w:bookmarkStart w:id="14" w:name="_Toc30128"/>
      <w:r>
        <w:rPr>
          <w:rFonts w:hint="default" w:ascii="Times New Roman" w:hAnsi="Times New Roman" w:eastAsia="仿宋" w:cs="Times New Roman"/>
          <w:b/>
          <w:bCs/>
          <w:snapToGrid w:val="0"/>
          <w:color w:val="auto"/>
          <w:sz w:val="32"/>
          <w:szCs w:val="32"/>
          <w:highlight w:val="none"/>
        </w:rPr>
        <w:t>建设项目污染物排放量汇总表</w:t>
      </w:r>
      <w:bookmarkEnd w:id="14"/>
    </w:p>
    <w:tbl>
      <w:tblPr>
        <w:tblStyle w:val="31"/>
        <w:tblW w:w="4997" w:type="pct"/>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536"/>
        <w:gridCol w:w="1004"/>
        <w:gridCol w:w="1706"/>
        <w:gridCol w:w="1617"/>
        <w:gridCol w:w="1541"/>
        <w:gridCol w:w="1598"/>
        <w:gridCol w:w="1447"/>
        <w:gridCol w:w="1601"/>
        <w:gridCol w:w="1444"/>
      </w:tblGrid>
      <w:tr w14:paraId="5A2F4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tcBorders>
              <w:tl2br w:val="single" w:color="auto" w:sz="4" w:space="0"/>
            </w:tcBorders>
            <w:noWrap w:val="0"/>
            <w:tcMar>
              <w:left w:w="28" w:type="dxa"/>
              <w:right w:w="28" w:type="dxa"/>
            </w:tcMar>
            <w:vAlign w:val="center"/>
          </w:tcPr>
          <w:p w14:paraId="3A1ADF46">
            <w:pPr>
              <w:keepNext w:val="0"/>
              <w:keepLines w:val="0"/>
              <w:pageBreakBefore w:val="0"/>
              <w:kinsoku/>
              <w:wordWrap/>
              <w:overflowPunct/>
              <w:topLinePunct w:val="0"/>
              <w:autoSpaceDE w:val="0"/>
              <w:autoSpaceDN w:val="0"/>
              <w:bidi w:val="0"/>
              <w:adjustRightInd w:val="0"/>
              <w:snapToGrid w:val="0"/>
              <w:jc w:val="right"/>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项目</w:t>
            </w:r>
          </w:p>
          <w:p w14:paraId="7B6FE903">
            <w:pPr>
              <w:keepNext w:val="0"/>
              <w:keepLines w:val="0"/>
              <w:pageBreakBefore w:val="0"/>
              <w:kinsoku/>
              <w:wordWrap/>
              <w:overflowPunct/>
              <w:topLinePunct w:val="0"/>
              <w:autoSpaceDE w:val="0"/>
              <w:autoSpaceDN w:val="0"/>
              <w:bidi w:val="0"/>
              <w:adjustRightInd w:val="0"/>
              <w:snapToGrid w:val="0"/>
              <w:jc w:val="left"/>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分类</w:t>
            </w:r>
          </w:p>
        </w:tc>
        <w:tc>
          <w:tcPr>
            <w:tcW w:w="571" w:type="pct"/>
            <w:gridSpan w:val="2"/>
            <w:noWrap w:val="0"/>
            <w:tcMar>
              <w:left w:w="28" w:type="dxa"/>
              <w:right w:w="28" w:type="dxa"/>
            </w:tcMar>
            <w:vAlign w:val="center"/>
          </w:tcPr>
          <w:p w14:paraId="3FB20E7A">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污染物名称</w:t>
            </w:r>
          </w:p>
        </w:tc>
        <w:tc>
          <w:tcPr>
            <w:tcW w:w="632" w:type="pct"/>
            <w:noWrap w:val="0"/>
            <w:tcMar>
              <w:left w:w="28" w:type="dxa"/>
              <w:right w:w="28" w:type="dxa"/>
            </w:tcMar>
            <w:vAlign w:val="center"/>
          </w:tcPr>
          <w:p w14:paraId="19ED5E52">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现有工程排放量（固体废物产生量）</w:t>
            </w:r>
            <w:r>
              <w:rPr>
                <w:rFonts w:hint="default" w:ascii="Times New Roman" w:hAnsi="Times New Roman" w:eastAsia="仿宋" w:cs="Times New Roman"/>
                <w:b/>
                <w:bCs/>
                <w:color w:val="auto"/>
                <w:kern w:val="0"/>
                <w:sz w:val="21"/>
                <w:szCs w:val="21"/>
                <w:highlight w:val="none"/>
              </w:rPr>
              <w:fldChar w:fldCharType="begin"/>
            </w:r>
            <w:r>
              <w:rPr>
                <w:rFonts w:hint="default" w:ascii="Times New Roman" w:hAnsi="Times New Roman" w:eastAsia="仿宋" w:cs="Times New Roman"/>
                <w:b/>
                <w:bCs/>
                <w:color w:val="auto"/>
                <w:kern w:val="0"/>
                <w:sz w:val="21"/>
                <w:szCs w:val="21"/>
                <w:highlight w:val="none"/>
              </w:rPr>
              <w:instrText xml:space="preserve"> = 1 \* GB3 \* MERGEFORMAT </w:instrText>
            </w:r>
            <w:r>
              <w:rPr>
                <w:rFonts w:hint="default" w:ascii="Times New Roman" w:hAnsi="Times New Roman" w:eastAsia="仿宋" w:cs="Times New Roman"/>
                <w:b/>
                <w:bCs/>
                <w:color w:val="auto"/>
                <w:kern w:val="0"/>
                <w:sz w:val="21"/>
                <w:szCs w:val="21"/>
                <w:highlight w:val="none"/>
              </w:rPr>
              <w:fldChar w:fldCharType="separate"/>
            </w:r>
            <w:r>
              <w:rPr>
                <w:rFonts w:hint="default" w:ascii="Times New Roman" w:hAnsi="Times New Roman" w:eastAsia="仿宋" w:cs="Times New Roman"/>
                <w:b/>
                <w:bCs/>
                <w:color w:val="auto"/>
                <w:kern w:val="0"/>
                <w:sz w:val="21"/>
                <w:szCs w:val="21"/>
                <w:highlight w:val="none"/>
              </w:rPr>
              <w:t>①</w:t>
            </w:r>
            <w:r>
              <w:rPr>
                <w:rFonts w:hint="default" w:ascii="Times New Roman" w:hAnsi="Times New Roman" w:eastAsia="仿宋" w:cs="Times New Roman"/>
                <w:b/>
                <w:bCs/>
                <w:color w:val="auto"/>
                <w:kern w:val="0"/>
                <w:sz w:val="21"/>
                <w:szCs w:val="21"/>
                <w:highlight w:val="none"/>
              </w:rPr>
              <w:fldChar w:fldCharType="end"/>
            </w:r>
          </w:p>
        </w:tc>
        <w:tc>
          <w:tcPr>
            <w:tcW w:w="599" w:type="pct"/>
            <w:noWrap w:val="0"/>
            <w:tcMar>
              <w:left w:w="28" w:type="dxa"/>
              <w:right w:w="28" w:type="dxa"/>
            </w:tcMar>
            <w:vAlign w:val="center"/>
          </w:tcPr>
          <w:p w14:paraId="491B2453">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现有工程许可排放量</w:t>
            </w:r>
            <w:r>
              <w:rPr>
                <w:rFonts w:hint="default" w:ascii="Times New Roman" w:hAnsi="Times New Roman" w:eastAsia="仿宋" w:cs="Times New Roman"/>
                <w:b/>
                <w:bCs/>
                <w:color w:val="auto"/>
                <w:kern w:val="0"/>
                <w:sz w:val="21"/>
                <w:szCs w:val="21"/>
                <w:highlight w:val="none"/>
              </w:rPr>
              <w:fldChar w:fldCharType="begin"/>
            </w:r>
            <w:r>
              <w:rPr>
                <w:rFonts w:hint="default" w:ascii="Times New Roman" w:hAnsi="Times New Roman" w:eastAsia="仿宋" w:cs="Times New Roman"/>
                <w:b/>
                <w:bCs/>
                <w:color w:val="auto"/>
                <w:kern w:val="0"/>
                <w:sz w:val="21"/>
                <w:szCs w:val="21"/>
                <w:highlight w:val="none"/>
              </w:rPr>
              <w:instrText xml:space="preserve"> = 2 \* GB3 \* MERGEFORMAT </w:instrText>
            </w:r>
            <w:r>
              <w:rPr>
                <w:rFonts w:hint="default" w:ascii="Times New Roman" w:hAnsi="Times New Roman" w:eastAsia="仿宋" w:cs="Times New Roman"/>
                <w:b/>
                <w:bCs/>
                <w:color w:val="auto"/>
                <w:kern w:val="0"/>
                <w:sz w:val="21"/>
                <w:szCs w:val="21"/>
                <w:highlight w:val="none"/>
              </w:rPr>
              <w:fldChar w:fldCharType="separate"/>
            </w:r>
            <w:r>
              <w:rPr>
                <w:rFonts w:hint="default" w:ascii="Times New Roman" w:hAnsi="Times New Roman" w:eastAsia="仿宋" w:cs="Times New Roman"/>
                <w:b/>
                <w:bCs/>
                <w:color w:val="auto"/>
                <w:kern w:val="0"/>
                <w:sz w:val="21"/>
                <w:szCs w:val="21"/>
                <w:highlight w:val="none"/>
              </w:rPr>
              <w:t>②</w:t>
            </w:r>
            <w:r>
              <w:rPr>
                <w:rFonts w:hint="default" w:ascii="Times New Roman" w:hAnsi="Times New Roman" w:eastAsia="仿宋" w:cs="Times New Roman"/>
                <w:b/>
                <w:bCs/>
                <w:color w:val="auto"/>
                <w:kern w:val="0"/>
                <w:sz w:val="21"/>
                <w:szCs w:val="21"/>
                <w:highlight w:val="none"/>
              </w:rPr>
              <w:fldChar w:fldCharType="end"/>
            </w:r>
          </w:p>
        </w:tc>
        <w:tc>
          <w:tcPr>
            <w:tcW w:w="571" w:type="pct"/>
            <w:noWrap w:val="0"/>
            <w:tcMar>
              <w:left w:w="28" w:type="dxa"/>
              <w:right w:w="28" w:type="dxa"/>
            </w:tcMar>
            <w:vAlign w:val="center"/>
          </w:tcPr>
          <w:p w14:paraId="59401A30">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在建工程排放量（固体废物产生量）</w:t>
            </w:r>
            <w:r>
              <w:rPr>
                <w:rFonts w:hint="default" w:ascii="Times New Roman" w:hAnsi="Times New Roman" w:eastAsia="仿宋" w:cs="Times New Roman"/>
                <w:b/>
                <w:bCs/>
                <w:color w:val="auto"/>
                <w:kern w:val="0"/>
                <w:sz w:val="21"/>
                <w:szCs w:val="21"/>
                <w:highlight w:val="none"/>
              </w:rPr>
              <w:fldChar w:fldCharType="begin"/>
            </w:r>
            <w:r>
              <w:rPr>
                <w:rFonts w:hint="default" w:ascii="Times New Roman" w:hAnsi="Times New Roman" w:eastAsia="仿宋" w:cs="Times New Roman"/>
                <w:b/>
                <w:bCs/>
                <w:color w:val="auto"/>
                <w:kern w:val="0"/>
                <w:sz w:val="21"/>
                <w:szCs w:val="21"/>
                <w:highlight w:val="none"/>
              </w:rPr>
              <w:instrText xml:space="preserve"> = 3 \* GB3 \* MERGEFORMAT </w:instrText>
            </w:r>
            <w:r>
              <w:rPr>
                <w:rFonts w:hint="default" w:ascii="Times New Roman" w:hAnsi="Times New Roman" w:eastAsia="仿宋" w:cs="Times New Roman"/>
                <w:b/>
                <w:bCs/>
                <w:color w:val="auto"/>
                <w:kern w:val="0"/>
                <w:sz w:val="21"/>
                <w:szCs w:val="21"/>
                <w:highlight w:val="none"/>
              </w:rPr>
              <w:fldChar w:fldCharType="separate"/>
            </w:r>
            <w:r>
              <w:rPr>
                <w:rFonts w:hint="default" w:ascii="Times New Roman" w:hAnsi="Times New Roman" w:eastAsia="仿宋" w:cs="Times New Roman"/>
                <w:b/>
                <w:bCs/>
                <w:color w:val="auto"/>
                <w:kern w:val="0"/>
                <w:sz w:val="21"/>
                <w:szCs w:val="21"/>
                <w:highlight w:val="none"/>
              </w:rPr>
              <w:t>③</w:t>
            </w:r>
            <w:r>
              <w:rPr>
                <w:rFonts w:hint="default" w:ascii="Times New Roman" w:hAnsi="Times New Roman" w:eastAsia="仿宋" w:cs="Times New Roman"/>
                <w:b/>
                <w:bCs/>
                <w:color w:val="auto"/>
                <w:kern w:val="0"/>
                <w:sz w:val="21"/>
                <w:szCs w:val="21"/>
                <w:highlight w:val="none"/>
              </w:rPr>
              <w:fldChar w:fldCharType="end"/>
            </w:r>
          </w:p>
        </w:tc>
        <w:tc>
          <w:tcPr>
            <w:tcW w:w="592" w:type="pct"/>
            <w:noWrap w:val="0"/>
            <w:tcMar>
              <w:left w:w="28" w:type="dxa"/>
              <w:right w:w="28" w:type="dxa"/>
            </w:tcMar>
            <w:vAlign w:val="center"/>
          </w:tcPr>
          <w:p w14:paraId="178D2F95">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本项目排放量（固体废物产生量）</w:t>
            </w:r>
            <w:r>
              <w:rPr>
                <w:rFonts w:hint="default" w:ascii="Times New Roman" w:hAnsi="Times New Roman" w:eastAsia="仿宋" w:cs="Times New Roman"/>
                <w:b/>
                <w:bCs/>
                <w:color w:val="auto"/>
                <w:kern w:val="0"/>
                <w:sz w:val="21"/>
                <w:szCs w:val="21"/>
                <w:highlight w:val="none"/>
              </w:rPr>
              <w:fldChar w:fldCharType="begin"/>
            </w:r>
            <w:r>
              <w:rPr>
                <w:rFonts w:hint="default" w:ascii="Times New Roman" w:hAnsi="Times New Roman" w:eastAsia="仿宋" w:cs="Times New Roman"/>
                <w:b/>
                <w:bCs/>
                <w:color w:val="auto"/>
                <w:kern w:val="0"/>
                <w:sz w:val="21"/>
                <w:szCs w:val="21"/>
                <w:highlight w:val="none"/>
              </w:rPr>
              <w:instrText xml:space="preserve"> = 4 \* GB3 \* MERGEFORMAT </w:instrText>
            </w:r>
            <w:r>
              <w:rPr>
                <w:rFonts w:hint="default" w:ascii="Times New Roman" w:hAnsi="Times New Roman" w:eastAsia="仿宋" w:cs="Times New Roman"/>
                <w:b/>
                <w:bCs/>
                <w:color w:val="auto"/>
                <w:kern w:val="0"/>
                <w:sz w:val="21"/>
                <w:szCs w:val="21"/>
                <w:highlight w:val="none"/>
              </w:rPr>
              <w:fldChar w:fldCharType="separate"/>
            </w:r>
            <w:r>
              <w:rPr>
                <w:rFonts w:hint="default" w:ascii="Times New Roman" w:hAnsi="Times New Roman" w:eastAsia="仿宋" w:cs="Times New Roman"/>
                <w:b/>
                <w:bCs/>
                <w:color w:val="auto"/>
                <w:kern w:val="0"/>
                <w:sz w:val="21"/>
                <w:szCs w:val="21"/>
                <w:highlight w:val="none"/>
              </w:rPr>
              <w:t>④</w:t>
            </w:r>
            <w:r>
              <w:rPr>
                <w:rFonts w:hint="default" w:ascii="Times New Roman" w:hAnsi="Times New Roman" w:eastAsia="仿宋" w:cs="Times New Roman"/>
                <w:b/>
                <w:bCs/>
                <w:color w:val="auto"/>
                <w:kern w:val="0"/>
                <w:sz w:val="21"/>
                <w:szCs w:val="21"/>
                <w:highlight w:val="none"/>
              </w:rPr>
              <w:fldChar w:fldCharType="end"/>
            </w:r>
          </w:p>
        </w:tc>
        <w:tc>
          <w:tcPr>
            <w:tcW w:w="536" w:type="pct"/>
            <w:noWrap w:val="0"/>
            <w:tcMar>
              <w:left w:w="28" w:type="dxa"/>
              <w:right w:w="28" w:type="dxa"/>
            </w:tcMar>
            <w:vAlign w:val="center"/>
          </w:tcPr>
          <w:p w14:paraId="764821A7">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以新带老削减量（新建项目不填）</w:t>
            </w:r>
            <w:r>
              <w:rPr>
                <w:rFonts w:hint="default" w:ascii="Times New Roman" w:hAnsi="Times New Roman" w:eastAsia="仿宋" w:cs="Times New Roman"/>
                <w:b/>
                <w:bCs/>
                <w:color w:val="auto"/>
                <w:kern w:val="0"/>
                <w:sz w:val="21"/>
                <w:szCs w:val="21"/>
                <w:highlight w:val="none"/>
              </w:rPr>
              <w:fldChar w:fldCharType="begin"/>
            </w:r>
            <w:r>
              <w:rPr>
                <w:rFonts w:hint="default" w:ascii="Times New Roman" w:hAnsi="Times New Roman" w:eastAsia="仿宋" w:cs="Times New Roman"/>
                <w:b/>
                <w:bCs/>
                <w:color w:val="auto"/>
                <w:kern w:val="0"/>
                <w:sz w:val="21"/>
                <w:szCs w:val="21"/>
                <w:highlight w:val="none"/>
              </w:rPr>
              <w:instrText xml:space="preserve"> = 5 \* GB3 \* MERGEFORMAT </w:instrText>
            </w:r>
            <w:r>
              <w:rPr>
                <w:rFonts w:hint="default" w:ascii="Times New Roman" w:hAnsi="Times New Roman" w:eastAsia="仿宋" w:cs="Times New Roman"/>
                <w:b/>
                <w:bCs/>
                <w:color w:val="auto"/>
                <w:kern w:val="0"/>
                <w:sz w:val="21"/>
                <w:szCs w:val="21"/>
                <w:highlight w:val="none"/>
              </w:rPr>
              <w:fldChar w:fldCharType="separate"/>
            </w:r>
            <w:r>
              <w:rPr>
                <w:rFonts w:hint="default" w:ascii="Times New Roman" w:hAnsi="Times New Roman" w:eastAsia="仿宋" w:cs="Times New Roman"/>
                <w:b/>
                <w:bCs/>
                <w:color w:val="auto"/>
                <w:kern w:val="0"/>
                <w:sz w:val="21"/>
                <w:szCs w:val="21"/>
                <w:highlight w:val="none"/>
              </w:rPr>
              <w:t>⑤</w:t>
            </w:r>
            <w:r>
              <w:rPr>
                <w:rFonts w:hint="default" w:ascii="Times New Roman" w:hAnsi="Times New Roman" w:eastAsia="仿宋" w:cs="Times New Roman"/>
                <w:b/>
                <w:bCs/>
                <w:color w:val="auto"/>
                <w:kern w:val="0"/>
                <w:sz w:val="21"/>
                <w:szCs w:val="21"/>
                <w:highlight w:val="none"/>
              </w:rPr>
              <w:fldChar w:fldCharType="end"/>
            </w:r>
          </w:p>
        </w:tc>
        <w:tc>
          <w:tcPr>
            <w:tcW w:w="593" w:type="pct"/>
            <w:noWrap w:val="0"/>
            <w:tcMar>
              <w:left w:w="28" w:type="dxa"/>
              <w:right w:w="28" w:type="dxa"/>
            </w:tcMar>
            <w:vAlign w:val="center"/>
          </w:tcPr>
          <w:p w14:paraId="34F55FB9">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本项目建成后全厂排放量（固体废物产生量）</w:t>
            </w:r>
            <w:r>
              <w:rPr>
                <w:rFonts w:hint="default" w:ascii="Times New Roman" w:hAnsi="Times New Roman" w:eastAsia="仿宋" w:cs="Times New Roman"/>
                <w:b/>
                <w:bCs/>
                <w:color w:val="auto"/>
                <w:kern w:val="0"/>
                <w:sz w:val="21"/>
                <w:szCs w:val="21"/>
                <w:highlight w:val="none"/>
              </w:rPr>
              <w:fldChar w:fldCharType="begin"/>
            </w:r>
            <w:r>
              <w:rPr>
                <w:rFonts w:hint="default" w:ascii="Times New Roman" w:hAnsi="Times New Roman" w:eastAsia="仿宋" w:cs="Times New Roman"/>
                <w:b/>
                <w:bCs/>
                <w:color w:val="auto"/>
                <w:kern w:val="0"/>
                <w:sz w:val="21"/>
                <w:szCs w:val="21"/>
                <w:highlight w:val="none"/>
              </w:rPr>
              <w:instrText xml:space="preserve"> = 6 \* GB3 \* MERGEFORMAT </w:instrText>
            </w:r>
            <w:r>
              <w:rPr>
                <w:rFonts w:hint="default" w:ascii="Times New Roman" w:hAnsi="Times New Roman" w:eastAsia="仿宋" w:cs="Times New Roman"/>
                <w:b/>
                <w:bCs/>
                <w:color w:val="auto"/>
                <w:kern w:val="0"/>
                <w:sz w:val="21"/>
                <w:szCs w:val="21"/>
                <w:highlight w:val="none"/>
              </w:rPr>
              <w:fldChar w:fldCharType="separate"/>
            </w:r>
            <w:r>
              <w:rPr>
                <w:rFonts w:hint="default" w:ascii="Times New Roman" w:hAnsi="Times New Roman" w:eastAsia="仿宋" w:cs="Times New Roman"/>
                <w:b/>
                <w:bCs/>
                <w:color w:val="auto"/>
                <w:kern w:val="0"/>
                <w:sz w:val="21"/>
                <w:szCs w:val="21"/>
                <w:highlight w:val="none"/>
              </w:rPr>
              <w:t>⑥</w:t>
            </w:r>
            <w:r>
              <w:rPr>
                <w:rFonts w:hint="default" w:ascii="Times New Roman" w:hAnsi="Times New Roman" w:eastAsia="仿宋" w:cs="Times New Roman"/>
                <w:b/>
                <w:bCs/>
                <w:color w:val="auto"/>
                <w:kern w:val="0"/>
                <w:sz w:val="21"/>
                <w:szCs w:val="21"/>
                <w:highlight w:val="none"/>
              </w:rPr>
              <w:fldChar w:fldCharType="end"/>
            </w:r>
          </w:p>
        </w:tc>
        <w:tc>
          <w:tcPr>
            <w:tcW w:w="535" w:type="pct"/>
            <w:noWrap w:val="0"/>
            <w:tcMar>
              <w:left w:w="28" w:type="dxa"/>
              <w:right w:w="28" w:type="dxa"/>
            </w:tcMar>
            <w:vAlign w:val="center"/>
          </w:tcPr>
          <w:p w14:paraId="3D161B62">
            <w:pPr>
              <w:keepNext w:val="0"/>
              <w:keepLines w:val="0"/>
              <w:pageBreakBefore w:val="0"/>
              <w:kinsoku/>
              <w:wordWrap/>
              <w:overflowPunct/>
              <w:topLinePunct w:val="0"/>
              <w:autoSpaceDE w:val="0"/>
              <w:autoSpaceDN w:val="0"/>
              <w:bidi w:val="0"/>
              <w:adjustRightInd w:val="0"/>
              <w:snapToGrid w:val="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变化量</w:t>
            </w:r>
            <w:r>
              <w:rPr>
                <w:rFonts w:hint="default" w:ascii="Times New Roman" w:hAnsi="Times New Roman" w:eastAsia="仿宋" w:cs="Times New Roman"/>
                <w:b/>
                <w:bCs/>
                <w:color w:val="auto"/>
                <w:kern w:val="0"/>
                <w:sz w:val="21"/>
                <w:szCs w:val="21"/>
                <w:highlight w:val="none"/>
              </w:rPr>
              <w:fldChar w:fldCharType="begin"/>
            </w:r>
            <w:r>
              <w:rPr>
                <w:rFonts w:hint="default" w:ascii="Times New Roman" w:hAnsi="Times New Roman" w:eastAsia="仿宋" w:cs="Times New Roman"/>
                <w:b/>
                <w:bCs/>
                <w:color w:val="auto"/>
                <w:kern w:val="0"/>
                <w:sz w:val="21"/>
                <w:szCs w:val="21"/>
                <w:highlight w:val="none"/>
              </w:rPr>
              <w:instrText xml:space="preserve"> = 7 \* GB3 \* MERGEFORMAT </w:instrText>
            </w:r>
            <w:r>
              <w:rPr>
                <w:rFonts w:hint="default" w:ascii="Times New Roman" w:hAnsi="Times New Roman" w:eastAsia="仿宋" w:cs="Times New Roman"/>
                <w:b/>
                <w:bCs/>
                <w:color w:val="auto"/>
                <w:kern w:val="0"/>
                <w:sz w:val="21"/>
                <w:szCs w:val="21"/>
                <w:highlight w:val="none"/>
              </w:rPr>
              <w:fldChar w:fldCharType="separate"/>
            </w:r>
            <w:r>
              <w:rPr>
                <w:rFonts w:hint="default" w:ascii="Times New Roman" w:hAnsi="Times New Roman" w:eastAsia="仿宋" w:cs="Times New Roman"/>
                <w:b/>
                <w:bCs/>
                <w:color w:val="auto"/>
                <w:kern w:val="0"/>
                <w:sz w:val="21"/>
                <w:szCs w:val="21"/>
                <w:highlight w:val="none"/>
              </w:rPr>
              <w:t>⑦</w:t>
            </w:r>
            <w:r>
              <w:rPr>
                <w:rFonts w:hint="default" w:ascii="Times New Roman" w:hAnsi="Times New Roman" w:eastAsia="仿宋" w:cs="Times New Roman"/>
                <w:b/>
                <w:bCs/>
                <w:color w:val="auto"/>
                <w:kern w:val="0"/>
                <w:sz w:val="21"/>
                <w:szCs w:val="21"/>
                <w:highlight w:val="none"/>
              </w:rPr>
              <w:fldChar w:fldCharType="end"/>
            </w:r>
          </w:p>
        </w:tc>
      </w:tr>
      <w:tr w14:paraId="0D7301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restart"/>
            <w:noWrap w:val="0"/>
            <w:vAlign w:val="center"/>
          </w:tcPr>
          <w:p w14:paraId="3193E974">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snapToGrid w:val="0"/>
                <w:color w:val="auto"/>
                <w:kern w:val="21"/>
                <w:szCs w:val="21"/>
              </w:rPr>
              <w:t>废气</w:t>
            </w:r>
          </w:p>
        </w:tc>
        <w:tc>
          <w:tcPr>
            <w:tcW w:w="199" w:type="pct"/>
            <w:vMerge w:val="restart"/>
            <w:noWrap w:val="0"/>
            <w:vAlign w:val="center"/>
          </w:tcPr>
          <w:p w14:paraId="364675C2">
            <w:pPr>
              <w:keepNext w:val="0"/>
              <w:keepLines w:val="0"/>
              <w:pageBreakBefore w:val="0"/>
              <w:kinsoku/>
              <w:wordWrap/>
              <w:overflowPunct/>
              <w:topLinePunct w:val="0"/>
              <w:autoSpaceDE/>
              <w:autoSpaceDN/>
              <w:bidi w:val="0"/>
              <w:ind w:left="0" w:leftChars="0" w:firstLineChars="0"/>
              <w:jc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有组织</w:t>
            </w:r>
          </w:p>
        </w:tc>
        <w:tc>
          <w:tcPr>
            <w:tcW w:w="371" w:type="pct"/>
            <w:noWrap w:val="0"/>
            <w:vAlign w:val="center"/>
          </w:tcPr>
          <w:p w14:paraId="5D36CBAD">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SO</w:t>
            </w:r>
            <w:r>
              <w:rPr>
                <w:rFonts w:hint="default" w:ascii="Times New Roman" w:hAnsi="Times New Roman" w:eastAsia="方正公文仿宋" w:cs="Times New Roman"/>
                <w:color w:val="auto"/>
                <w:szCs w:val="21"/>
                <w:vertAlign w:val="subscript"/>
                <w:lang w:val="en-US" w:eastAsia="zh-CN"/>
              </w:rPr>
              <w:t>2</w:t>
            </w:r>
          </w:p>
        </w:tc>
        <w:tc>
          <w:tcPr>
            <w:tcW w:w="632" w:type="pct"/>
            <w:noWrap w:val="0"/>
            <w:vAlign w:val="center"/>
          </w:tcPr>
          <w:p w14:paraId="02ED7A70">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0.05</w:t>
            </w:r>
          </w:p>
        </w:tc>
        <w:tc>
          <w:tcPr>
            <w:tcW w:w="599" w:type="pct"/>
            <w:noWrap w:val="0"/>
            <w:vAlign w:val="center"/>
          </w:tcPr>
          <w:p w14:paraId="2D4C40B5">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0.05</w:t>
            </w:r>
          </w:p>
        </w:tc>
        <w:tc>
          <w:tcPr>
            <w:tcW w:w="571" w:type="pct"/>
            <w:noWrap w:val="0"/>
            <w:vAlign w:val="center"/>
          </w:tcPr>
          <w:p w14:paraId="0C53F227">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color w:val="auto"/>
                <w:szCs w:val="21"/>
              </w:rPr>
              <w:t>/</w:t>
            </w:r>
          </w:p>
        </w:tc>
        <w:tc>
          <w:tcPr>
            <w:tcW w:w="592" w:type="pct"/>
            <w:noWrap w:val="0"/>
            <w:vAlign w:val="center"/>
          </w:tcPr>
          <w:p w14:paraId="2F755908">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rPr>
              <w:t>/</w:t>
            </w:r>
          </w:p>
        </w:tc>
        <w:tc>
          <w:tcPr>
            <w:tcW w:w="536" w:type="pct"/>
            <w:noWrap w:val="0"/>
            <w:vAlign w:val="center"/>
          </w:tcPr>
          <w:p w14:paraId="49EA9F62">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rPr>
              <w:t>/</w:t>
            </w:r>
          </w:p>
        </w:tc>
        <w:tc>
          <w:tcPr>
            <w:tcW w:w="593" w:type="pct"/>
            <w:noWrap w:val="0"/>
            <w:vAlign w:val="center"/>
          </w:tcPr>
          <w:p w14:paraId="31B8F64D">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0.05</w:t>
            </w:r>
          </w:p>
        </w:tc>
        <w:tc>
          <w:tcPr>
            <w:tcW w:w="535" w:type="pct"/>
            <w:noWrap w:val="0"/>
            <w:vAlign w:val="center"/>
          </w:tcPr>
          <w:p w14:paraId="5B13985D">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w:t>
            </w:r>
          </w:p>
        </w:tc>
      </w:tr>
      <w:tr w14:paraId="09E14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2F1F07F9">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199" w:type="pct"/>
            <w:vMerge w:val="continue"/>
            <w:noWrap w:val="0"/>
            <w:vAlign w:val="center"/>
          </w:tcPr>
          <w:p w14:paraId="0F7A9B27">
            <w:pPr>
              <w:keepNext w:val="0"/>
              <w:keepLines w:val="0"/>
              <w:pageBreakBefore w:val="0"/>
              <w:kinsoku/>
              <w:wordWrap/>
              <w:overflowPunct/>
              <w:topLinePunct w:val="0"/>
              <w:autoSpaceDE/>
              <w:autoSpaceDN/>
              <w:bidi w:val="0"/>
              <w:ind w:left="0" w:leftChars="0" w:firstLineChars="0"/>
              <w:jc w:val="center"/>
              <w:rPr>
                <w:rFonts w:hint="default" w:ascii="Times New Roman" w:hAnsi="Times New Roman" w:eastAsia="方正公文仿宋" w:cs="Times New Roman"/>
                <w:color w:val="auto"/>
                <w:szCs w:val="21"/>
                <w:lang w:val="en-US" w:eastAsia="zh-CN"/>
              </w:rPr>
            </w:pPr>
          </w:p>
        </w:tc>
        <w:tc>
          <w:tcPr>
            <w:tcW w:w="371" w:type="pct"/>
            <w:noWrap w:val="0"/>
            <w:vAlign w:val="center"/>
          </w:tcPr>
          <w:p w14:paraId="5A8E1213">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NOx</w:t>
            </w:r>
          </w:p>
        </w:tc>
        <w:tc>
          <w:tcPr>
            <w:tcW w:w="632" w:type="pct"/>
            <w:noWrap w:val="0"/>
            <w:vAlign w:val="center"/>
          </w:tcPr>
          <w:p w14:paraId="3F7C47CA">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0.93</w:t>
            </w:r>
          </w:p>
        </w:tc>
        <w:tc>
          <w:tcPr>
            <w:tcW w:w="599" w:type="pct"/>
            <w:noWrap w:val="0"/>
            <w:vAlign w:val="center"/>
          </w:tcPr>
          <w:p w14:paraId="46F4A714">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0.93</w:t>
            </w:r>
          </w:p>
        </w:tc>
        <w:tc>
          <w:tcPr>
            <w:tcW w:w="571" w:type="pct"/>
            <w:noWrap w:val="0"/>
            <w:vAlign w:val="center"/>
          </w:tcPr>
          <w:p w14:paraId="46205D92">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92" w:type="pct"/>
            <w:noWrap w:val="0"/>
            <w:vAlign w:val="center"/>
          </w:tcPr>
          <w:p w14:paraId="2CE63DAB">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36" w:type="pct"/>
            <w:noWrap w:val="0"/>
            <w:vAlign w:val="center"/>
          </w:tcPr>
          <w:p w14:paraId="04FEF020">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93" w:type="pct"/>
            <w:noWrap w:val="0"/>
            <w:vAlign w:val="center"/>
          </w:tcPr>
          <w:p w14:paraId="4DDC824F">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0.93</w:t>
            </w:r>
          </w:p>
        </w:tc>
        <w:tc>
          <w:tcPr>
            <w:tcW w:w="535" w:type="pct"/>
            <w:noWrap w:val="0"/>
            <w:vAlign w:val="center"/>
          </w:tcPr>
          <w:p w14:paraId="1C023217">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w:t>
            </w:r>
          </w:p>
        </w:tc>
      </w:tr>
      <w:tr w14:paraId="1A2F24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667E7E61">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199" w:type="pct"/>
            <w:vMerge w:val="continue"/>
            <w:noWrap w:val="0"/>
            <w:vAlign w:val="center"/>
          </w:tcPr>
          <w:p w14:paraId="760222F6">
            <w:pPr>
              <w:keepNext w:val="0"/>
              <w:keepLines w:val="0"/>
              <w:pageBreakBefore w:val="0"/>
              <w:kinsoku/>
              <w:wordWrap/>
              <w:overflowPunct/>
              <w:topLinePunct w:val="0"/>
              <w:autoSpaceDE/>
              <w:autoSpaceDN/>
              <w:bidi w:val="0"/>
              <w:ind w:left="0" w:leftChars="0" w:firstLineChars="0"/>
              <w:jc w:val="center"/>
              <w:rPr>
                <w:rFonts w:hint="default" w:ascii="Times New Roman" w:hAnsi="Times New Roman" w:eastAsia="方正公文仿宋" w:cs="Times New Roman"/>
                <w:color w:val="auto"/>
                <w:szCs w:val="21"/>
                <w:lang w:val="en-US" w:eastAsia="zh-CN"/>
              </w:rPr>
            </w:pPr>
          </w:p>
        </w:tc>
        <w:tc>
          <w:tcPr>
            <w:tcW w:w="371" w:type="pct"/>
            <w:noWrap w:val="0"/>
            <w:vAlign w:val="center"/>
          </w:tcPr>
          <w:p w14:paraId="5636500C">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烟尘</w:t>
            </w:r>
          </w:p>
        </w:tc>
        <w:tc>
          <w:tcPr>
            <w:tcW w:w="632" w:type="pct"/>
            <w:noWrap w:val="0"/>
            <w:vAlign w:val="center"/>
          </w:tcPr>
          <w:p w14:paraId="2D1E5710">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0.12</w:t>
            </w:r>
          </w:p>
        </w:tc>
        <w:tc>
          <w:tcPr>
            <w:tcW w:w="599" w:type="pct"/>
            <w:noWrap w:val="0"/>
            <w:vAlign w:val="center"/>
          </w:tcPr>
          <w:p w14:paraId="20803149">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0.12</w:t>
            </w:r>
          </w:p>
        </w:tc>
        <w:tc>
          <w:tcPr>
            <w:tcW w:w="571" w:type="pct"/>
            <w:noWrap w:val="0"/>
            <w:vAlign w:val="center"/>
          </w:tcPr>
          <w:p w14:paraId="338A37E7">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92" w:type="pct"/>
            <w:noWrap w:val="0"/>
            <w:vAlign w:val="center"/>
          </w:tcPr>
          <w:p w14:paraId="70AB07E8">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36" w:type="pct"/>
            <w:noWrap w:val="0"/>
            <w:vAlign w:val="center"/>
          </w:tcPr>
          <w:p w14:paraId="4505EB4E">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93" w:type="pct"/>
            <w:noWrap w:val="0"/>
            <w:vAlign w:val="center"/>
          </w:tcPr>
          <w:p w14:paraId="21832583">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0.12</w:t>
            </w:r>
          </w:p>
        </w:tc>
        <w:tc>
          <w:tcPr>
            <w:tcW w:w="535" w:type="pct"/>
            <w:noWrap w:val="0"/>
            <w:vAlign w:val="center"/>
          </w:tcPr>
          <w:p w14:paraId="3C867B3B">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w:t>
            </w:r>
          </w:p>
        </w:tc>
      </w:tr>
      <w:tr w14:paraId="3B1EA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7FD55FB6">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199" w:type="pct"/>
            <w:vMerge w:val="continue"/>
            <w:noWrap w:val="0"/>
            <w:vAlign w:val="center"/>
          </w:tcPr>
          <w:p w14:paraId="7CDBA8C6">
            <w:pPr>
              <w:keepNext w:val="0"/>
              <w:keepLines w:val="0"/>
              <w:pageBreakBefore w:val="0"/>
              <w:kinsoku/>
              <w:wordWrap/>
              <w:overflowPunct/>
              <w:topLinePunct w:val="0"/>
              <w:autoSpaceDE/>
              <w:autoSpaceDN/>
              <w:bidi w:val="0"/>
              <w:ind w:left="0" w:leftChars="0" w:firstLineChars="0"/>
              <w:jc w:val="center"/>
              <w:rPr>
                <w:rFonts w:hint="default" w:ascii="Times New Roman" w:hAnsi="Times New Roman" w:eastAsia="方正公文仿宋" w:cs="Times New Roman"/>
                <w:color w:val="auto"/>
                <w:szCs w:val="21"/>
                <w:lang w:val="en-US" w:eastAsia="zh-CN"/>
              </w:rPr>
            </w:pPr>
          </w:p>
        </w:tc>
        <w:tc>
          <w:tcPr>
            <w:tcW w:w="371" w:type="pct"/>
            <w:noWrap w:val="0"/>
            <w:vAlign w:val="center"/>
          </w:tcPr>
          <w:p w14:paraId="72AB0EA7">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油烟</w:t>
            </w:r>
          </w:p>
        </w:tc>
        <w:tc>
          <w:tcPr>
            <w:tcW w:w="632" w:type="pct"/>
            <w:noWrap w:val="0"/>
            <w:vAlign w:val="center"/>
          </w:tcPr>
          <w:p w14:paraId="3D36229D">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w:t>
            </w:r>
          </w:p>
        </w:tc>
        <w:tc>
          <w:tcPr>
            <w:tcW w:w="599" w:type="pct"/>
            <w:noWrap w:val="0"/>
            <w:vAlign w:val="center"/>
          </w:tcPr>
          <w:p w14:paraId="7682C0BF">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eastAsia"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w:t>
            </w:r>
          </w:p>
        </w:tc>
        <w:tc>
          <w:tcPr>
            <w:tcW w:w="571" w:type="pct"/>
            <w:noWrap w:val="0"/>
            <w:vAlign w:val="center"/>
          </w:tcPr>
          <w:p w14:paraId="4BA68F58">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92" w:type="pct"/>
            <w:noWrap w:val="0"/>
            <w:vAlign w:val="center"/>
          </w:tcPr>
          <w:p w14:paraId="2D74B3E0">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0.0297</w:t>
            </w:r>
          </w:p>
        </w:tc>
        <w:tc>
          <w:tcPr>
            <w:tcW w:w="536" w:type="pct"/>
            <w:noWrap w:val="0"/>
            <w:vAlign w:val="center"/>
          </w:tcPr>
          <w:p w14:paraId="5FE7122E">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w:t>
            </w:r>
          </w:p>
        </w:tc>
        <w:tc>
          <w:tcPr>
            <w:tcW w:w="593" w:type="pct"/>
            <w:noWrap w:val="0"/>
            <w:vAlign w:val="center"/>
          </w:tcPr>
          <w:p w14:paraId="0C7E25EB">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0.0297</w:t>
            </w:r>
          </w:p>
        </w:tc>
        <w:tc>
          <w:tcPr>
            <w:tcW w:w="535" w:type="pct"/>
            <w:noWrap w:val="0"/>
            <w:vAlign w:val="center"/>
          </w:tcPr>
          <w:p w14:paraId="4EC648BC">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+0.0297</w:t>
            </w:r>
          </w:p>
        </w:tc>
      </w:tr>
      <w:tr w14:paraId="1D4CF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7" w:type="pct"/>
            <w:vMerge w:val="continue"/>
            <w:noWrap w:val="0"/>
            <w:vAlign w:val="center"/>
          </w:tcPr>
          <w:p w14:paraId="6E4BDBE6">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199" w:type="pct"/>
            <w:vMerge w:val="continue"/>
            <w:noWrap w:val="0"/>
            <w:vAlign w:val="center"/>
          </w:tcPr>
          <w:p w14:paraId="1AB9A39D">
            <w:pPr>
              <w:keepNext w:val="0"/>
              <w:keepLines w:val="0"/>
              <w:pageBreakBefore w:val="0"/>
              <w:kinsoku/>
              <w:wordWrap/>
              <w:overflowPunct/>
              <w:topLinePunct w:val="0"/>
              <w:autoSpaceDE/>
              <w:autoSpaceDN/>
              <w:bidi w:val="0"/>
              <w:ind w:left="0" w:leftChars="0" w:firstLineChars="0"/>
              <w:jc w:val="center"/>
              <w:rPr>
                <w:rFonts w:hint="default" w:ascii="Times New Roman" w:hAnsi="Times New Roman" w:eastAsia="方正公文仿宋" w:cs="Times New Roman"/>
                <w:color w:val="auto"/>
                <w:szCs w:val="21"/>
                <w:lang w:val="en-US" w:eastAsia="zh-CN"/>
              </w:rPr>
            </w:pPr>
          </w:p>
        </w:tc>
        <w:tc>
          <w:tcPr>
            <w:tcW w:w="371" w:type="pct"/>
            <w:noWrap w:val="0"/>
            <w:vAlign w:val="center"/>
          </w:tcPr>
          <w:p w14:paraId="12E99A6C">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NH</w:t>
            </w:r>
            <w:r>
              <w:rPr>
                <w:rFonts w:hint="default" w:ascii="Times New Roman" w:hAnsi="Times New Roman" w:eastAsia="方正公文仿宋" w:cs="Times New Roman"/>
                <w:color w:val="auto"/>
                <w:szCs w:val="21"/>
                <w:vertAlign w:val="subscript"/>
                <w:lang w:val="en-US" w:eastAsia="zh-CN"/>
              </w:rPr>
              <w:t>3</w:t>
            </w:r>
          </w:p>
        </w:tc>
        <w:tc>
          <w:tcPr>
            <w:tcW w:w="632" w:type="pct"/>
            <w:noWrap w:val="0"/>
            <w:vAlign w:val="center"/>
          </w:tcPr>
          <w:p w14:paraId="38877BD5">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eastAsia"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99" w:type="pct"/>
            <w:noWrap w:val="0"/>
            <w:vAlign w:val="center"/>
          </w:tcPr>
          <w:p w14:paraId="2165D9A6">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eastAsia"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71" w:type="pct"/>
            <w:noWrap w:val="0"/>
            <w:vAlign w:val="center"/>
          </w:tcPr>
          <w:p w14:paraId="3A4B70DC">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92" w:type="pct"/>
            <w:noWrap w:val="0"/>
            <w:vAlign w:val="center"/>
          </w:tcPr>
          <w:p w14:paraId="196633BA">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0.0036</w:t>
            </w:r>
          </w:p>
        </w:tc>
        <w:tc>
          <w:tcPr>
            <w:tcW w:w="536" w:type="pct"/>
            <w:noWrap w:val="0"/>
            <w:vAlign w:val="center"/>
          </w:tcPr>
          <w:p w14:paraId="2D0A3A1E">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w:t>
            </w:r>
          </w:p>
        </w:tc>
        <w:tc>
          <w:tcPr>
            <w:tcW w:w="593" w:type="pct"/>
            <w:noWrap w:val="0"/>
            <w:vAlign w:val="center"/>
          </w:tcPr>
          <w:p w14:paraId="424A59A5">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0.0036</w:t>
            </w:r>
          </w:p>
        </w:tc>
        <w:tc>
          <w:tcPr>
            <w:tcW w:w="535" w:type="pct"/>
            <w:noWrap w:val="0"/>
            <w:vAlign w:val="center"/>
          </w:tcPr>
          <w:p w14:paraId="0AED170C">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+0.0036</w:t>
            </w:r>
          </w:p>
        </w:tc>
      </w:tr>
      <w:tr w14:paraId="097D9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0BFDC55B">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199" w:type="pct"/>
            <w:vMerge w:val="continue"/>
            <w:noWrap w:val="0"/>
            <w:vAlign w:val="center"/>
          </w:tcPr>
          <w:p w14:paraId="7BFEE44E">
            <w:pPr>
              <w:keepNext w:val="0"/>
              <w:keepLines w:val="0"/>
              <w:pageBreakBefore w:val="0"/>
              <w:kinsoku/>
              <w:wordWrap/>
              <w:overflowPunct/>
              <w:topLinePunct w:val="0"/>
              <w:autoSpaceDE/>
              <w:autoSpaceDN/>
              <w:bidi w:val="0"/>
              <w:ind w:left="0" w:leftChars="0" w:firstLineChars="0"/>
              <w:jc w:val="center"/>
              <w:rPr>
                <w:rFonts w:hint="default" w:ascii="Times New Roman" w:hAnsi="Times New Roman" w:eastAsia="方正公文仿宋" w:cs="Times New Roman"/>
                <w:color w:val="auto"/>
                <w:szCs w:val="21"/>
                <w:lang w:val="en-US" w:eastAsia="zh-CN"/>
              </w:rPr>
            </w:pPr>
          </w:p>
        </w:tc>
        <w:tc>
          <w:tcPr>
            <w:tcW w:w="371" w:type="pct"/>
            <w:noWrap w:val="0"/>
            <w:vAlign w:val="center"/>
          </w:tcPr>
          <w:p w14:paraId="78C1A12C">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H</w:t>
            </w:r>
            <w:r>
              <w:rPr>
                <w:rFonts w:hint="default" w:ascii="Times New Roman" w:hAnsi="Times New Roman" w:eastAsia="方正公文仿宋" w:cs="Times New Roman"/>
                <w:color w:val="auto"/>
                <w:szCs w:val="21"/>
                <w:vertAlign w:val="subscript"/>
                <w:lang w:val="en-US" w:eastAsia="zh-CN"/>
              </w:rPr>
              <w:t>2</w:t>
            </w:r>
            <w:r>
              <w:rPr>
                <w:rFonts w:hint="default" w:ascii="Times New Roman" w:hAnsi="Times New Roman" w:eastAsia="方正公文仿宋" w:cs="Times New Roman"/>
                <w:color w:val="auto"/>
                <w:szCs w:val="21"/>
                <w:lang w:val="en-US" w:eastAsia="zh-CN"/>
              </w:rPr>
              <w:t>S</w:t>
            </w:r>
          </w:p>
        </w:tc>
        <w:tc>
          <w:tcPr>
            <w:tcW w:w="632" w:type="pct"/>
            <w:noWrap w:val="0"/>
            <w:vAlign w:val="center"/>
          </w:tcPr>
          <w:p w14:paraId="6B6D3266">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eastAsia"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99" w:type="pct"/>
            <w:noWrap w:val="0"/>
            <w:vAlign w:val="center"/>
          </w:tcPr>
          <w:p w14:paraId="7492F1F0">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eastAsia"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71" w:type="pct"/>
            <w:noWrap w:val="0"/>
            <w:vAlign w:val="center"/>
          </w:tcPr>
          <w:p w14:paraId="7C317BC1">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92" w:type="pct"/>
            <w:noWrap w:val="0"/>
            <w:vAlign w:val="center"/>
          </w:tcPr>
          <w:p w14:paraId="398D39FD">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0.00014</w:t>
            </w:r>
          </w:p>
        </w:tc>
        <w:tc>
          <w:tcPr>
            <w:tcW w:w="536" w:type="pct"/>
            <w:noWrap w:val="0"/>
            <w:vAlign w:val="center"/>
          </w:tcPr>
          <w:p w14:paraId="008B4B95">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w:t>
            </w:r>
          </w:p>
        </w:tc>
        <w:tc>
          <w:tcPr>
            <w:tcW w:w="593" w:type="pct"/>
            <w:noWrap w:val="0"/>
            <w:vAlign w:val="center"/>
          </w:tcPr>
          <w:p w14:paraId="4A8C2DA7">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0.00014</w:t>
            </w:r>
          </w:p>
        </w:tc>
        <w:tc>
          <w:tcPr>
            <w:tcW w:w="535" w:type="pct"/>
            <w:noWrap w:val="0"/>
            <w:vAlign w:val="center"/>
          </w:tcPr>
          <w:p w14:paraId="54AF9453">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+0.00014</w:t>
            </w:r>
          </w:p>
        </w:tc>
      </w:tr>
      <w:tr w14:paraId="6AF8C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392F0C6D">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199" w:type="pct"/>
            <w:vMerge w:val="restart"/>
            <w:noWrap w:val="0"/>
            <w:vAlign w:val="center"/>
          </w:tcPr>
          <w:p w14:paraId="1060F8B5">
            <w:pPr>
              <w:keepNext w:val="0"/>
              <w:keepLines w:val="0"/>
              <w:pageBreakBefore w:val="0"/>
              <w:kinsoku/>
              <w:wordWrap/>
              <w:overflowPunct/>
              <w:topLinePunct w:val="0"/>
              <w:autoSpaceDE/>
              <w:autoSpaceDN/>
              <w:bidi w:val="0"/>
              <w:ind w:left="0" w:leftChars="0" w:firstLineChars="0"/>
              <w:jc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无组织</w:t>
            </w:r>
          </w:p>
        </w:tc>
        <w:tc>
          <w:tcPr>
            <w:tcW w:w="371" w:type="pct"/>
            <w:noWrap w:val="0"/>
            <w:vAlign w:val="center"/>
          </w:tcPr>
          <w:p w14:paraId="4958AB89">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SO</w:t>
            </w:r>
            <w:r>
              <w:rPr>
                <w:rFonts w:hint="default" w:ascii="Times New Roman" w:hAnsi="Times New Roman" w:eastAsia="方正公文仿宋" w:cs="Times New Roman"/>
                <w:color w:val="auto"/>
                <w:szCs w:val="21"/>
                <w:vertAlign w:val="subscript"/>
                <w:lang w:val="en-US" w:eastAsia="zh-CN"/>
              </w:rPr>
              <w:t>2</w:t>
            </w:r>
          </w:p>
        </w:tc>
        <w:tc>
          <w:tcPr>
            <w:tcW w:w="632" w:type="pct"/>
            <w:noWrap w:val="0"/>
            <w:vAlign w:val="center"/>
          </w:tcPr>
          <w:p w14:paraId="04593AAE">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eastAsia="方正公文仿宋" w:cs="Times New Roman"/>
                <w:color w:val="auto"/>
                <w:szCs w:val="21"/>
                <w:lang w:val="en-US" w:eastAsia="zh-CN"/>
              </w:rPr>
            </w:pPr>
            <w:r>
              <w:rPr>
                <w:rFonts w:hint="eastAsia" w:eastAsia="方正公文仿宋" w:cs="Times New Roman"/>
                <w:color w:val="auto"/>
                <w:szCs w:val="21"/>
                <w:lang w:val="en-US" w:eastAsia="zh-CN"/>
              </w:rPr>
              <w:t>0.0009</w:t>
            </w:r>
          </w:p>
        </w:tc>
        <w:tc>
          <w:tcPr>
            <w:tcW w:w="599" w:type="pct"/>
            <w:noWrap w:val="0"/>
            <w:vAlign w:val="center"/>
          </w:tcPr>
          <w:p w14:paraId="329FA93C">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eastAsia="方正公文仿宋" w:cs="Times New Roman"/>
                <w:color w:val="auto"/>
                <w:szCs w:val="21"/>
                <w:lang w:val="en-US" w:eastAsia="zh-CN"/>
              </w:rPr>
            </w:pPr>
            <w:r>
              <w:rPr>
                <w:rFonts w:hint="eastAsia" w:eastAsia="方正公文仿宋" w:cs="Times New Roman"/>
                <w:color w:val="auto"/>
                <w:szCs w:val="21"/>
                <w:lang w:val="en-US" w:eastAsia="zh-CN"/>
              </w:rPr>
              <w:t>/</w:t>
            </w:r>
          </w:p>
        </w:tc>
        <w:tc>
          <w:tcPr>
            <w:tcW w:w="571" w:type="pct"/>
            <w:noWrap w:val="0"/>
            <w:vAlign w:val="center"/>
          </w:tcPr>
          <w:p w14:paraId="258C8CB0">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w:t>
            </w:r>
          </w:p>
        </w:tc>
        <w:tc>
          <w:tcPr>
            <w:tcW w:w="592" w:type="pct"/>
            <w:noWrap w:val="0"/>
            <w:vAlign w:val="center"/>
          </w:tcPr>
          <w:p w14:paraId="64375310">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0.000625</w:t>
            </w:r>
          </w:p>
        </w:tc>
        <w:tc>
          <w:tcPr>
            <w:tcW w:w="536" w:type="pct"/>
            <w:noWrap w:val="0"/>
            <w:vAlign w:val="center"/>
          </w:tcPr>
          <w:p w14:paraId="4DA95973">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rPr>
            </w:pPr>
          </w:p>
        </w:tc>
        <w:tc>
          <w:tcPr>
            <w:tcW w:w="593" w:type="pct"/>
            <w:noWrap w:val="0"/>
            <w:vAlign w:val="center"/>
          </w:tcPr>
          <w:p w14:paraId="4BCB95E9">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0.001525</w:t>
            </w:r>
          </w:p>
        </w:tc>
        <w:tc>
          <w:tcPr>
            <w:tcW w:w="535" w:type="pct"/>
            <w:noWrap w:val="0"/>
            <w:vAlign w:val="center"/>
          </w:tcPr>
          <w:p w14:paraId="1A7801E1">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+0.000625</w:t>
            </w:r>
          </w:p>
        </w:tc>
      </w:tr>
      <w:tr w14:paraId="1FBD6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0FAF9CCE">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199" w:type="pct"/>
            <w:vMerge w:val="continue"/>
            <w:noWrap w:val="0"/>
            <w:vAlign w:val="center"/>
          </w:tcPr>
          <w:p w14:paraId="3980E284">
            <w:pPr>
              <w:keepNext w:val="0"/>
              <w:keepLines w:val="0"/>
              <w:pageBreakBefore w:val="0"/>
              <w:kinsoku/>
              <w:wordWrap/>
              <w:overflowPunct/>
              <w:topLinePunct w:val="0"/>
              <w:autoSpaceDE/>
              <w:autoSpaceDN/>
              <w:bidi w:val="0"/>
              <w:ind w:left="0" w:leftChars="0" w:firstLineChars="0"/>
              <w:jc w:val="center"/>
              <w:rPr>
                <w:rFonts w:hint="default" w:ascii="Times New Roman" w:hAnsi="Times New Roman" w:eastAsia="方正公文仿宋" w:cs="Times New Roman"/>
                <w:color w:val="auto"/>
                <w:szCs w:val="21"/>
                <w:lang w:val="en-US" w:eastAsia="zh-CN"/>
              </w:rPr>
            </w:pPr>
          </w:p>
        </w:tc>
        <w:tc>
          <w:tcPr>
            <w:tcW w:w="371" w:type="pct"/>
            <w:noWrap w:val="0"/>
            <w:vAlign w:val="center"/>
          </w:tcPr>
          <w:p w14:paraId="2CAB3E16">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NOx</w:t>
            </w:r>
          </w:p>
        </w:tc>
        <w:tc>
          <w:tcPr>
            <w:tcW w:w="632" w:type="pct"/>
            <w:noWrap w:val="0"/>
            <w:vAlign w:val="center"/>
          </w:tcPr>
          <w:p w14:paraId="6CA121A4">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0.0168</w:t>
            </w:r>
          </w:p>
        </w:tc>
        <w:tc>
          <w:tcPr>
            <w:tcW w:w="599" w:type="pct"/>
            <w:noWrap w:val="0"/>
            <w:vAlign w:val="center"/>
          </w:tcPr>
          <w:p w14:paraId="787CC63E">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w:t>
            </w:r>
          </w:p>
        </w:tc>
        <w:tc>
          <w:tcPr>
            <w:tcW w:w="571" w:type="pct"/>
            <w:noWrap w:val="0"/>
            <w:vAlign w:val="center"/>
          </w:tcPr>
          <w:p w14:paraId="790FB750">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92" w:type="pct"/>
            <w:noWrap w:val="0"/>
            <w:vAlign w:val="center"/>
          </w:tcPr>
          <w:p w14:paraId="206CE817">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0.01169</w:t>
            </w:r>
          </w:p>
        </w:tc>
        <w:tc>
          <w:tcPr>
            <w:tcW w:w="536" w:type="pct"/>
            <w:noWrap w:val="0"/>
            <w:vAlign w:val="center"/>
          </w:tcPr>
          <w:p w14:paraId="33C104DF">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w:t>
            </w:r>
          </w:p>
        </w:tc>
        <w:tc>
          <w:tcPr>
            <w:tcW w:w="593" w:type="pct"/>
            <w:noWrap w:val="0"/>
            <w:vAlign w:val="center"/>
          </w:tcPr>
          <w:p w14:paraId="5664AAFF">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0.0285</w:t>
            </w:r>
          </w:p>
        </w:tc>
        <w:tc>
          <w:tcPr>
            <w:tcW w:w="535" w:type="pct"/>
            <w:noWrap w:val="0"/>
            <w:vAlign w:val="center"/>
          </w:tcPr>
          <w:p w14:paraId="0FE27F9A">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+0.01169</w:t>
            </w:r>
          </w:p>
        </w:tc>
      </w:tr>
      <w:tr w14:paraId="20A437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561387C3">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199" w:type="pct"/>
            <w:vMerge w:val="continue"/>
            <w:noWrap w:val="0"/>
            <w:vAlign w:val="center"/>
          </w:tcPr>
          <w:p w14:paraId="5A67AF65">
            <w:pPr>
              <w:keepNext w:val="0"/>
              <w:keepLines w:val="0"/>
              <w:pageBreakBefore w:val="0"/>
              <w:kinsoku/>
              <w:wordWrap/>
              <w:overflowPunct/>
              <w:topLinePunct w:val="0"/>
              <w:autoSpaceDE/>
              <w:autoSpaceDN/>
              <w:bidi w:val="0"/>
              <w:ind w:left="0" w:leftChars="0" w:firstLineChars="0"/>
              <w:jc w:val="center"/>
              <w:rPr>
                <w:rFonts w:hint="default" w:ascii="Times New Roman" w:hAnsi="Times New Roman" w:eastAsia="方正公文仿宋" w:cs="Times New Roman"/>
                <w:color w:val="auto"/>
                <w:szCs w:val="21"/>
                <w:lang w:val="en-US" w:eastAsia="zh-CN"/>
              </w:rPr>
            </w:pPr>
          </w:p>
        </w:tc>
        <w:tc>
          <w:tcPr>
            <w:tcW w:w="371" w:type="pct"/>
            <w:noWrap w:val="0"/>
            <w:vAlign w:val="center"/>
          </w:tcPr>
          <w:p w14:paraId="7528F402">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烟尘</w:t>
            </w:r>
          </w:p>
        </w:tc>
        <w:tc>
          <w:tcPr>
            <w:tcW w:w="632" w:type="pct"/>
            <w:noWrap w:val="0"/>
            <w:vAlign w:val="center"/>
          </w:tcPr>
          <w:p w14:paraId="272E8304">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0.00216</w:t>
            </w:r>
          </w:p>
        </w:tc>
        <w:tc>
          <w:tcPr>
            <w:tcW w:w="599" w:type="pct"/>
            <w:noWrap w:val="0"/>
            <w:vAlign w:val="center"/>
          </w:tcPr>
          <w:p w14:paraId="7A72F0CB">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w:t>
            </w:r>
          </w:p>
        </w:tc>
        <w:tc>
          <w:tcPr>
            <w:tcW w:w="571" w:type="pct"/>
            <w:noWrap w:val="0"/>
            <w:vAlign w:val="center"/>
          </w:tcPr>
          <w:p w14:paraId="64998E37">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w:t>
            </w:r>
          </w:p>
        </w:tc>
        <w:tc>
          <w:tcPr>
            <w:tcW w:w="592" w:type="pct"/>
            <w:noWrap w:val="0"/>
            <w:vAlign w:val="center"/>
          </w:tcPr>
          <w:p w14:paraId="69AC9D09">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0.0015</w:t>
            </w:r>
          </w:p>
        </w:tc>
        <w:tc>
          <w:tcPr>
            <w:tcW w:w="536" w:type="pct"/>
            <w:noWrap w:val="0"/>
            <w:vAlign w:val="center"/>
          </w:tcPr>
          <w:p w14:paraId="420E8166">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w:t>
            </w:r>
          </w:p>
        </w:tc>
        <w:tc>
          <w:tcPr>
            <w:tcW w:w="593" w:type="pct"/>
            <w:noWrap w:val="0"/>
            <w:vAlign w:val="center"/>
          </w:tcPr>
          <w:p w14:paraId="52EFB538">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0.00366</w:t>
            </w:r>
          </w:p>
        </w:tc>
        <w:tc>
          <w:tcPr>
            <w:tcW w:w="535" w:type="pct"/>
            <w:noWrap w:val="0"/>
            <w:vAlign w:val="center"/>
          </w:tcPr>
          <w:p w14:paraId="235883D8">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eastAsia" w:eastAsia="方正公文仿宋" w:cs="Times New Roman"/>
                <w:color w:val="auto"/>
                <w:szCs w:val="21"/>
                <w:lang w:val="en-US" w:eastAsia="zh-CN"/>
              </w:rPr>
              <w:t>+0.0015</w:t>
            </w:r>
          </w:p>
        </w:tc>
      </w:tr>
      <w:tr w14:paraId="1C71F3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restart"/>
            <w:noWrap w:val="0"/>
            <w:vAlign w:val="center"/>
          </w:tcPr>
          <w:p w14:paraId="4E9504BC">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snapToGrid w:val="0"/>
                <w:color w:val="auto"/>
                <w:kern w:val="21"/>
                <w:szCs w:val="21"/>
              </w:rPr>
              <w:t>废水</w:t>
            </w:r>
          </w:p>
        </w:tc>
        <w:tc>
          <w:tcPr>
            <w:tcW w:w="571" w:type="pct"/>
            <w:gridSpan w:val="2"/>
            <w:noWrap w:val="0"/>
            <w:vAlign w:val="center"/>
          </w:tcPr>
          <w:p w14:paraId="6FA2E110">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水量</w:t>
            </w:r>
          </w:p>
        </w:tc>
        <w:tc>
          <w:tcPr>
            <w:tcW w:w="632" w:type="pct"/>
            <w:noWrap w:val="0"/>
            <w:vAlign w:val="center"/>
          </w:tcPr>
          <w:p w14:paraId="6B23527A">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213138</w:t>
            </w:r>
          </w:p>
        </w:tc>
        <w:tc>
          <w:tcPr>
            <w:tcW w:w="599" w:type="pct"/>
            <w:noWrap w:val="0"/>
            <w:vAlign w:val="center"/>
          </w:tcPr>
          <w:p w14:paraId="41EA0D89">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213138</w:t>
            </w:r>
          </w:p>
        </w:tc>
        <w:tc>
          <w:tcPr>
            <w:tcW w:w="571" w:type="pct"/>
            <w:noWrap w:val="0"/>
            <w:vAlign w:val="center"/>
          </w:tcPr>
          <w:p w14:paraId="3DEDA3AE">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snapToGrid w:val="0"/>
                <w:color w:val="auto"/>
                <w:kern w:val="21"/>
                <w:szCs w:val="21"/>
              </w:rPr>
              <w:t>/</w:t>
            </w:r>
          </w:p>
        </w:tc>
        <w:tc>
          <w:tcPr>
            <w:tcW w:w="592" w:type="pct"/>
            <w:noWrap w:val="0"/>
            <w:vAlign w:val="center"/>
          </w:tcPr>
          <w:p w14:paraId="07CE79C7">
            <w:pPr>
              <w:pStyle w:val="109"/>
              <w:keepNext w:val="0"/>
              <w:keepLines w:val="0"/>
              <w:pageBreakBefore w:val="0"/>
              <w:kinsoku/>
              <w:wordWrap/>
              <w:overflowPunct/>
              <w:topLinePunct w:val="0"/>
              <w:autoSpaceDE/>
              <w:autoSpaceDN/>
              <w:bidi w:val="0"/>
              <w:ind w:left="0" w:leftChars="0" w:firstLineChars="0"/>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73687</w:t>
            </w:r>
          </w:p>
        </w:tc>
        <w:tc>
          <w:tcPr>
            <w:tcW w:w="536" w:type="pct"/>
            <w:noWrap w:val="0"/>
            <w:vAlign w:val="center"/>
          </w:tcPr>
          <w:p w14:paraId="30BA83F2">
            <w:pPr>
              <w:keepNext w:val="0"/>
              <w:keepLines w:val="0"/>
              <w:pageBreakBefore w:val="0"/>
              <w:widowControl/>
              <w:kinsoku/>
              <w:wordWrap/>
              <w:overflowPunct/>
              <w:topLinePunct w:val="0"/>
              <w:autoSpaceDE/>
              <w:autoSpaceDN/>
              <w:bidi w:val="0"/>
              <w:adjustRightInd w:val="0"/>
              <w:snapToGrid w:val="0"/>
              <w:ind w:left="0" w:leftChars="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w:t>
            </w:r>
          </w:p>
        </w:tc>
        <w:tc>
          <w:tcPr>
            <w:tcW w:w="593" w:type="pct"/>
            <w:noWrap w:val="0"/>
            <w:vAlign w:val="center"/>
          </w:tcPr>
          <w:p w14:paraId="4C0D6E13">
            <w:pPr>
              <w:pStyle w:val="109"/>
              <w:keepNext w:val="0"/>
              <w:keepLines w:val="0"/>
              <w:pageBreakBefore w:val="0"/>
              <w:kinsoku/>
              <w:wordWrap/>
              <w:overflowPunct/>
              <w:topLinePunct w:val="0"/>
              <w:autoSpaceDE/>
              <w:autoSpaceDN/>
              <w:bidi w:val="0"/>
              <w:ind w:left="0" w:leftChars="0" w:firstLineChars="0"/>
              <w:rPr>
                <w:rFonts w:hint="default" w:ascii="Times New Roman" w:hAnsi="Times New Roman" w:eastAsia="方正公文仿宋" w:cs="Times New Roman"/>
                <w:color w:val="auto"/>
                <w:kern w:val="0"/>
                <w:szCs w:val="21"/>
                <w:lang w:val="en-US" w:eastAsia="zh-CN"/>
              </w:rPr>
            </w:pPr>
            <w:r>
              <w:rPr>
                <w:rFonts w:hint="default" w:ascii="Times New Roman" w:hAnsi="Times New Roman" w:eastAsia="方正公文仿宋" w:cs="Times New Roman"/>
                <w:color w:val="auto"/>
                <w:kern w:val="0"/>
                <w:szCs w:val="21"/>
                <w:lang w:val="en-US" w:eastAsia="zh-CN"/>
              </w:rPr>
              <w:t>286825</w:t>
            </w:r>
          </w:p>
        </w:tc>
        <w:tc>
          <w:tcPr>
            <w:tcW w:w="535" w:type="pct"/>
            <w:noWrap w:val="0"/>
            <w:vAlign w:val="center"/>
          </w:tcPr>
          <w:p w14:paraId="0ED2556D">
            <w:pPr>
              <w:pStyle w:val="109"/>
              <w:keepNext w:val="0"/>
              <w:keepLines w:val="0"/>
              <w:pageBreakBefore w:val="0"/>
              <w:kinsoku/>
              <w:wordWrap/>
              <w:overflowPunct/>
              <w:topLinePunct w:val="0"/>
              <w:autoSpaceDE/>
              <w:autoSpaceDN/>
              <w:bidi w:val="0"/>
              <w:ind w:left="0" w:leftChars="0" w:firstLine="0" w:firstLineChars="0"/>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color w:val="auto"/>
                <w:szCs w:val="21"/>
                <w:lang w:val="en-US" w:eastAsia="zh-CN"/>
              </w:rPr>
              <w:t>+73687</w:t>
            </w:r>
          </w:p>
        </w:tc>
      </w:tr>
      <w:tr w14:paraId="05479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485E3B9F">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571" w:type="pct"/>
            <w:gridSpan w:val="2"/>
            <w:noWrap w:val="0"/>
            <w:vAlign w:val="center"/>
          </w:tcPr>
          <w:p w14:paraId="0A3CA0AD">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COD</w:t>
            </w:r>
          </w:p>
        </w:tc>
        <w:tc>
          <w:tcPr>
            <w:tcW w:w="632" w:type="pct"/>
            <w:noWrap w:val="0"/>
            <w:vAlign w:val="center"/>
          </w:tcPr>
          <w:p w14:paraId="3DAA2671">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42.63</w:t>
            </w:r>
          </w:p>
        </w:tc>
        <w:tc>
          <w:tcPr>
            <w:tcW w:w="599" w:type="pct"/>
            <w:noWrap w:val="0"/>
            <w:vAlign w:val="center"/>
          </w:tcPr>
          <w:p w14:paraId="16CFC017">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42.63</w:t>
            </w:r>
          </w:p>
        </w:tc>
        <w:tc>
          <w:tcPr>
            <w:tcW w:w="571" w:type="pct"/>
            <w:noWrap w:val="0"/>
            <w:vAlign w:val="center"/>
          </w:tcPr>
          <w:p w14:paraId="3351BC48">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snapToGrid w:val="0"/>
                <w:color w:val="auto"/>
                <w:kern w:val="21"/>
                <w:szCs w:val="21"/>
              </w:rPr>
              <w:t>/</w:t>
            </w:r>
          </w:p>
        </w:tc>
        <w:tc>
          <w:tcPr>
            <w:tcW w:w="592" w:type="pct"/>
            <w:noWrap w:val="0"/>
            <w:vAlign w:val="center"/>
          </w:tcPr>
          <w:p w14:paraId="323D77F3">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kern w:val="0"/>
                <w:szCs w:val="21"/>
                <w:lang w:val="en-US" w:eastAsia="zh-CN"/>
              </w:rPr>
            </w:pPr>
            <w:r>
              <w:rPr>
                <w:rFonts w:hint="default" w:ascii="Times New Roman" w:hAnsi="Times New Roman" w:eastAsia="方正公文仿宋" w:cs="Times New Roman"/>
                <w:color w:val="auto"/>
                <w:kern w:val="0"/>
                <w:szCs w:val="21"/>
                <w:lang w:val="en-US" w:eastAsia="zh-CN"/>
              </w:rPr>
              <w:t>14.74</w:t>
            </w:r>
          </w:p>
        </w:tc>
        <w:tc>
          <w:tcPr>
            <w:tcW w:w="536" w:type="pct"/>
            <w:noWrap w:val="0"/>
            <w:vAlign w:val="center"/>
          </w:tcPr>
          <w:p w14:paraId="5611A8B6">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kern w:val="0"/>
                <w:szCs w:val="21"/>
              </w:rPr>
              <w:t>/</w:t>
            </w:r>
          </w:p>
        </w:tc>
        <w:tc>
          <w:tcPr>
            <w:tcW w:w="593" w:type="pct"/>
            <w:noWrap w:val="0"/>
            <w:vAlign w:val="center"/>
          </w:tcPr>
          <w:p w14:paraId="05F95359">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kern w:val="0"/>
                <w:szCs w:val="21"/>
                <w:lang w:val="en-US" w:eastAsia="zh-CN"/>
              </w:rPr>
            </w:pPr>
            <w:r>
              <w:rPr>
                <w:rFonts w:hint="default" w:ascii="Times New Roman" w:hAnsi="Times New Roman" w:eastAsia="方正公文仿宋" w:cs="Times New Roman"/>
                <w:color w:val="auto"/>
                <w:kern w:val="0"/>
                <w:szCs w:val="21"/>
                <w:lang w:val="en-US" w:eastAsia="zh-CN"/>
              </w:rPr>
              <w:t>57.37</w:t>
            </w:r>
          </w:p>
        </w:tc>
        <w:tc>
          <w:tcPr>
            <w:tcW w:w="535" w:type="pct"/>
            <w:noWrap w:val="0"/>
            <w:vAlign w:val="center"/>
          </w:tcPr>
          <w:p w14:paraId="46BB367D">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color w:val="auto"/>
                <w:kern w:val="0"/>
                <w:szCs w:val="21"/>
                <w:lang w:val="en-US" w:eastAsia="zh-CN"/>
              </w:rPr>
              <w:t>+14.74</w:t>
            </w:r>
          </w:p>
        </w:tc>
      </w:tr>
      <w:tr w14:paraId="3F0935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7DCED44B">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571" w:type="pct"/>
            <w:gridSpan w:val="2"/>
            <w:noWrap w:val="0"/>
            <w:vAlign w:val="center"/>
          </w:tcPr>
          <w:p w14:paraId="248BD37C">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SS</w:t>
            </w:r>
          </w:p>
        </w:tc>
        <w:tc>
          <w:tcPr>
            <w:tcW w:w="632" w:type="pct"/>
            <w:noWrap w:val="0"/>
            <w:vAlign w:val="center"/>
          </w:tcPr>
          <w:p w14:paraId="06100873">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12.79</w:t>
            </w:r>
          </w:p>
        </w:tc>
        <w:tc>
          <w:tcPr>
            <w:tcW w:w="599" w:type="pct"/>
            <w:noWrap w:val="0"/>
            <w:vAlign w:val="center"/>
          </w:tcPr>
          <w:p w14:paraId="171EAFEA">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12.79</w:t>
            </w:r>
          </w:p>
        </w:tc>
        <w:tc>
          <w:tcPr>
            <w:tcW w:w="571" w:type="pct"/>
            <w:noWrap w:val="0"/>
            <w:vAlign w:val="center"/>
          </w:tcPr>
          <w:p w14:paraId="40454474">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snapToGrid w:val="0"/>
                <w:color w:val="auto"/>
                <w:kern w:val="21"/>
                <w:szCs w:val="21"/>
              </w:rPr>
              <w:t>/</w:t>
            </w:r>
          </w:p>
        </w:tc>
        <w:tc>
          <w:tcPr>
            <w:tcW w:w="592" w:type="pct"/>
            <w:noWrap w:val="0"/>
            <w:vAlign w:val="center"/>
          </w:tcPr>
          <w:p w14:paraId="46053263">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kern w:val="0"/>
                <w:szCs w:val="21"/>
                <w:lang w:val="en-US" w:eastAsia="zh-CN"/>
              </w:rPr>
            </w:pPr>
            <w:r>
              <w:rPr>
                <w:rFonts w:hint="default" w:ascii="Times New Roman" w:hAnsi="Times New Roman" w:eastAsia="方正公文仿宋" w:cs="Times New Roman"/>
                <w:color w:val="auto"/>
                <w:kern w:val="0"/>
                <w:szCs w:val="21"/>
                <w:lang w:val="en-US" w:eastAsia="zh-CN"/>
              </w:rPr>
              <w:t>4.42</w:t>
            </w:r>
          </w:p>
        </w:tc>
        <w:tc>
          <w:tcPr>
            <w:tcW w:w="536" w:type="pct"/>
            <w:noWrap w:val="0"/>
            <w:vAlign w:val="center"/>
          </w:tcPr>
          <w:p w14:paraId="3EA3BD31">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w:t>
            </w:r>
          </w:p>
        </w:tc>
        <w:tc>
          <w:tcPr>
            <w:tcW w:w="593" w:type="pct"/>
            <w:noWrap w:val="0"/>
            <w:vAlign w:val="center"/>
          </w:tcPr>
          <w:p w14:paraId="4635DE61">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kern w:val="0"/>
                <w:szCs w:val="21"/>
                <w:lang w:val="en-US" w:eastAsia="zh-CN"/>
              </w:rPr>
            </w:pPr>
            <w:r>
              <w:rPr>
                <w:rFonts w:hint="default" w:ascii="Times New Roman" w:hAnsi="Times New Roman" w:eastAsia="方正公文仿宋" w:cs="Times New Roman"/>
                <w:color w:val="auto"/>
                <w:kern w:val="0"/>
                <w:szCs w:val="21"/>
                <w:lang w:val="en-US" w:eastAsia="zh-CN"/>
              </w:rPr>
              <w:t>17.21</w:t>
            </w:r>
          </w:p>
        </w:tc>
        <w:tc>
          <w:tcPr>
            <w:tcW w:w="535" w:type="pct"/>
            <w:noWrap w:val="0"/>
            <w:vAlign w:val="center"/>
          </w:tcPr>
          <w:p w14:paraId="1A064484">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color w:val="auto"/>
                <w:kern w:val="0"/>
                <w:szCs w:val="21"/>
                <w:lang w:val="en-US" w:eastAsia="zh-CN"/>
              </w:rPr>
              <w:t>+4.42</w:t>
            </w:r>
          </w:p>
        </w:tc>
      </w:tr>
      <w:tr w14:paraId="12F2F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58B0BC81">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571" w:type="pct"/>
            <w:gridSpan w:val="2"/>
            <w:noWrap w:val="0"/>
            <w:vAlign w:val="center"/>
          </w:tcPr>
          <w:p w14:paraId="02BD0146">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氨氮</w:t>
            </w:r>
          </w:p>
        </w:tc>
        <w:tc>
          <w:tcPr>
            <w:tcW w:w="632" w:type="pct"/>
            <w:noWrap w:val="0"/>
            <w:vAlign w:val="center"/>
          </w:tcPr>
          <w:p w14:paraId="00098961">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4.26</w:t>
            </w:r>
          </w:p>
        </w:tc>
        <w:tc>
          <w:tcPr>
            <w:tcW w:w="599" w:type="pct"/>
            <w:noWrap w:val="0"/>
            <w:vAlign w:val="center"/>
          </w:tcPr>
          <w:p w14:paraId="6AC3FDD1">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4.26</w:t>
            </w:r>
          </w:p>
        </w:tc>
        <w:tc>
          <w:tcPr>
            <w:tcW w:w="571" w:type="pct"/>
            <w:noWrap w:val="0"/>
            <w:vAlign w:val="center"/>
          </w:tcPr>
          <w:p w14:paraId="2F3A6C7C">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snapToGrid w:val="0"/>
                <w:color w:val="auto"/>
                <w:kern w:val="21"/>
                <w:szCs w:val="21"/>
              </w:rPr>
              <w:t>/</w:t>
            </w:r>
          </w:p>
        </w:tc>
        <w:tc>
          <w:tcPr>
            <w:tcW w:w="592" w:type="pct"/>
            <w:noWrap w:val="0"/>
            <w:vAlign w:val="center"/>
          </w:tcPr>
          <w:p w14:paraId="379D3265">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kern w:val="0"/>
                <w:szCs w:val="21"/>
                <w:lang w:val="en-US" w:eastAsia="zh-CN"/>
              </w:rPr>
            </w:pPr>
            <w:r>
              <w:rPr>
                <w:rFonts w:hint="default" w:ascii="Times New Roman" w:hAnsi="Times New Roman" w:eastAsia="方正公文仿宋" w:cs="Times New Roman"/>
                <w:color w:val="auto"/>
                <w:kern w:val="0"/>
                <w:szCs w:val="21"/>
                <w:lang w:val="en-US" w:eastAsia="zh-CN"/>
              </w:rPr>
              <w:t>2.21</w:t>
            </w:r>
          </w:p>
        </w:tc>
        <w:tc>
          <w:tcPr>
            <w:tcW w:w="536" w:type="pct"/>
            <w:noWrap w:val="0"/>
            <w:vAlign w:val="center"/>
          </w:tcPr>
          <w:p w14:paraId="0F16C715">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w:t>
            </w:r>
          </w:p>
        </w:tc>
        <w:tc>
          <w:tcPr>
            <w:tcW w:w="593" w:type="pct"/>
            <w:noWrap w:val="0"/>
            <w:vAlign w:val="center"/>
          </w:tcPr>
          <w:p w14:paraId="4A9022EF">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kern w:val="0"/>
                <w:szCs w:val="21"/>
                <w:lang w:val="en-US" w:eastAsia="zh-CN"/>
              </w:rPr>
            </w:pPr>
            <w:r>
              <w:rPr>
                <w:rFonts w:hint="default" w:ascii="Times New Roman" w:hAnsi="Times New Roman" w:eastAsia="方正公文仿宋" w:cs="Times New Roman"/>
                <w:color w:val="auto"/>
                <w:kern w:val="0"/>
                <w:szCs w:val="21"/>
                <w:lang w:val="en-US" w:eastAsia="zh-CN"/>
              </w:rPr>
              <w:t>6.47</w:t>
            </w:r>
          </w:p>
        </w:tc>
        <w:tc>
          <w:tcPr>
            <w:tcW w:w="535" w:type="pct"/>
            <w:noWrap w:val="0"/>
            <w:vAlign w:val="center"/>
          </w:tcPr>
          <w:p w14:paraId="33E3443C">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color w:val="auto"/>
                <w:kern w:val="0"/>
                <w:szCs w:val="21"/>
                <w:lang w:val="en-US" w:eastAsia="zh-CN"/>
              </w:rPr>
              <w:t>+2.21</w:t>
            </w:r>
          </w:p>
        </w:tc>
      </w:tr>
      <w:tr w14:paraId="15330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38A7F7EE">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571" w:type="pct"/>
            <w:gridSpan w:val="2"/>
            <w:noWrap w:val="0"/>
            <w:vAlign w:val="center"/>
          </w:tcPr>
          <w:p w14:paraId="7EDE1F7D">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TP</w:t>
            </w:r>
          </w:p>
        </w:tc>
        <w:tc>
          <w:tcPr>
            <w:tcW w:w="632" w:type="pct"/>
            <w:noWrap w:val="0"/>
            <w:vAlign w:val="center"/>
          </w:tcPr>
          <w:p w14:paraId="44F88F50">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0.64</w:t>
            </w:r>
          </w:p>
        </w:tc>
        <w:tc>
          <w:tcPr>
            <w:tcW w:w="599" w:type="pct"/>
            <w:noWrap w:val="0"/>
            <w:vAlign w:val="center"/>
          </w:tcPr>
          <w:p w14:paraId="3A8A1468">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0.64</w:t>
            </w:r>
          </w:p>
        </w:tc>
        <w:tc>
          <w:tcPr>
            <w:tcW w:w="571" w:type="pct"/>
            <w:noWrap w:val="0"/>
            <w:vAlign w:val="center"/>
          </w:tcPr>
          <w:p w14:paraId="08C61B55">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snapToGrid w:val="0"/>
                <w:color w:val="auto"/>
                <w:kern w:val="21"/>
                <w:szCs w:val="21"/>
              </w:rPr>
              <w:t>/</w:t>
            </w:r>
          </w:p>
        </w:tc>
        <w:tc>
          <w:tcPr>
            <w:tcW w:w="592" w:type="pct"/>
            <w:noWrap w:val="0"/>
            <w:vAlign w:val="center"/>
          </w:tcPr>
          <w:p w14:paraId="1F0228B4">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kern w:val="0"/>
                <w:szCs w:val="21"/>
                <w:lang w:val="en-US" w:eastAsia="zh-CN"/>
              </w:rPr>
            </w:pPr>
            <w:r>
              <w:rPr>
                <w:rFonts w:hint="default" w:ascii="Times New Roman" w:hAnsi="Times New Roman" w:eastAsia="方正公文仿宋" w:cs="Times New Roman"/>
                <w:color w:val="auto"/>
                <w:kern w:val="0"/>
                <w:szCs w:val="21"/>
                <w:lang w:val="en-US" w:eastAsia="zh-CN"/>
              </w:rPr>
              <w:t>0.37</w:t>
            </w:r>
          </w:p>
        </w:tc>
        <w:tc>
          <w:tcPr>
            <w:tcW w:w="536" w:type="pct"/>
            <w:noWrap w:val="0"/>
            <w:vAlign w:val="center"/>
          </w:tcPr>
          <w:p w14:paraId="57D6E463">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w:t>
            </w:r>
          </w:p>
        </w:tc>
        <w:tc>
          <w:tcPr>
            <w:tcW w:w="593" w:type="pct"/>
            <w:noWrap w:val="0"/>
            <w:vAlign w:val="center"/>
          </w:tcPr>
          <w:p w14:paraId="532F3D7D">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kern w:val="0"/>
                <w:szCs w:val="21"/>
                <w:lang w:val="en-US" w:eastAsia="zh-CN"/>
              </w:rPr>
            </w:pPr>
            <w:r>
              <w:rPr>
                <w:rFonts w:hint="default" w:ascii="Times New Roman" w:hAnsi="Times New Roman" w:eastAsia="方正公文仿宋" w:cs="Times New Roman"/>
                <w:color w:val="auto"/>
                <w:kern w:val="0"/>
                <w:szCs w:val="21"/>
                <w:lang w:val="en-US" w:eastAsia="zh-CN"/>
              </w:rPr>
              <w:t>1.01</w:t>
            </w:r>
          </w:p>
        </w:tc>
        <w:tc>
          <w:tcPr>
            <w:tcW w:w="535" w:type="pct"/>
            <w:noWrap w:val="0"/>
            <w:vAlign w:val="center"/>
          </w:tcPr>
          <w:p w14:paraId="566F5718">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color w:val="auto"/>
                <w:kern w:val="0"/>
                <w:szCs w:val="21"/>
                <w:lang w:val="en-US" w:eastAsia="zh-CN"/>
              </w:rPr>
              <w:t>+0.37</w:t>
            </w:r>
          </w:p>
        </w:tc>
      </w:tr>
      <w:tr w14:paraId="23958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386AB15E">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571" w:type="pct"/>
            <w:gridSpan w:val="2"/>
            <w:noWrap w:val="0"/>
            <w:vAlign w:val="center"/>
          </w:tcPr>
          <w:p w14:paraId="4F5219C8">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rPr>
              <w:t>TN</w:t>
            </w:r>
          </w:p>
        </w:tc>
        <w:tc>
          <w:tcPr>
            <w:tcW w:w="632" w:type="pct"/>
            <w:noWrap w:val="0"/>
            <w:vAlign w:val="center"/>
          </w:tcPr>
          <w:p w14:paraId="67177DF4">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w:t>
            </w:r>
          </w:p>
        </w:tc>
        <w:tc>
          <w:tcPr>
            <w:tcW w:w="599" w:type="pct"/>
            <w:noWrap w:val="0"/>
            <w:vAlign w:val="center"/>
          </w:tcPr>
          <w:p w14:paraId="6056C8D9">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w:t>
            </w:r>
          </w:p>
        </w:tc>
        <w:tc>
          <w:tcPr>
            <w:tcW w:w="571" w:type="pct"/>
            <w:noWrap w:val="0"/>
            <w:vAlign w:val="center"/>
          </w:tcPr>
          <w:p w14:paraId="49649661">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snapToGrid w:val="0"/>
                <w:color w:val="auto"/>
                <w:kern w:val="21"/>
                <w:szCs w:val="21"/>
              </w:rPr>
              <w:t>/</w:t>
            </w:r>
          </w:p>
        </w:tc>
        <w:tc>
          <w:tcPr>
            <w:tcW w:w="592" w:type="pct"/>
            <w:noWrap w:val="0"/>
            <w:vAlign w:val="center"/>
          </w:tcPr>
          <w:p w14:paraId="1801437D">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kern w:val="0"/>
                <w:szCs w:val="21"/>
                <w:lang w:val="en-US" w:eastAsia="zh-CN"/>
              </w:rPr>
            </w:pPr>
            <w:r>
              <w:rPr>
                <w:rFonts w:hint="default" w:ascii="Times New Roman" w:hAnsi="Times New Roman" w:eastAsia="方正公文仿宋" w:cs="Times New Roman"/>
                <w:color w:val="auto"/>
                <w:kern w:val="0"/>
                <w:szCs w:val="21"/>
                <w:lang w:val="en-US" w:eastAsia="zh-CN"/>
              </w:rPr>
              <w:t>2.95</w:t>
            </w:r>
          </w:p>
        </w:tc>
        <w:tc>
          <w:tcPr>
            <w:tcW w:w="536" w:type="pct"/>
            <w:noWrap w:val="0"/>
            <w:vAlign w:val="center"/>
          </w:tcPr>
          <w:p w14:paraId="43F08446">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w:t>
            </w:r>
          </w:p>
        </w:tc>
        <w:tc>
          <w:tcPr>
            <w:tcW w:w="593" w:type="pct"/>
            <w:noWrap w:val="0"/>
            <w:vAlign w:val="center"/>
          </w:tcPr>
          <w:p w14:paraId="2DFE88F8">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kern w:val="0"/>
                <w:szCs w:val="21"/>
                <w:lang w:val="en-US" w:eastAsia="zh-CN"/>
              </w:rPr>
            </w:pPr>
            <w:r>
              <w:rPr>
                <w:rFonts w:hint="default" w:ascii="Times New Roman" w:hAnsi="Times New Roman" w:eastAsia="方正公文仿宋" w:cs="Times New Roman"/>
                <w:color w:val="auto"/>
                <w:kern w:val="0"/>
                <w:szCs w:val="21"/>
                <w:lang w:val="en-US" w:eastAsia="zh-CN"/>
              </w:rPr>
              <w:t>2.95</w:t>
            </w:r>
          </w:p>
        </w:tc>
        <w:tc>
          <w:tcPr>
            <w:tcW w:w="535" w:type="pct"/>
            <w:noWrap w:val="0"/>
            <w:vAlign w:val="center"/>
          </w:tcPr>
          <w:p w14:paraId="7FC672FA">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color w:val="auto"/>
                <w:kern w:val="0"/>
                <w:szCs w:val="21"/>
                <w:lang w:val="en-US" w:eastAsia="zh-CN"/>
              </w:rPr>
              <w:t>+2.95</w:t>
            </w:r>
          </w:p>
        </w:tc>
      </w:tr>
      <w:tr w14:paraId="27FD40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5AF3F215">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571" w:type="pct"/>
            <w:gridSpan w:val="2"/>
            <w:noWrap w:val="0"/>
            <w:vAlign w:val="center"/>
          </w:tcPr>
          <w:p w14:paraId="3D7591AD">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lang w:val="en-US" w:eastAsia="zh-CN"/>
              </w:rPr>
            </w:pPr>
            <w:r>
              <w:rPr>
                <w:rFonts w:hint="default" w:ascii="Times New Roman" w:hAnsi="Times New Roman" w:eastAsia="方正公文仿宋" w:cs="Times New Roman"/>
                <w:color w:val="auto"/>
                <w:lang w:val="en-US" w:eastAsia="zh-CN"/>
              </w:rPr>
              <w:t>动植物油</w:t>
            </w:r>
          </w:p>
        </w:tc>
        <w:tc>
          <w:tcPr>
            <w:tcW w:w="632" w:type="pct"/>
            <w:noWrap w:val="0"/>
            <w:vAlign w:val="center"/>
          </w:tcPr>
          <w:p w14:paraId="0D5DEB01">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4.26</w:t>
            </w:r>
          </w:p>
        </w:tc>
        <w:tc>
          <w:tcPr>
            <w:tcW w:w="599" w:type="pct"/>
            <w:noWrap w:val="0"/>
            <w:vAlign w:val="center"/>
          </w:tcPr>
          <w:p w14:paraId="5C4215C7">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4.26</w:t>
            </w:r>
          </w:p>
        </w:tc>
        <w:tc>
          <w:tcPr>
            <w:tcW w:w="571" w:type="pct"/>
            <w:noWrap w:val="0"/>
            <w:vAlign w:val="center"/>
          </w:tcPr>
          <w:p w14:paraId="653A9713">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lang w:val="en-US" w:eastAsia="zh-CN"/>
              </w:rPr>
            </w:pPr>
            <w:r>
              <w:rPr>
                <w:rFonts w:hint="default" w:ascii="Times New Roman" w:hAnsi="Times New Roman" w:eastAsia="方正公文仿宋" w:cs="Times New Roman"/>
                <w:snapToGrid w:val="0"/>
                <w:color w:val="auto"/>
                <w:kern w:val="21"/>
                <w:szCs w:val="21"/>
                <w:lang w:val="en-US" w:eastAsia="zh-CN"/>
              </w:rPr>
              <w:t>/</w:t>
            </w:r>
          </w:p>
        </w:tc>
        <w:tc>
          <w:tcPr>
            <w:tcW w:w="592" w:type="pct"/>
            <w:noWrap w:val="0"/>
            <w:vAlign w:val="center"/>
          </w:tcPr>
          <w:p w14:paraId="378AD149">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i w:val="0"/>
                <w:iCs w:val="0"/>
                <w:color w:val="auto"/>
                <w:kern w:val="0"/>
                <w:sz w:val="21"/>
                <w:szCs w:val="21"/>
                <w:u w:val="none"/>
                <w:lang w:val="en-US" w:eastAsia="zh-CN" w:bidi="ar"/>
              </w:rPr>
              <w:t>1.47</w:t>
            </w:r>
          </w:p>
        </w:tc>
        <w:tc>
          <w:tcPr>
            <w:tcW w:w="536" w:type="pct"/>
            <w:noWrap w:val="0"/>
            <w:vAlign w:val="center"/>
          </w:tcPr>
          <w:p w14:paraId="3F003092">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w:t>
            </w:r>
          </w:p>
        </w:tc>
        <w:tc>
          <w:tcPr>
            <w:tcW w:w="593" w:type="pct"/>
            <w:noWrap w:val="0"/>
            <w:vAlign w:val="center"/>
          </w:tcPr>
          <w:p w14:paraId="6EDA9140">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i w:val="0"/>
                <w:iCs w:val="0"/>
                <w:color w:val="auto"/>
                <w:kern w:val="0"/>
                <w:sz w:val="21"/>
                <w:szCs w:val="21"/>
                <w:u w:val="none"/>
                <w:lang w:val="en-US" w:eastAsia="zh-CN" w:bidi="ar"/>
              </w:rPr>
              <w:t>5.73</w:t>
            </w:r>
          </w:p>
        </w:tc>
        <w:tc>
          <w:tcPr>
            <w:tcW w:w="535" w:type="pct"/>
            <w:noWrap w:val="0"/>
            <w:vAlign w:val="center"/>
          </w:tcPr>
          <w:p w14:paraId="782CFA09">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i w:val="0"/>
                <w:iCs w:val="0"/>
                <w:color w:val="auto"/>
                <w:kern w:val="0"/>
                <w:sz w:val="21"/>
                <w:szCs w:val="21"/>
                <w:u w:val="none"/>
                <w:lang w:val="en-US" w:eastAsia="zh-CN" w:bidi="ar"/>
              </w:rPr>
              <w:t>+1.47</w:t>
            </w:r>
          </w:p>
        </w:tc>
      </w:tr>
      <w:tr w14:paraId="1D2AD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1E7A8C1E">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571" w:type="pct"/>
            <w:gridSpan w:val="2"/>
            <w:noWrap w:val="0"/>
            <w:vAlign w:val="center"/>
          </w:tcPr>
          <w:p w14:paraId="6318BF7C">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lang w:val="en-US" w:eastAsia="zh-CN"/>
              </w:rPr>
            </w:pPr>
            <w:r>
              <w:rPr>
                <w:rFonts w:hint="default" w:ascii="Times New Roman" w:hAnsi="Times New Roman" w:eastAsia="方正公文仿宋" w:cs="Times New Roman"/>
                <w:color w:val="auto"/>
                <w:lang w:val="en-US" w:eastAsia="zh-CN"/>
              </w:rPr>
              <w:t>粪大肠菌群数</w:t>
            </w:r>
          </w:p>
        </w:tc>
        <w:tc>
          <w:tcPr>
            <w:tcW w:w="632" w:type="pct"/>
            <w:noWrap w:val="0"/>
            <w:vAlign w:val="center"/>
          </w:tcPr>
          <w:p w14:paraId="5E833968">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6.39×10</w:t>
            </w:r>
            <w:r>
              <w:rPr>
                <w:rFonts w:hint="default" w:ascii="Times New Roman" w:hAnsi="Times New Roman" w:eastAsia="方正公文仿宋" w:cs="Times New Roman"/>
                <w:color w:val="auto"/>
                <w:szCs w:val="21"/>
                <w:vertAlign w:val="superscript"/>
                <w:lang w:val="en-US" w:eastAsia="zh-CN"/>
              </w:rPr>
              <w:t>11</w:t>
            </w:r>
            <w:r>
              <w:rPr>
                <w:rFonts w:hint="default" w:ascii="Times New Roman" w:hAnsi="Times New Roman" w:eastAsia="方正公文仿宋" w:cs="Times New Roman"/>
                <w:color w:val="auto"/>
                <w:szCs w:val="21"/>
                <w:lang w:val="en-US" w:eastAsia="zh-CN"/>
              </w:rPr>
              <w:t>个/a</w:t>
            </w:r>
          </w:p>
        </w:tc>
        <w:tc>
          <w:tcPr>
            <w:tcW w:w="599" w:type="pct"/>
            <w:noWrap w:val="0"/>
            <w:vAlign w:val="center"/>
          </w:tcPr>
          <w:p w14:paraId="775D77F9">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6.39×10</w:t>
            </w:r>
            <w:r>
              <w:rPr>
                <w:rFonts w:hint="default" w:ascii="Times New Roman" w:hAnsi="Times New Roman" w:eastAsia="方正公文仿宋" w:cs="Times New Roman"/>
                <w:color w:val="auto"/>
                <w:szCs w:val="21"/>
                <w:vertAlign w:val="superscript"/>
                <w:lang w:val="en-US" w:eastAsia="zh-CN"/>
              </w:rPr>
              <w:t>11</w:t>
            </w:r>
            <w:r>
              <w:rPr>
                <w:rFonts w:hint="default" w:ascii="Times New Roman" w:hAnsi="Times New Roman" w:eastAsia="方正公文仿宋" w:cs="Times New Roman"/>
                <w:color w:val="auto"/>
                <w:szCs w:val="21"/>
                <w:lang w:val="en-US" w:eastAsia="zh-CN"/>
              </w:rPr>
              <w:t>个/a</w:t>
            </w:r>
          </w:p>
        </w:tc>
        <w:tc>
          <w:tcPr>
            <w:tcW w:w="571" w:type="pct"/>
            <w:noWrap w:val="0"/>
            <w:vAlign w:val="center"/>
          </w:tcPr>
          <w:p w14:paraId="739235AC">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lang w:val="en-US" w:eastAsia="zh-CN"/>
              </w:rPr>
            </w:pPr>
            <w:r>
              <w:rPr>
                <w:rFonts w:hint="default" w:ascii="Times New Roman" w:hAnsi="Times New Roman" w:eastAsia="方正公文仿宋" w:cs="Times New Roman"/>
                <w:snapToGrid w:val="0"/>
                <w:color w:val="auto"/>
                <w:kern w:val="21"/>
                <w:szCs w:val="21"/>
                <w:lang w:val="en-US" w:eastAsia="zh-CN"/>
              </w:rPr>
              <w:t>/</w:t>
            </w:r>
          </w:p>
        </w:tc>
        <w:tc>
          <w:tcPr>
            <w:tcW w:w="592" w:type="pct"/>
            <w:noWrap w:val="0"/>
            <w:vAlign w:val="center"/>
          </w:tcPr>
          <w:p w14:paraId="71C9AFED">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eastAsia" w:eastAsia="仿宋" w:cs="Times New Roman"/>
                <w:color w:val="auto"/>
                <w:sz w:val="21"/>
                <w:szCs w:val="21"/>
                <w:highlight w:val="none"/>
                <w:lang w:val="en-US" w:eastAsia="zh-CN"/>
              </w:rPr>
              <w:t>3.68×10</w:t>
            </w:r>
            <w:r>
              <w:rPr>
                <w:rFonts w:hint="eastAsia" w:eastAsia="仿宋" w:cs="Times New Roman"/>
                <w:color w:val="auto"/>
                <w:sz w:val="21"/>
                <w:szCs w:val="21"/>
                <w:highlight w:val="none"/>
                <w:vertAlign w:val="superscript"/>
                <w:lang w:val="en-US" w:eastAsia="zh-CN"/>
              </w:rPr>
              <w:t>5</w:t>
            </w:r>
            <w:r>
              <w:rPr>
                <w:rFonts w:hint="default" w:ascii="Times New Roman" w:hAnsi="Times New Roman" w:eastAsia="方正公文仿宋" w:cs="Times New Roman"/>
                <w:color w:val="auto"/>
                <w:szCs w:val="21"/>
                <w:lang w:val="en-US" w:eastAsia="zh-CN"/>
              </w:rPr>
              <w:t>个/a</w:t>
            </w:r>
          </w:p>
        </w:tc>
        <w:tc>
          <w:tcPr>
            <w:tcW w:w="536" w:type="pct"/>
            <w:noWrap w:val="0"/>
            <w:vAlign w:val="center"/>
          </w:tcPr>
          <w:p w14:paraId="73987FE3">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w:t>
            </w:r>
          </w:p>
        </w:tc>
        <w:tc>
          <w:tcPr>
            <w:tcW w:w="593" w:type="pct"/>
            <w:noWrap w:val="0"/>
            <w:vAlign w:val="center"/>
          </w:tcPr>
          <w:p w14:paraId="6D084CFF">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color w:val="auto"/>
                <w:szCs w:val="21"/>
                <w:lang w:val="en-US" w:eastAsia="zh-CN"/>
              </w:rPr>
              <w:t>6.39×10</w:t>
            </w:r>
            <w:r>
              <w:rPr>
                <w:rFonts w:hint="default" w:ascii="Times New Roman" w:hAnsi="Times New Roman" w:eastAsia="方正公文仿宋" w:cs="Times New Roman"/>
                <w:color w:val="auto"/>
                <w:szCs w:val="21"/>
                <w:vertAlign w:val="superscript"/>
                <w:lang w:val="en-US" w:eastAsia="zh-CN"/>
              </w:rPr>
              <w:t>11</w:t>
            </w:r>
            <w:r>
              <w:rPr>
                <w:rFonts w:hint="default" w:ascii="Times New Roman" w:hAnsi="Times New Roman" w:eastAsia="方正公文仿宋" w:cs="Times New Roman"/>
                <w:color w:val="auto"/>
                <w:szCs w:val="21"/>
                <w:lang w:val="en-US" w:eastAsia="zh-CN"/>
              </w:rPr>
              <w:t>个/a</w:t>
            </w:r>
          </w:p>
        </w:tc>
        <w:tc>
          <w:tcPr>
            <w:tcW w:w="535" w:type="pct"/>
            <w:noWrap w:val="0"/>
            <w:vAlign w:val="center"/>
          </w:tcPr>
          <w:p w14:paraId="0150B957">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i w:val="0"/>
                <w:iCs w:val="0"/>
                <w:color w:val="auto"/>
                <w:kern w:val="0"/>
                <w:sz w:val="21"/>
                <w:szCs w:val="21"/>
                <w:u w:val="none"/>
                <w:lang w:val="en-US" w:eastAsia="zh-CN" w:bidi="ar"/>
              </w:rPr>
              <w:t>+</w:t>
            </w:r>
            <w:r>
              <w:rPr>
                <w:rFonts w:hint="eastAsia" w:eastAsia="仿宋" w:cs="Times New Roman"/>
                <w:color w:val="auto"/>
                <w:sz w:val="21"/>
                <w:szCs w:val="21"/>
                <w:highlight w:val="none"/>
                <w:lang w:val="en-US" w:eastAsia="zh-CN"/>
              </w:rPr>
              <w:t>3.68×10</w:t>
            </w:r>
            <w:r>
              <w:rPr>
                <w:rFonts w:hint="eastAsia" w:eastAsia="仿宋" w:cs="Times New Roman"/>
                <w:color w:val="auto"/>
                <w:sz w:val="21"/>
                <w:szCs w:val="21"/>
                <w:highlight w:val="none"/>
                <w:vertAlign w:val="superscript"/>
                <w:lang w:val="en-US" w:eastAsia="zh-CN"/>
              </w:rPr>
              <w:t>5</w:t>
            </w:r>
            <w:r>
              <w:rPr>
                <w:rFonts w:hint="default" w:ascii="Times New Roman" w:hAnsi="Times New Roman" w:eastAsia="方正公文仿宋" w:cs="Times New Roman"/>
                <w:color w:val="auto"/>
                <w:szCs w:val="21"/>
                <w:lang w:val="en-US" w:eastAsia="zh-CN"/>
              </w:rPr>
              <w:t>个/a</w:t>
            </w:r>
          </w:p>
        </w:tc>
      </w:tr>
      <w:tr w14:paraId="14581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591B4092">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571" w:type="pct"/>
            <w:gridSpan w:val="2"/>
            <w:noWrap w:val="0"/>
            <w:vAlign w:val="center"/>
          </w:tcPr>
          <w:p w14:paraId="1924CD69">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lang w:val="en-US" w:eastAsia="zh-CN"/>
              </w:rPr>
            </w:pPr>
            <w:r>
              <w:rPr>
                <w:rFonts w:hint="default" w:ascii="Times New Roman" w:hAnsi="Times New Roman" w:eastAsia="方正公文仿宋" w:cs="Times New Roman"/>
                <w:color w:val="auto"/>
                <w:lang w:val="en-US" w:eastAsia="zh-CN"/>
              </w:rPr>
              <w:t>总余氯</w:t>
            </w:r>
          </w:p>
        </w:tc>
        <w:tc>
          <w:tcPr>
            <w:tcW w:w="632" w:type="pct"/>
            <w:noWrap w:val="0"/>
            <w:vAlign w:val="center"/>
          </w:tcPr>
          <w:p w14:paraId="5C3F041A">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szCs w:val="21"/>
                <w:lang w:val="en-US" w:eastAsia="zh-CN"/>
              </w:rPr>
            </w:pPr>
            <w:r>
              <w:rPr>
                <w:rFonts w:hint="default" w:ascii="Times New Roman" w:hAnsi="Times New Roman" w:eastAsia="方正公文仿宋" w:cs="Times New Roman"/>
                <w:color w:val="auto"/>
                <w:szCs w:val="21"/>
                <w:lang w:val="en-US" w:eastAsia="zh-CN"/>
              </w:rPr>
              <w:t>1.07</w:t>
            </w:r>
          </w:p>
        </w:tc>
        <w:tc>
          <w:tcPr>
            <w:tcW w:w="599" w:type="pct"/>
            <w:noWrap w:val="0"/>
            <w:vAlign w:val="center"/>
          </w:tcPr>
          <w:p w14:paraId="6100A908">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lang w:val="en-US" w:eastAsia="zh-CN"/>
              </w:rPr>
              <w:t>1.07</w:t>
            </w:r>
          </w:p>
        </w:tc>
        <w:tc>
          <w:tcPr>
            <w:tcW w:w="571" w:type="pct"/>
            <w:noWrap w:val="0"/>
            <w:vAlign w:val="center"/>
          </w:tcPr>
          <w:p w14:paraId="6A00C3F4">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lang w:val="en-US" w:eastAsia="zh-CN"/>
              </w:rPr>
            </w:pPr>
            <w:r>
              <w:rPr>
                <w:rFonts w:hint="default" w:ascii="Times New Roman" w:hAnsi="Times New Roman" w:eastAsia="方正公文仿宋" w:cs="Times New Roman"/>
                <w:snapToGrid w:val="0"/>
                <w:color w:val="auto"/>
                <w:kern w:val="21"/>
                <w:szCs w:val="21"/>
                <w:lang w:val="en-US" w:eastAsia="zh-CN"/>
              </w:rPr>
              <w:t>/</w:t>
            </w:r>
          </w:p>
        </w:tc>
        <w:tc>
          <w:tcPr>
            <w:tcW w:w="592" w:type="pct"/>
            <w:noWrap w:val="0"/>
            <w:vAlign w:val="center"/>
          </w:tcPr>
          <w:p w14:paraId="1A32DA1A">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i w:val="0"/>
                <w:iCs w:val="0"/>
                <w:color w:val="auto"/>
                <w:kern w:val="0"/>
                <w:sz w:val="21"/>
                <w:szCs w:val="21"/>
                <w:u w:val="none"/>
                <w:lang w:val="en-US" w:eastAsia="zh-CN" w:bidi="ar"/>
              </w:rPr>
              <w:t>0.59</w:t>
            </w:r>
          </w:p>
        </w:tc>
        <w:tc>
          <w:tcPr>
            <w:tcW w:w="536" w:type="pct"/>
            <w:noWrap w:val="0"/>
            <w:vAlign w:val="center"/>
          </w:tcPr>
          <w:p w14:paraId="5DC671FD">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center"/>
              <w:rPr>
                <w:rFonts w:hint="default" w:ascii="Times New Roman" w:hAnsi="Times New Roman" w:eastAsia="方正公文仿宋" w:cs="Times New Roman"/>
                <w:color w:val="auto"/>
                <w:szCs w:val="21"/>
              </w:rPr>
            </w:pPr>
            <w:r>
              <w:rPr>
                <w:rFonts w:hint="default" w:ascii="Times New Roman" w:hAnsi="Times New Roman" w:eastAsia="方正公文仿宋" w:cs="Times New Roman"/>
                <w:color w:val="auto"/>
                <w:szCs w:val="21"/>
              </w:rPr>
              <w:t>/</w:t>
            </w:r>
          </w:p>
        </w:tc>
        <w:tc>
          <w:tcPr>
            <w:tcW w:w="593" w:type="pct"/>
            <w:noWrap w:val="0"/>
            <w:vAlign w:val="center"/>
          </w:tcPr>
          <w:p w14:paraId="790D952D">
            <w:pPr>
              <w:keepNext w:val="0"/>
              <w:keepLines w:val="0"/>
              <w:pageBreakBefore w:val="0"/>
              <w:widowControl/>
              <w:suppressLineNumbers w:val="0"/>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i w:val="0"/>
                <w:iCs w:val="0"/>
                <w:color w:val="auto"/>
                <w:kern w:val="0"/>
                <w:sz w:val="21"/>
                <w:szCs w:val="21"/>
                <w:u w:val="none"/>
                <w:lang w:val="en-US" w:eastAsia="zh-CN" w:bidi="ar"/>
              </w:rPr>
              <w:t>1.66</w:t>
            </w:r>
          </w:p>
        </w:tc>
        <w:tc>
          <w:tcPr>
            <w:tcW w:w="535" w:type="pct"/>
            <w:noWrap w:val="0"/>
            <w:vAlign w:val="center"/>
          </w:tcPr>
          <w:p w14:paraId="18334310">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i w:val="0"/>
                <w:iCs w:val="0"/>
                <w:color w:val="auto"/>
                <w:kern w:val="0"/>
                <w:sz w:val="21"/>
                <w:szCs w:val="21"/>
                <w:u w:val="none"/>
                <w:lang w:val="en-US" w:eastAsia="zh-CN" w:bidi="ar"/>
              </w:rPr>
            </w:pPr>
            <w:r>
              <w:rPr>
                <w:rFonts w:hint="default" w:ascii="Times New Roman" w:hAnsi="Times New Roman" w:eastAsia="方正公文仿宋" w:cs="Times New Roman"/>
                <w:i w:val="0"/>
                <w:iCs w:val="0"/>
                <w:color w:val="auto"/>
                <w:kern w:val="0"/>
                <w:sz w:val="21"/>
                <w:szCs w:val="21"/>
                <w:u w:val="none"/>
                <w:lang w:val="en-US" w:eastAsia="zh-CN" w:bidi="ar"/>
              </w:rPr>
              <w:t>+0.59</w:t>
            </w:r>
          </w:p>
        </w:tc>
      </w:tr>
      <w:tr w14:paraId="36704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restart"/>
            <w:noWrap w:val="0"/>
            <w:vAlign w:val="center"/>
          </w:tcPr>
          <w:p w14:paraId="20830AA7">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snapToGrid w:val="0"/>
                <w:color w:val="auto"/>
                <w:kern w:val="21"/>
                <w:szCs w:val="21"/>
              </w:rPr>
              <w:t>固体废物</w:t>
            </w:r>
          </w:p>
        </w:tc>
        <w:tc>
          <w:tcPr>
            <w:tcW w:w="571" w:type="pct"/>
            <w:gridSpan w:val="2"/>
            <w:noWrap w:val="0"/>
            <w:vAlign w:val="center"/>
          </w:tcPr>
          <w:p w14:paraId="7EA4B7D3">
            <w:pPr>
              <w:keepNext w:val="0"/>
              <w:keepLines w:val="0"/>
              <w:pageBreakBefore w:val="0"/>
              <w:kinsoku/>
              <w:wordWrap/>
              <w:overflowPunct/>
              <w:topLinePunct w:val="0"/>
              <w:autoSpaceDE/>
              <w:autoSpaceDN/>
              <w:bidi w:val="0"/>
              <w:ind w:left="0" w:leftChars="0" w:firstLineChars="0"/>
              <w:jc w:val="center"/>
              <w:rPr>
                <w:rFonts w:hint="default" w:ascii="Times New Roman" w:hAnsi="Times New Roman" w:eastAsia="方正公文仿宋" w:cs="Times New Roman"/>
                <w:color w:val="auto"/>
                <w:kern w:val="0"/>
                <w:szCs w:val="21"/>
                <w:lang w:eastAsia="zh-CN"/>
              </w:rPr>
            </w:pPr>
            <w:r>
              <w:rPr>
                <w:rFonts w:hint="default" w:ascii="Times New Roman" w:hAnsi="Times New Roman" w:eastAsia="方正公文仿宋" w:cs="Times New Roman"/>
                <w:color w:val="auto"/>
                <w:szCs w:val="21"/>
                <w:lang w:val="en-US" w:eastAsia="zh-CN"/>
              </w:rPr>
              <w:t>一般固废</w:t>
            </w:r>
          </w:p>
        </w:tc>
        <w:tc>
          <w:tcPr>
            <w:tcW w:w="632" w:type="pct"/>
            <w:noWrap w:val="0"/>
            <w:vAlign w:val="center"/>
          </w:tcPr>
          <w:p w14:paraId="79CDFD6C">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kern w:val="0"/>
                <w:szCs w:val="21"/>
                <w:lang w:val="en-US" w:eastAsia="zh-CN"/>
              </w:rPr>
            </w:pPr>
            <w:r>
              <w:rPr>
                <w:rFonts w:hint="default" w:ascii="Times New Roman" w:hAnsi="Times New Roman" w:eastAsia="方正公文仿宋" w:cs="Times New Roman"/>
                <w:color w:val="auto"/>
                <w:szCs w:val="21"/>
                <w:lang w:val="en-US" w:eastAsia="zh-CN"/>
              </w:rPr>
              <w:t>1110</w:t>
            </w:r>
          </w:p>
        </w:tc>
        <w:tc>
          <w:tcPr>
            <w:tcW w:w="599" w:type="pct"/>
            <w:noWrap w:val="0"/>
            <w:vAlign w:val="center"/>
          </w:tcPr>
          <w:p w14:paraId="753E0F64">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color w:val="auto"/>
                <w:szCs w:val="21"/>
                <w:lang w:val="en-US" w:eastAsia="zh-CN"/>
              </w:rPr>
              <w:t>1110</w:t>
            </w:r>
          </w:p>
        </w:tc>
        <w:tc>
          <w:tcPr>
            <w:tcW w:w="571" w:type="pct"/>
            <w:noWrap w:val="0"/>
            <w:vAlign w:val="center"/>
          </w:tcPr>
          <w:p w14:paraId="7EB9F317">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snapToGrid w:val="0"/>
                <w:color w:val="auto"/>
                <w:kern w:val="21"/>
                <w:szCs w:val="21"/>
              </w:rPr>
              <w:t>/</w:t>
            </w:r>
          </w:p>
        </w:tc>
        <w:tc>
          <w:tcPr>
            <w:tcW w:w="592" w:type="pct"/>
            <w:noWrap w:val="0"/>
            <w:vAlign w:val="center"/>
          </w:tcPr>
          <w:p w14:paraId="5DC814F7">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snapToGrid w:val="0"/>
                <w:color w:val="auto"/>
                <w:kern w:val="21"/>
                <w:szCs w:val="21"/>
                <w:lang w:val="en-US" w:eastAsia="zh-CN"/>
              </w:rPr>
            </w:pPr>
            <w:r>
              <w:rPr>
                <w:rFonts w:hint="default" w:ascii="Times New Roman" w:hAnsi="Times New Roman" w:eastAsia="方正公文仿宋" w:cs="Times New Roman"/>
                <w:snapToGrid w:val="0"/>
                <w:color w:val="auto"/>
                <w:kern w:val="21"/>
                <w:szCs w:val="21"/>
                <w:lang w:val="en-US" w:eastAsia="zh-CN"/>
              </w:rPr>
              <w:t>220.46</w:t>
            </w:r>
          </w:p>
        </w:tc>
        <w:tc>
          <w:tcPr>
            <w:tcW w:w="536" w:type="pct"/>
            <w:noWrap w:val="0"/>
            <w:vAlign w:val="center"/>
          </w:tcPr>
          <w:p w14:paraId="7BA64FEC">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kern w:val="0"/>
                <w:szCs w:val="21"/>
              </w:rPr>
            </w:pPr>
            <w:r>
              <w:rPr>
                <w:rFonts w:hint="default" w:ascii="Times New Roman" w:hAnsi="Times New Roman" w:eastAsia="方正公文仿宋" w:cs="Times New Roman"/>
                <w:color w:val="auto"/>
                <w:szCs w:val="21"/>
              </w:rPr>
              <w:t>/</w:t>
            </w:r>
          </w:p>
        </w:tc>
        <w:tc>
          <w:tcPr>
            <w:tcW w:w="593" w:type="pct"/>
            <w:noWrap w:val="0"/>
            <w:vAlign w:val="center"/>
          </w:tcPr>
          <w:p w14:paraId="2DE65566">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snapToGrid w:val="0"/>
                <w:color w:val="auto"/>
                <w:kern w:val="21"/>
                <w:szCs w:val="21"/>
                <w:lang w:val="en-US" w:eastAsia="zh-CN"/>
              </w:rPr>
            </w:pPr>
            <w:r>
              <w:rPr>
                <w:rFonts w:hint="default" w:ascii="Times New Roman" w:hAnsi="Times New Roman" w:eastAsia="方正公文仿宋" w:cs="Times New Roman"/>
                <w:snapToGrid w:val="0"/>
                <w:color w:val="auto"/>
                <w:kern w:val="21"/>
                <w:szCs w:val="21"/>
                <w:lang w:val="en-US" w:eastAsia="zh-CN"/>
              </w:rPr>
              <w:t>1330.46</w:t>
            </w:r>
          </w:p>
        </w:tc>
        <w:tc>
          <w:tcPr>
            <w:tcW w:w="535" w:type="pct"/>
            <w:noWrap w:val="0"/>
            <w:vAlign w:val="center"/>
          </w:tcPr>
          <w:p w14:paraId="5DAB6FC6">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eastAsia="方正公文仿宋" w:cs="Times New Roman"/>
                <w:snapToGrid w:val="0"/>
                <w:color w:val="auto"/>
                <w:kern w:val="21"/>
                <w:szCs w:val="21"/>
                <w:lang w:val="en-US"/>
              </w:rPr>
            </w:pPr>
            <w:r>
              <w:rPr>
                <w:rFonts w:hint="default" w:ascii="Times New Roman" w:hAnsi="Times New Roman" w:eastAsia="方正公文仿宋" w:cs="Times New Roman"/>
                <w:snapToGrid w:val="0"/>
                <w:color w:val="auto"/>
                <w:kern w:val="21"/>
                <w:szCs w:val="21"/>
                <w:lang w:val="en-US" w:eastAsia="zh-CN"/>
              </w:rPr>
              <w:t>+220.46</w:t>
            </w:r>
          </w:p>
        </w:tc>
      </w:tr>
      <w:tr w14:paraId="78D18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noWrap w:val="0"/>
            <w:vAlign w:val="center"/>
          </w:tcPr>
          <w:p w14:paraId="3C5A1AC6">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p>
        </w:tc>
        <w:tc>
          <w:tcPr>
            <w:tcW w:w="571" w:type="pct"/>
            <w:gridSpan w:val="2"/>
            <w:noWrap w:val="0"/>
            <w:vAlign w:val="center"/>
          </w:tcPr>
          <w:p w14:paraId="2C1C0880">
            <w:pPr>
              <w:keepNext w:val="0"/>
              <w:keepLines w:val="0"/>
              <w:pageBreakBefore w:val="0"/>
              <w:widowControl/>
              <w:kinsoku/>
              <w:wordWrap/>
              <w:overflowPunct/>
              <w:topLinePunct w:val="0"/>
              <w:autoSpaceDE/>
              <w:autoSpaceDN/>
              <w:bidi w:val="0"/>
              <w:ind w:left="0" w:leftChars="0" w:firstLineChars="0"/>
              <w:jc w:val="center"/>
              <w:textAlignment w:val="center"/>
              <w:rPr>
                <w:rFonts w:hint="default" w:ascii="Times New Roman" w:hAnsi="Times New Roman" w:eastAsia="方正公文仿宋" w:cs="Times New Roman"/>
                <w:color w:val="auto"/>
                <w:kern w:val="0"/>
                <w:szCs w:val="21"/>
                <w:lang w:eastAsia="zh-CN"/>
              </w:rPr>
            </w:pPr>
            <w:r>
              <w:rPr>
                <w:rFonts w:hint="default" w:ascii="Times New Roman" w:hAnsi="Times New Roman" w:eastAsia="方正公文仿宋" w:cs="Times New Roman"/>
                <w:color w:val="auto"/>
                <w:lang w:val="en-US" w:eastAsia="zh-CN"/>
              </w:rPr>
              <w:t>危险固废</w:t>
            </w:r>
          </w:p>
        </w:tc>
        <w:tc>
          <w:tcPr>
            <w:tcW w:w="632" w:type="pct"/>
            <w:noWrap w:val="0"/>
            <w:vAlign w:val="center"/>
          </w:tcPr>
          <w:p w14:paraId="2C8D916E">
            <w:pPr>
              <w:keepNext w:val="0"/>
              <w:keepLines w:val="0"/>
              <w:pageBreakBefore w:val="0"/>
              <w:kinsoku/>
              <w:wordWrap/>
              <w:overflowPunct/>
              <w:topLinePunct w:val="0"/>
              <w:autoSpaceDE/>
              <w:autoSpaceDN/>
              <w:bidi w:val="0"/>
              <w:ind w:left="0" w:leftChars="0" w:firstLineChars="0"/>
              <w:jc w:val="center"/>
              <w:rPr>
                <w:rFonts w:hint="default" w:ascii="Times New Roman" w:hAnsi="Times New Roman" w:eastAsia="方正公文仿宋" w:cs="Times New Roman"/>
                <w:color w:val="auto"/>
                <w:kern w:val="0"/>
                <w:szCs w:val="21"/>
                <w:lang w:val="en-US" w:eastAsia="zh-CN"/>
              </w:rPr>
            </w:pPr>
            <w:r>
              <w:rPr>
                <w:rFonts w:hint="eastAsia" w:eastAsia="方正公文仿宋" w:cs="Times New Roman"/>
                <w:color w:val="auto"/>
                <w:kern w:val="0"/>
                <w:szCs w:val="21"/>
                <w:lang w:val="en-US" w:eastAsia="zh-CN"/>
              </w:rPr>
              <w:t>111</w:t>
            </w:r>
          </w:p>
        </w:tc>
        <w:tc>
          <w:tcPr>
            <w:tcW w:w="599" w:type="pct"/>
            <w:noWrap w:val="0"/>
            <w:vAlign w:val="center"/>
          </w:tcPr>
          <w:p w14:paraId="6607CCFF">
            <w:pPr>
              <w:keepNext w:val="0"/>
              <w:keepLines w:val="0"/>
              <w:pageBreakBefore w:val="0"/>
              <w:kinsoku/>
              <w:wordWrap/>
              <w:overflowPunct/>
              <w:topLinePunct w:val="0"/>
              <w:autoSpaceDE/>
              <w:autoSpaceDN/>
              <w:bidi w:val="0"/>
              <w:ind w:left="0" w:leftChars="0" w:firstLine="0" w:firstLineChars="0"/>
              <w:jc w:val="center"/>
              <w:rPr>
                <w:rFonts w:hint="default" w:ascii="Times New Roman" w:hAnsi="Times New Roman" w:eastAsia="方正公文仿宋" w:cs="Times New Roman"/>
                <w:snapToGrid w:val="0"/>
                <w:color w:val="auto"/>
                <w:kern w:val="21"/>
                <w:szCs w:val="21"/>
                <w:lang w:val="en-US" w:eastAsia="zh-CN"/>
              </w:rPr>
            </w:pPr>
            <w:r>
              <w:rPr>
                <w:rFonts w:hint="eastAsia" w:eastAsia="方正公文仿宋" w:cs="Times New Roman"/>
                <w:snapToGrid w:val="0"/>
                <w:color w:val="auto"/>
                <w:kern w:val="21"/>
                <w:szCs w:val="21"/>
                <w:lang w:val="en-US" w:eastAsia="zh-CN"/>
              </w:rPr>
              <w:t>111</w:t>
            </w:r>
          </w:p>
        </w:tc>
        <w:tc>
          <w:tcPr>
            <w:tcW w:w="571" w:type="pct"/>
            <w:noWrap w:val="0"/>
            <w:vAlign w:val="center"/>
          </w:tcPr>
          <w:p w14:paraId="2F25527A">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snapToGrid w:val="0"/>
                <w:color w:val="auto"/>
                <w:kern w:val="21"/>
                <w:szCs w:val="21"/>
              </w:rPr>
              <w:t>/</w:t>
            </w:r>
          </w:p>
        </w:tc>
        <w:tc>
          <w:tcPr>
            <w:tcW w:w="592" w:type="pct"/>
            <w:noWrap w:val="0"/>
            <w:vAlign w:val="center"/>
          </w:tcPr>
          <w:p w14:paraId="5B361F80">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lang w:val="en-US" w:eastAsia="zh-CN"/>
              </w:rPr>
            </w:pPr>
            <w:r>
              <w:rPr>
                <w:rFonts w:hint="eastAsia" w:ascii="Times New Roman" w:eastAsia="方正公文仿宋" w:cs="Times New Roman"/>
                <w:snapToGrid w:val="0"/>
                <w:color w:val="auto"/>
                <w:kern w:val="21"/>
                <w:szCs w:val="21"/>
                <w:lang w:val="en-US" w:eastAsia="zh-CN"/>
              </w:rPr>
              <w:t>80.5</w:t>
            </w:r>
          </w:p>
        </w:tc>
        <w:tc>
          <w:tcPr>
            <w:tcW w:w="536" w:type="pct"/>
            <w:noWrap w:val="0"/>
            <w:vAlign w:val="center"/>
          </w:tcPr>
          <w:p w14:paraId="074F9B81">
            <w:pPr>
              <w:keepNext w:val="0"/>
              <w:keepLines w:val="0"/>
              <w:pageBreakBefore w:val="0"/>
              <w:kinsoku/>
              <w:wordWrap/>
              <w:overflowPunct/>
              <w:topLinePunct w:val="0"/>
              <w:autoSpaceDE/>
              <w:autoSpaceDN/>
              <w:bidi w:val="0"/>
              <w:ind w:left="0" w:leftChars="0" w:firstLineChars="0"/>
              <w:jc w:val="center"/>
              <w:rPr>
                <w:rFonts w:hint="default" w:ascii="Times New Roman" w:hAnsi="Times New Roman" w:eastAsia="方正公文仿宋" w:cs="Times New Roman"/>
                <w:color w:val="auto"/>
                <w:kern w:val="0"/>
                <w:szCs w:val="21"/>
                <w:lang w:val="en-US" w:eastAsia="zh-CN"/>
              </w:rPr>
            </w:pPr>
            <w:r>
              <w:rPr>
                <w:rFonts w:hint="eastAsia" w:eastAsia="方正公文仿宋" w:cs="Times New Roman"/>
                <w:color w:val="auto"/>
                <w:kern w:val="0"/>
                <w:szCs w:val="21"/>
                <w:lang w:val="en-US" w:eastAsia="zh-CN"/>
              </w:rPr>
              <w:t>/</w:t>
            </w:r>
          </w:p>
        </w:tc>
        <w:tc>
          <w:tcPr>
            <w:tcW w:w="593" w:type="pct"/>
            <w:noWrap w:val="0"/>
            <w:vAlign w:val="center"/>
          </w:tcPr>
          <w:p w14:paraId="2600C8D8">
            <w:pPr>
              <w:pStyle w:val="64"/>
              <w:keepNext w:val="0"/>
              <w:keepLines w:val="0"/>
              <w:pageBreakBefore w:val="0"/>
              <w:kinsoku/>
              <w:wordWrap/>
              <w:overflowPunct/>
              <w:topLinePunct w:val="0"/>
              <w:autoSpaceDE/>
              <w:autoSpaceDN/>
              <w:bidi w:val="0"/>
              <w:spacing w:beforeLines="0" w:afterLines="0" w:line="240" w:lineRule="auto"/>
              <w:ind w:left="0" w:leftChars="0" w:firstLineChars="0"/>
              <w:rPr>
                <w:rFonts w:hint="default" w:ascii="Times New Roman" w:hAnsi="Times New Roman" w:eastAsia="方正公文仿宋" w:cs="Times New Roman"/>
                <w:snapToGrid w:val="0"/>
                <w:color w:val="auto"/>
                <w:kern w:val="21"/>
                <w:szCs w:val="21"/>
                <w:lang w:val="en-US" w:eastAsia="zh-CN"/>
              </w:rPr>
            </w:pPr>
            <w:r>
              <w:rPr>
                <w:rFonts w:hint="eastAsia" w:ascii="Times New Roman" w:eastAsia="方正公文仿宋" w:cs="Times New Roman"/>
                <w:snapToGrid w:val="0"/>
                <w:color w:val="auto"/>
                <w:kern w:val="21"/>
                <w:szCs w:val="21"/>
                <w:lang w:val="en-US" w:eastAsia="zh-CN"/>
              </w:rPr>
              <w:t>191.5</w:t>
            </w:r>
          </w:p>
        </w:tc>
        <w:tc>
          <w:tcPr>
            <w:tcW w:w="535" w:type="pct"/>
            <w:noWrap w:val="0"/>
            <w:vAlign w:val="center"/>
          </w:tcPr>
          <w:p w14:paraId="5F4F5BA9">
            <w:pPr>
              <w:pStyle w:val="64"/>
              <w:keepNext w:val="0"/>
              <w:keepLines w:val="0"/>
              <w:pageBreakBefore w:val="0"/>
              <w:kinsoku/>
              <w:wordWrap/>
              <w:overflowPunct/>
              <w:topLinePunct w:val="0"/>
              <w:autoSpaceDE/>
              <w:autoSpaceDN/>
              <w:bidi w:val="0"/>
              <w:spacing w:beforeLines="0" w:afterLines="0" w:line="240" w:lineRule="auto"/>
              <w:ind w:left="0" w:leftChars="0" w:firstLine="0" w:firstLineChars="0"/>
              <w:rPr>
                <w:rFonts w:hint="default" w:ascii="Times New Roman" w:hAnsi="Times New Roman" w:eastAsia="方正公文仿宋" w:cs="Times New Roman"/>
                <w:snapToGrid w:val="0"/>
                <w:color w:val="auto"/>
                <w:kern w:val="21"/>
                <w:szCs w:val="21"/>
              </w:rPr>
            </w:pPr>
            <w:r>
              <w:rPr>
                <w:rFonts w:hint="default" w:ascii="Times New Roman" w:hAnsi="Times New Roman" w:eastAsia="方正公文仿宋" w:cs="Times New Roman"/>
                <w:snapToGrid w:val="0"/>
                <w:color w:val="auto"/>
                <w:kern w:val="21"/>
                <w:szCs w:val="21"/>
                <w:lang w:val="en-US" w:eastAsia="zh-CN"/>
              </w:rPr>
              <w:t>+</w:t>
            </w:r>
            <w:r>
              <w:rPr>
                <w:rFonts w:hint="eastAsia" w:ascii="Times New Roman" w:eastAsia="方正公文仿宋" w:cs="Times New Roman"/>
                <w:snapToGrid w:val="0"/>
                <w:color w:val="auto"/>
                <w:kern w:val="21"/>
                <w:szCs w:val="21"/>
                <w:lang w:val="en-US" w:eastAsia="zh-CN"/>
              </w:rPr>
              <w:t>80.5</w:t>
            </w:r>
          </w:p>
        </w:tc>
      </w:tr>
    </w:tbl>
    <w:p w14:paraId="42ADAF68">
      <w:pPr>
        <w:bidi w:val="0"/>
        <w:jc w:val="left"/>
        <w:rPr>
          <w:rFonts w:hint="default"/>
          <w:color w:val="FF0000"/>
        </w:rPr>
      </w:pPr>
      <w:bookmarkStart w:id="15" w:name="_Toc11462"/>
      <w:r>
        <w:rPr>
          <w:rFonts w:ascii="Times New Roman" w:hAnsi="Times New Roman" w:eastAsia="仿宋" w:cs="Times New Roman"/>
          <w:snapToGrid w:val="0"/>
          <w:color w:val="auto"/>
          <w:kern w:val="21"/>
          <w:sz w:val="21"/>
          <w:szCs w:val="21"/>
        </w:rPr>
        <w:t>注：</w:t>
      </w:r>
      <w:r>
        <w:rPr>
          <w:rFonts w:ascii="Times New Roman" w:hAnsi="Times New Roman" w:eastAsia="仿宋" w:cs="Times New Roman"/>
          <w:snapToGrid w:val="0"/>
          <w:color w:val="auto"/>
          <w:spacing w:val="-16"/>
          <w:kern w:val="21"/>
          <w:sz w:val="21"/>
          <w:szCs w:val="21"/>
        </w:rPr>
        <w:fldChar w:fldCharType="begin"/>
      </w:r>
      <w:r>
        <w:rPr>
          <w:rFonts w:ascii="Times New Roman" w:hAnsi="Times New Roman" w:eastAsia="仿宋" w:cs="Times New Roman"/>
          <w:snapToGrid w:val="0"/>
          <w:color w:val="auto"/>
          <w:spacing w:val="-16"/>
          <w:kern w:val="21"/>
          <w:sz w:val="21"/>
          <w:szCs w:val="21"/>
        </w:rPr>
        <w:instrText xml:space="preserve"> = 6 \* GB3 \* MERGEFORMAT </w:instrText>
      </w:r>
      <w:r>
        <w:rPr>
          <w:rFonts w:ascii="Times New Roman" w:hAnsi="Times New Roman" w:eastAsia="仿宋" w:cs="Times New Roman"/>
          <w:snapToGrid w:val="0"/>
          <w:color w:val="auto"/>
          <w:spacing w:val="-16"/>
          <w:kern w:val="21"/>
          <w:sz w:val="21"/>
          <w:szCs w:val="21"/>
        </w:rPr>
        <w:fldChar w:fldCharType="separate"/>
      </w:r>
      <w:r>
        <w:rPr>
          <w:rFonts w:ascii="Times New Roman" w:hAnsi="Times New Roman" w:eastAsia="仿宋" w:cs="Times New Roman"/>
          <w:color w:val="auto"/>
          <w:sz w:val="21"/>
          <w:szCs w:val="21"/>
        </w:rPr>
        <w:t>⑥</w:t>
      </w:r>
      <w:r>
        <w:rPr>
          <w:rFonts w:ascii="Times New Roman" w:hAnsi="Times New Roman" w:eastAsia="仿宋" w:cs="Times New Roman"/>
          <w:snapToGrid w:val="0"/>
          <w:color w:val="auto"/>
          <w:spacing w:val="-16"/>
          <w:kern w:val="21"/>
          <w:sz w:val="21"/>
          <w:szCs w:val="21"/>
        </w:rPr>
        <w:fldChar w:fldCharType="end"/>
      </w:r>
      <w:r>
        <w:rPr>
          <w:rFonts w:ascii="Times New Roman" w:hAnsi="Times New Roman" w:eastAsia="仿宋" w:cs="Times New Roman"/>
          <w:snapToGrid w:val="0"/>
          <w:color w:val="auto"/>
          <w:spacing w:val="-16"/>
          <w:kern w:val="21"/>
          <w:sz w:val="21"/>
          <w:szCs w:val="21"/>
        </w:rPr>
        <w:t>=</w:t>
      </w:r>
      <w:r>
        <w:rPr>
          <w:rFonts w:ascii="Times New Roman" w:hAnsi="Times New Roman" w:eastAsia="仿宋" w:cs="Times New Roman"/>
          <w:snapToGrid w:val="0"/>
          <w:color w:val="auto"/>
          <w:spacing w:val="-6"/>
          <w:kern w:val="21"/>
          <w:sz w:val="21"/>
          <w:szCs w:val="21"/>
        </w:rPr>
        <w:fldChar w:fldCharType="begin"/>
      </w:r>
      <w:r>
        <w:rPr>
          <w:rFonts w:ascii="Times New Roman" w:hAnsi="Times New Roman" w:eastAsia="仿宋" w:cs="Times New Roman"/>
          <w:snapToGrid w:val="0"/>
          <w:color w:val="auto"/>
          <w:spacing w:val="-6"/>
          <w:kern w:val="21"/>
          <w:sz w:val="21"/>
          <w:szCs w:val="21"/>
        </w:rPr>
        <w:instrText xml:space="preserve"> = 1 \* GB3 \* MERGEFORMAT </w:instrText>
      </w:r>
      <w:r>
        <w:rPr>
          <w:rFonts w:ascii="Times New Roman" w:hAnsi="Times New Roman" w:eastAsia="仿宋" w:cs="Times New Roman"/>
          <w:snapToGrid w:val="0"/>
          <w:color w:val="auto"/>
          <w:spacing w:val="-6"/>
          <w:kern w:val="21"/>
          <w:sz w:val="21"/>
          <w:szCs w:val="21"/>
        </w:rPr>
        <w:fldChar w:fldCharType="separate"/>
      </w:r>
      <w:r>
        <w:rPr>
          <w:rFonts w:ascii="Times New Roman" w:hAnsi="Times New Roman" w:eastAsia="仿宋" w:cs="Times New Roman"/>
          <w:color w:val="auto"/>
          <w:sz w:val="21"/>
          <w:szCs w:val="21"/>
        </w:rPr>
        <w:t>①</w:t>
      </w:r>
      <w:r>
        <w:rPr>
          <w:rFonts w:ascii="Times New Roman" w:hAnsi="Times New Roman" w:eastAsia="仿宋" w:cs="Times New Roman"/>
          <w:snapToGrid w:val="0"/>
          <w:color w:val="auto"/>
          <w:spacing w:val="-6"/>
          <w:kern w:val="21"/>
          <w:sz w:val="21"/>
          <w:szCs w:val="21"/>
        </w:rPr>
        <w:fldChar w:fldCharType="end"/>
      </w:r>
      <w:r>
        <w:rPr>
          <w:rFonts w:ascii="Times New Roman" w:hAnsi="Times New Roman" w:eastAsia="仿宋" w:cs="Times New Roman"/>
          <w:snapToGrid w:val="0"/>
          <w:color w:val="auto"/>
          <w:spacing w:val="-6"/>
          <w:kern w:val="21"/>
          <w:sz w:val="21"/>
          <w:szCs w:val="21"/>
        </w:rPr>
        <w:t>+</w:t>
      </w:r>
      <w:r>
        <w:rPr>
          <w:rFonts w:ascii="Times New Roman" w:hAnsi="Times New Roman" w:eastAsia="仿宋" w:cs="Times New Roman"/>
          <w:snapToGrid w:val="0"/>
          <w:color w:val="auto"/>
          <w:spacing w:val="-6"/>
          <w:kern w:val="21"/>
          <w:sz w:val="21"/>
          <w:szCs w:val="21"/>
        </w:rPr>
        <w:fldChar w:fldCharType="begin"/>
      </w:r>
      <w:r>
        <w:rPr>
          <w:rFonts w:ascii="Times New Roman" w:hAnsi="Times New Roman" w:eastAsia="仿宋" w:cs="Times New Roman"/>
          <w:snapToGrid w:val="0"/>
          <w:color w:val="auto"/>
          <w:spacing w:val="-6"/>
          <w:kern w:val="21"/>
          <w:sz w:val="21"/>
          <w:szCs w:val="21"/>
        </w:rPr>
        <w:instrText xml:space="preserve"> = 3 \* GB3 \* MERGEFORMAT </w:instrText>
      </w:r>
      <w:r>
        <w:rPr>
          <w:rFonts w:ascii="Times New Roman" w:hAnsi="Times New Roman" w:eastAsia="仿宋" w:cs="Times New Roman"/>
          <w:snapToGrid w:val="0"/>
          <w:color w:val="auto"/>
          <w:spacing w:val="-6"/>
          <w:kern w:val="21"/>
          <w:sz w:val="21"/>
          <w:szCs w:val="21"/>
        </w:rPr>
        <w:fldChar w:fldCharType="separate"/>
      </w:r>
      <w:r>
        <w:rPr>
          <w:rFonts w:ascii="Times New Roman" w:hAnsi="Times New Roman" w:eastAsia="仿宋" w:cs="Times New Roman"/>
          <w:color w:val="auto"/>
          <w:sz w:val="21"/>
          <w:szCs w:val="21"/>
        </w:rPr>
        <w:t>③</w:t>
      </w:r>
      <w:r>
        <w:rPr>
          <w:rFonts w:ascii="Times New Roman" w:hAnsi="Times New Roman" w:eastAsia="仿宋" w:cs="Times New Roman"/>
          <w:snapToGrid w:val="0"/>
          <w:color w:val="auto"/>
          <w:spacing w:val="-6"/>
          <w:kern w:val="21"/>
          <w:sz w:val="21"/>
          <w:szCs w:val="21"/>
        </w:rPr>
        <w:fldChar w:fldCharType="end"/>
      </w:r>
      <w:r>
        <w:rPr>
          <w:rFonts w:ascii="Times New Roman" w:hAnsi="Times New Roman" w:eastAsia="仿宋" w:cs="Times New Roman"/>
          <w:snapToGrid w:val="0"/>
          <w:color w:val="auto"/>
          <w:spacing w:val="-6"/>
          <w:kern w:val="21"/>
          <w:sz w:val="21"/>
          <w:szCs w:val="21"/>
        </w:rPr>
        <w:t>+</w:t>
      </w:r>
      <w:r>
        <w:rPr>
          <w:rFonts w:ascii="Times New Roman" w:hAnsi="Times New Roman" w:eastAsia="仿宋" w:cs="Times New Roman"/>
          <w:snapToGrid w:val="0"/>
          <w:color w:val="auto"/>
          <w:spacing w:val="-6"/>
          <w:kern w:val="21"/>
          <w:sz w:val="21"/>
          <w:szCs w:val="21"/>
        </w:rPr>
        <w:fldChar w:fldCharType="begin"/>
      </w:r>
      <w:r>
        <w:rPr>
          <w:rFonts w:ascii="Times New Roman" w:hAnsi="Times New Roman" w:eastAsia="仿宋" w:cs="Times New Roman"/>
          <w:snapToGrid w:val="0"/>
          <w:color w:val="auto"/>
          <w:spacing w:val="-6"/>
          <w:kern w:val="21"/>
          <w:sz w:val="21"/>
          <w:szCs w:val="21"/>
        </w:rPr>
        <w:instrText xml:space="preserve"> = 4 \* GB3 \* MERGEFORMAT </w:instrText>
      </w:r>
      <w:r>
        <w:rPr>
          <w:rFonts w:ascii="Times New Roman" w:hAnsi="Times New Roman" w:eastAsia="仿宋" w:cs="Times New Roman"/>
          <w:snapToGrid w:val="0"/>
          <w:color w:val="auto"/>
          <w:spacing w:val="-6"/>
          <w:kern w:val="21"/>
          <w:sz w:val="21"/>
          <w:szCs w:val="21"/>
        </w:rPr>
        <w:fldChar w:fldCharType="separate"/>
      </w:r>
      <w:r>
        <w:rPr>
          <w:rFonts w:ascii="Times New Roman" w:hAnsi="Times New Roman" w:eastAsia="仿宋" w:cs="Times New Roman"/>
          <w:color w:val="auto"/>
          <w:sz w:val="21"/>
          <w:szCs w:val="21"/>
        </w:rPr>
        <w:t>④</w:t>
      </w:r>
      <w:r>
        <w:rPr>
          <w:rFonts w:ascii="Times New Roman" w:hAnsi="Times New Roman" w:eastAsia="仿宋" w:cs="Times New Roman"/>
          <w:snapToGrid w:val="0"/>
          <w:color w:val="auto"/>
          <w:spacing w:val="-6"/>
          <w:kern w:val="21"/>
          <w:sz w:val="21"/>
          <w:szCs w:val="21"/>
        </w:rPr>
        <w:fldChar w:fldCharType="end"/>
      </w:r>
      <w:r>
        <w:rPr>
          <w:rFonts w:ascii="Times New Roman" w:hAnsi="Times New Roman" w:eastAsia="仿宋" w:cs="Times New Roman"/>
          <w:snapToGrid w:val="0"/>
          <w:color w:val="auto"/>
          <w:spacing w:val="-6"/>
          <w:kern w:val="21"/>
          <w:sz w:val="21"/>
          <w:szCs w:val="21"/>
        </w:rPr>
        <w:t>-</w:t>
      </w:r>
      <w:r>
        <w:rPr>
          <w:rFonts w:ascii="Times New Roman" w:hAnsi="Times New Roman" w:eastAsia="仿宋" w:cs="Times New Roman"/>
          <w:snapToGrid w:val="0"/>
          <w:color w:val="auto"/>
          <w:spacing w:val="-16"/>
          <w:kern w:val="21"/>
          <w:sz w:val="21"/>
          <w:szCs w:val="21"/>
        </w:rPr>
        <w:fldChar w:fldCharType="begin"/>
      </w:r>
      <w:r>
        <w:rPr>
          <w:rFonts w:ascii="Times New Roman" w:hAnsi="Times New Roman" w:eastAsia="仿宋" w:cs="Times New Roman"/>
          <w:snapToGrid w:val="0"/>
          <w:color w:val="auto"/>
          <w:spacing w:val="-16"/>
          <w:kern w:val="21"/>
          <w:sz w:val="21"/>
          <w:szCs w:val="21"/>
        </w:rPr>
        <w:instrText xml:space="preserve"> = 5 \* GB3 \* MERGEFORMAT </w:instrText>
      </w:r>
      <w:r>
        <w:rPr>
          <w:rFonts w:ascii="Times New Roman" w:hAnsi="Times New Roman" w:eastAsia="仿宋" w:cs="Times New Roman"/>
          <w:snapToGrid w:val="0"/>
          <w:color w:val="auto"/>
          <w:spacing w:val="-16"/>
          <w:kern w:val="21"/>
          <w:sz w:val="21"/>
          <w:szCs w:val="21"/>
        </w:rPr>
        <w:fldChar w:fldCharType="separate"/>
      </w:r>
      <w:r>
        <w:rPr>
          <w:rFonts w:ascii="Times New Roman" w:hAnsi="Times New Roman" w:eastAsia="仿宋" w:cs="Times New Roman"/>
          <w:color w:val="auto"/>
          <w:sz w:val="21"/>
          <w:szCs w:val="21"/>
        </w:rPr>
        <w:t>⑤</w:t>
      </w:r>
      <w:r>
        <w:rPr>
          <w:rFonts w:ascii="Times New Roman" w:hAnsi="Times New Roman" w:eastAsia="仿宋" w:cs="Times New Roman"/>
          <w:snapToGrid w:val="0"/>
          <w:color w:val="auto"/>
          <w:spacing w:val="-16"/>
          <w:kern w:val="21"/>
          <w:sz w:val="21"/>
          <w:szCs w:val="21"/>
        </w:rPr>
        <w:fldChar w:fldCharType="end"/>
      </w:r>
      <w:r>
        <w:rPr>
          <w:rFonts w:ascii="Times New Roman" w:hAnsi="Times New Roman" w:eastAsia="仿宋" w:cs="Times New Roman"/>
          <w:snapToGrid w:val="0"/>
          <w:color w:val="auto"/>
          <w:spacing w:val="-16"/>
          <w:kern w:val="21"/>
          <w:sz w:val="21"/>
          <w:szCs w:val="21"/>
        </w:rPr>
        <w:t>；</w:t>
      </w:r>
      <w:r>
        <w:rPr>
          <w:rFonts w:ascii="Times New Roman" w:hAnsi="Times New Roman" w:eastAsia="仿宋" w:cs="Times New Roman"/>
          <w:snapToGrid w:val="0"/>
          <w:color w:val="auto"/>
          <w:spacing w:val="-6"/>
          <w:kern w:val="21"/>
          <w:sz w:val="21"/>
          <w:szCs w:val="21"/>
        </w:rPr>
        <w:fldChar w:fldCharType="begin"/>
      </w:r>
      <w:r>
        <w:rPr>
          <w:rFonts w:ascii="Times New Roman" w:hAnsi="Times New Roman" w:eastAsia="仿宋" w:cs="Times New Roman"/>
          <w:snapToGrid w:val="0"/>
          <w:color w:val="auto"/>
          <w:spacing w:val="-6"/>
          <w:kern w:val="21"/>
          <w:sz w:val="21"/>
          <w:szCs w:val="21"/>
        </w:rPr>
        <w:instrText xml:space="preserve"> = 7 \* GB3 \* MERGEFORMAT </w:instrText>
      </w:r>
      <w:r>
        <w:rPr>
          <w:rFonts w:ascii="Times New Roman" w:hAnsi="Times New Roman" w:eastAsia="仿宋" w:cs="Times New Roman"/>
          <w:snapToGrid w:val="0"/>
          <w:color w:val="auto"/>
          <w:spacing w:val="-6"/>
          <w:kern w:val="21"/>
          <w:sz w:val="21"/>
          <w:szCs w:val="21"/>
        </w:rPr>
        <w:fldChar w:fldCharType="separate"/>
      </w:r>
      <w:r>
        <w:rPr>
          <w:rFonts w:ascii="Times New Roman" w:hAnsi="Times New Roman" w:eastAsia="仿宋" w:cs="Times New Roman"/>
          <w:color w:val="auto"/>
          <w:sz w:val="21"/>
          <w:szCs w:val="21"/>
        </w:rPr>
        <w:t>⑦</w:t>
      </w:r>
      <w:r>
        <w:rPr>
          <w:rFonts w:ascii="Times New Roman" w:hAnsi="Times New Roman" w:eastAsia="仿宋" w:cs="Times New Roman"/>
          <w:snapToGrid w:val="0"/>
          <w:color w:val="auto"/>
          <w:spacing w:val="-6"/>
          <w:kern w:val="21"/>
          <w:sz w:val="21"/>
          <w:szCs w:val="21"/>
        </w:rPr>
        <w:fldChar w:fldCharType="end"/>
      </w:r>
      <w:r>
        <w:rPr>
          <w:rFonts w:ascii="Times New Roman" w:hAnsi="Times New Roman" w:eastAsia="仿宋" w:cs="Times New Roman"/>
          <w:snapToGrid w:val="0"/>
          <w:color w:val="auto"/>
          <w:spacing w:val="-6"/>
          <w:kern w:val="21"/>
          <w:sz w:val="21"/>
          <w:szCs w:val="21"/>
        </w:rPr>
        <w:t>=</w:t>
      </w:r>
      <w:r>
        <w:rPr>
          <w:rFonts w:ascii="Times New Roman" w:hAnsi="Times New Roman" w:eastAsia="仿宋" w:cs="Times New Roman"/>
          <w:snapToGrid w:val="0"/>
          <w:color w:val="auto"/>
          <w:spacing w:val="-16"/>
          <w:kern w:val="21"/>
          <w:sz w:val="21"/>
          <w:szCs w:val="21"/>
        </w:rPr>
        <w:fldChar w:fldCharType="begin"/>
      </w:r>
      <w:r>
        <w:rPr>
          <w:rFonts w:ascii="Times New Roman" w:hAnsi="Times New Roman" w:eastAsia="仿宋" w:cs="Times New Roman"/>
          <w:snapToGrid w:val="0"/>
          <w:color w:val="auto"/>
          <w:spacing w:val="-16"/>
          <w:kern w:val="21"/>
          <w:sz w:val="21"/>
          <w:szCs w:val="21"/>
        </w:rPr>
        <w:instrText xml:space="preserve"> = 6 \* GB3 \* MERGEFORMAT </w:instrText>
      </w:r>
      <w:r>
        <w:rPr>
          <w:rFonts w:ascii="Times New Roman" w:hAnsi="Times New Roman" w:eastAsia="仿宋" w:cs="Times New Roman"/>
          <w:snapToGrid w:val="0"/>
          <w:color w:val="auto"/>
          <w:spacing w:val="-16"/>
          <w:kern w:val="21"/>
          <w:sz w:val="21"/>
          <w:szCs w:val="21"/>
        </w:rPr>
        <w:fldChar w:fldCharType="separate"/>
      </w:r>
      <w:r>
        <w:rPr>
          <w:rFonts w:ascii="Times New Roman" w:hAnsi="Times New Roman" w:eastAsia="仿宋" w:cs="Times New Roman"/>
          <w:color w:val="auto"/>
          <w:sz w:val="21"/>
          <w:szCs w:val="21"/>
        </w:rPr>
        <w:t>⑥</w:t>
      </w:r>
      <w:r>
        <w:rPr>
          <w:rFonts w:ascii="Times New Roman" w:hAnsi="Times New Roman" w:eastAsia="仿宋" w:cs="Times New Roman"/>
          <w:snapToGrid w:val="0"/>
          <w:color w:val="auto"/>
          <w:spacing w:val="-16"/>
          <w:kern w:val="21"/>
          <w:sz w:val="21"/>
          <w:szCs w:val="21"/>
        </w:rPr>
        <w:fldChar w:fldCharType="end"/>
      </w:r>
      <w:r>
        <w:rPr>
          <w:rFonts w:ascii="Times New Roman" w:hAnsi="Times New Roman" w:eastAsia="仿宋" w:cs="Times New Roman"/>
          <w:snapToGrid w:val="0"/>
          <w:color w:val="auto"/>
          <w:spacing w:val="-16"/>
          <w:kern w:val="21"/>
          <w:sz w:val="21"/>
          <w:szCs w:val="21"/>
        </w:rPr>
        <w:t>-</w:t>
      </w:r>
      <w:r>
        <w:rPr>
          <w:rFonts w:ascii="Times New Roman" w:hAnsi="Times New Roman" w:eastAsia="仿宋" w:cs="Times New Roman"/>
          <w:snapToGrid w:val="0"/>
          <w:color w:val="auto"/>
          <w:spacing w:val="-6"/>
          <w:kern w:val="21"/>
          <w:sz w:val="21"/>
          <w:szCs w:val="21"/>
        </w:rPr>
        <w:fldChar w:fldCharType="begin"/>
      </w:r>
      <w:r>
        <w:rPr>
          <w:rFonts w:ascii="Times New Roman" w:hAnsi="Times New Roman" w:eastAsia="仿宋" w:cs="Times New Roman"/>
          <w:snapToGrid w:val="0"/>
          <w:color w:val="auto"/>
          <w:spacing w:val="-6"/>
          <w:kern w:val="21"/>
          <w:sz w:val="21"/>
          <w:szCs w:val="21"/>
        </w:rPr>
        <w:instrText xml:space="preserve"> = 1 \* GB3 \* MERGEFORMAT </w:instrText>
      </w:r>
      <w:r>
        <w:rPr>
          <w:rFonts w:ascii="Times New Roman" w:hAnsi="Times New Roman" w:eastAsia="仿宋" w:cs="Times New Roman"/>
          <w:snapToGrid w:val="0"/>
          <w:color w:val="auto"/>
          <w:spacing w:val="-6"/>
          <w:kern w:val="21"/>
          <w:sz w:val="21"/>
          <w:szCs w:val="21"/>
        </w:rPr>
        <w:fldChar w:fldCharType="separate"/>
      </w:r>
      <w:r>
        <w:rPr>
          <w:rFonts w:ascii="Times New Roman" w:hAnsi="Times New Roman" w:eastAsia="仿宋" w:cs="Times New Roman"/>
          <w:color w:val="auto"/>
          <w:sz w:val="21"/>
          <w:szCs w:val="21"/>
        </w:rPr>
        <w:t>①</w:t>
      </w:r>
      <w:r>
        <w:rPr>
          <w:rFonts w:ascii="Times New Roman" w:hAnsi="Times New Roman" w:eastAsia="仿宋" w:cs="Times New Roman"/>
          <w:snapToGrid w:val="0"/>
          <w:color w:val="auto"/>
          <w:spacing w:val="-6"/>
          <w:kern w:val="21"/>
          <w:sz w:val="21"/>
          <w:szCs w:val="21"/>
        </w:rPr>
        <w:fldChar w:fldCharType="end"/>
      </w:r>
      <w:bookmarkEnd w:id="15"/>
      <w:r>
        <w:rPr>
          <w:rFonts w:hint="eastAsia" w:cs="Times New Roman"/>
          <w:snapToGrid w:val="0"/>
          <w:color w:val="auto"/>
          <w:spacing w:val="-6"/>
          <w:kern w:val="21"/>
          <w:sz w:val="21"/>
          <w:szCs w:val="21"/>
          <w:lang w:eastAsia="zh-CN"/>
        </w:rPr>
        <w:t>。</w:t>
      </w:r>
    </w:p>
    <w:sectPr>
      <w:footerReference r:id="rId10" w:type="default"/>
      <w:pgSz w:w="16838" w:h="11906" w:orient="landscape"/>
      <w:pgMar w:top="1418" w:right="1701" w:bottom="1134"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D5D09D3-EA47-4802-8D71-CB470C5E994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BA65C628-932D-4A5E-B352-99A1D4B40A1C}"/>
  </w:font>
  <w:font w:name="楷体_GB2312">
    <w:panose1 w:val="02010609030101010101"/>
    <w:charset w:val="86"/>
    <w:family w:val="auto"/>
    <w:pitch w:val="default"/>
    <w:sig w:usb0="00000001" w:usb1="080E0000" w:usb2="00000000" w:usb3="00000000" w:csb0="00040000" w:csb1="00000000"/>
    <w:embedRegular r:id="rId3" w:fontKey="{95574102-9A4F-4A67-A4A8-139504A2F72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Dutch801 Rm BT">
    <w:altName w:val="Times New Roman"/>
    <w:panose1 w:val="02020603060505020304"/>
    <w:charset w:val="00"/>
    <w:family w:val="roman"/>
    <w:pitch w:val="default"/>
    <w:sig w:usb0="00000000" w:usb1="00000000" w:usb2="00000000" w:usb3="00000000" w:csb0="00000000" w:csb1="00000000"/>
  </w:font>
  <w:font w:name="新宋体-18030">
    <w:altName w:val="宋体"/>
    <w:panose1 w:val="00000000000000000000"/>
    <w:charset w:val="00"/>
    <w:family w:val="auto"/>
    <w:pitch w:val="default"/>
    <w:sig w:usb0="00000000" w:usb1="00000000" w:usb2="00000000" w:usb3="00000000" w:csb0="00040001" w:csb1="00000000"/>
  </w:font>
  <w:font w:name="方正仿宋_GBK">
    <w:panose1 w:val="03000509000000000000"/>
    <w:charset w:val="86"/>
    <w:family w:val="script"/>
    <w:pitch w:val="default"/>
    <w:sig w:usb0="00000001" w:usb1="080E0000" w:usb2="00000000" w:usb3="00000000" w:csb0="00040000" w:csb1="00000000"/>
  </w:font>
  <w:font w:name="华康简宋">
    <w:altName w:val="宋体"/>
    <w:panose1 w:val="00000000000000000000"/>
    <w:charset w:val="86"/>
    <w:family w:val="modern"/>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time">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embedRegular r:id="rId4" w:fontKey="{2D22BFA5-F868-4186-AC4B-D0563ACE3280}"/>
  </w:font>
  <w:font w:name="方正小标宋_GBK">
    <w:panose1 w:val="03000509000000000000"/>
    <w:charset w:val="86"/>
    <w:family w:val="script"/>
    <w:pitch w:val="default"/>
    <w:sig w:usb0="00000001" w:usb1="080E0000" w:usb2="00000000" w:usb3="00000000" w:csb0="00040000" w:csb1="00000000"/>
    <w:embedRegular r:id="rId5" w:fontKey="{C5B369CD-348F-4D4C-B959-08AD1E731A8C}"/>
  </w:font>
  <w:font w:name="仿宋">
    <w:panose1 w:val="02010609060101010101"/>
    <w:charset w:val="86"/>
    <w:family w:val="modern"/>
    <w:pitch w:val="default"/>
    <w:sig w:usb0="800002BF" w:usb1="38CF7CFA" w:usb2="00000016" w:usb3="00000000" w:csb0="00040001" w:csb1="00000000"/>
    <w:embedRegular r:id="rId6" w:fontKey="{206E1D2C-D919-4D23-B568-1E47A887B802}"/>
  </w:font>
  <w:font w:name="Wingdings 2">
    <w:panose1 w:val="05020102010507070707"/>
    <w:charset w:val="00"/>
    <w:family w:val="auto"/>
    <w:pitch w:val="default"/>
    <w:sig w:usb0="00000000" w:usb1="00000000" w:usb2="00000000" w:usb3="00000000" w:csb0="80000000" w:csb1="00000000"/>
    <w:embedRegular r:id="rId7" w:fontKey="{FB798FEC-08AF-41A8-ABDB-6E0AE43FCF22}"/>
  </w:font>
  <w:font w:name="Cambria Math">
    <w:panose1 w:val="02040503050406030204"/>
    <w:charset w:val="00"/>
    <w:family w:val="roman"/>
    <w:pitch w:val="default"/>
    <w:sig w:usb0="E00002FF" w:usb1="420024FF" w:usb2="00000000" w:usb3="00000000" w:csb0="2000019F" w:csb1="00000000"/>
    <w:embedRegular r:id="rId8" w:fontKey="{2EAEC1AE-4BBD-4D92-8B17-BD3A494BBFD8}"/>
  </w:font>
  <w:font w:name="方正公文仿宋">
    <w:panose1 w:val="02000500000000000000"/>
    <w:charset w:val="86"/>
    <w:family w:val="auto"/>
    <w:pitch w:val="default"/>
    <w:sig w:usb0="A00002BF" w:usb1="38CF7CFA" w:usb2="00000016" w:usb3="00000000" w:csb0="00040001" w:csb1="00000000"/>
    <w:embedRegular r:id="rId9" w:fontKey="{E89D2F8D-8EA3-40CD-959E-E0A59C6037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1829425"/>
      <w:docPartObj>
        <w:docPartGallery w:val="autotext"/>
      </w:docPartObj>
    </w:sdtPr>
    <w:sdtContent>
      <w:p w14:paraId="0E77E923">
        <w:pPr>
          <w:pStyle w:val="18"/>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C9AA6">
    <w:pPr>
      <w:pStyle w:val="18"/>
      <w:framePr w:wrap="around" w:vAnchor="text" w:hAnchor="margin" w:xAlign="center" w:y="1"/>
      <w:rPr>
        <w:rStyle w:val="35"/>
      </w:rPr>
    </w:pPr>
    <w:r>
      <w:fldChar w:fldCharType="begin"/>
    </w:r>
    <w:r>
      <w:rPr>
        <w:rStyle w:val="35"/>
      </w:rPr>
      <w:instrText xml:space="preserve">PAGE  </w:instrText>
    </w:r>
    <w:r>
      <w:fldChar w:fldCharType="end"/>
    </w:r>
  </w:p>
  <w:p w14:paraId="2B6C728C">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30EFE">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1D7B1">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DE4B">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64874">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88900">
    <w:pPr>
      <w:pStyle w:val="18"/>
      <w:jc w:val="center"/>
    </w:pPr>
    <w:r>
      <w:fldChar w:fldCharType="begin"/>
    </w:r>
    <w:r>
      <w:instrText xml:space="preserve">PAGE   \* MERGEFORMAT</w:instrText>
    </w:r>
    <w:r>
      <w:fldChar w:fldCharType="separate"/>
    </w:r>
    <w:r>
      <w:rPr>
        <w:lang w:val="zh-CN"/>
      </w:rPr>
      <w:t>20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CA301">
    <w:pPr>
      <w:pStyle w:val="18"/>
      <w:jc w:val="center"/>
    </w:pPr>
    <w:r>
      <w:fldChar w:fldCharType="begin"/>
    </w:r>
    <w:r>
      <w:instrText xml:space="preserve">PAGE   \* MERGEFORMAT</w:instrText>
    </w:r>
    <w:r>
      <w:fldChar w:fldCharType="separate"/>
    </w:r>
    <w:r>
      <w:rPr>
        <w:lang w:val="zh-CN"/>
      </w:rPr>
      <w:t>64</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C8EAFF"/>
    <w:multiLevelType w:val="singleLevel"/>
    <w:tmpl w:val="CEC8EAFF"/>
    <w:lvl w:ilvl="0" w:tentative="0">
      <w:start w:val="2"/>
      <w:numFmt w:val="decimal"/>
      <w:lvlText w:val="%1."/>
      <w:lvlJc w:val="left"/>
      <w:pPr>
        <w:tabs>
          <w:tab w:val="left" w:pos="312"/>
        </w:tabs>
      </w:pPr>
    </w:lvl>
  </w:abstractNum>
  <w:abstractNum w:abstractNumId="1">
    <w:nsid w:val="E47DCFE3"/>
    <w:multiLevelType w:val="singleLevel"/>
    <w:tmpl w:val="E47DCFE3"/>
    <w:lvl w:ilvl="0" w:tentative="0">
      <w:start w:val="2"/>
      <w:numFmt w:val="decimal"/>
      <w:suff w:val="nothing"/>
      <w:lvlText w:val="%1．"/>
      <w:lvlJc w:val="left"/>
    </w:lvl>
  </w:abstractNum>
  <w:abstractNum w:abstractNumId="2">
    <w:nsid w:val="1EAAEA93"/>
    <w:multiLevelType w:val="singleLevel"/>
    <w:tmpl w:val="1EAAEA93"/>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3">
    <w:nsid w:val="68D167E9"/>
    <w:multiLevelType w:val="multilevel"/>
    <w:tmpl w:val="68D167E9"/>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b w:val="0"/>
        <w:bCs/>
      </w:rPr>
    </w:lvl>
    <w:lvl w:ilvl="2" w:tentative="0">
      <w:start w:val="1"/>
      <w:numFmt w:val="decimal"/>
      <w:suff w:val="space"/>
      <w:lvlText w:val="%1.%2.%3"/>
      <w:lvlJc w:val="left"/>
      <w:pPr>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suff w:val="space"/>
      <w:lvlText w:val="%1.%2.%3.%4"/>
      <w:lvlJc w:val="left"/>
      <w:pPr>
        <w:ind w:left="142"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lvlRestart w:val="2"/>
      <w:pStyle w:val="122"/>
      <w:suff w:val="space"/>
      <w:lvlText w:val="表%1.%2-%6"/>
      <w:lvlJc w:val="center"/>
      <w:pPr>
        <w:ind w:left="0" w:firstLine="0"/>
      </w:pPr>
      <w:rPr>
        <w:rFonts w:hint="eastAsia"/>
        <w:b w:val="0"/>
        <w:color w:val="auto"/>
      </w:rPr>
    </w:lvl>
    <w:lvl w:ilvl="6" w:tentative="0">
      <w:start w:val="1"/>
      <w:numFmt w:val="decimal"/>
      <w:lvlRestart w:val="2"/>
      <w:suff w:val="space"/>
      <w:lvlText w:val="图%1.%2-%7"/>
      <w:lvlJc w:val="center"/>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zMTU3ZmY0N2FlY2Y1NzFlYTc4NzBiZGE3OTQzZGYifQ=="/>
  </w:docVars>
  <w:rsids>
    <w:rsidRoot w:val="00A14947"/>
    <w:rsid w:val="000060B3"/>
    <w:rsid w:val="0001175C"/>
    <w:rsid w:val="00022FD3"/>
    <w:rsid w:val="00025BF6"/>
    <w:rsid w:val="00026E9B"/>
    <w:rsid w:val="0003114E"/>
    <w:rsid w:val="000328BD"/>
    <w:rsid w:val="00034D78"/>
    <w:rsid w:val="000362CA"/>
    <w:rsid w:val="00037218"/>
    <w:rsid w:val="00041498"/>
    <w:rsid w:val="00041CE1"/>
    <w:rsid w:val="0004364B"/>
    <w:rsid w:val="0004444D"/>
    <w:rsid w:val="000510E9"/>
    <w:rsid w:val="00051112"/>
    <w:rsid w:val="00057CB4"/>
    <w:rsid w:val="00057F0E"/>
    <w:rsid w:val="00061B1F"/>
    <w:rsid w:val="00070C13"/>
    <w:rsid w:val="000733C4"/>
    <w:rsid w:val="000735AE"/>
    <w:rsid w:val="00073D3B"/>
    <w:rsid w:val="00073EC4"/>
    <w:rsid w:val="000741A4"/>
    <w:rsid w:val="00074783"/>
    <w:rsid w:val="000760BA"/>
    <w:rsid w:val="00076791"/>
    <w:rsid w:val="0008070B"/>
    <w:rsid w:val="000810AC"/>
    <w:rsid w:val="00081A02"/>
    <w:rsid w:val="00082231"/>
    <w:rsid w:val="00084863"/>
    <w:rsid w:val="000848DA"/>
    <w:rsid w:val="00092D38"/>
    <w:rsid w:val="00092F04"/>
    <w:rsid w:val="00093391"/>
    <w:rsid w:val="0009377B"/>
    <w:rsid w:val="000945B1"/>
    <w:rsid w:val="000975E1"/>
    <w:rsid w:val="000A20C9"/>
    <w:rsid w:val="000A3250"/>
    <w:rsid w:val="000A7922"/>
    <w:rsid w:val="000B058F"/>
    <w:rsid w:val="000B3753"/>
    <w:rsid w:val="000B4467"/>
    <w:rsid w:val="000B4DB9"/>
    <w:rsid w:val="000B6B51"/>
    <w:rsid w:val="000C09AC"/>
    <w:rsid w:val="000C0F66"/>
    <w:rsid w:val="000C33C4"/>
    <w:rsid w:val="000C3B14"/>
    <w:rsid w:val="000C767F"/>
    <w:rsid w:val="000D052B"/>
    <w:rsid w:val="000D1100"/>
    <w:rsid w:val="000D3736"/>
    <w:rsid w:val="000D5A44"/>
    <w:rsid w:val="000D5F4A"/>
    <w:rsid w:val="000D6DD8"/>
    <w:rsid w:val="000E28EB"/>
    <w:rsid w:val="000E3ED2"/>
    <w:rsid w:val="000E6F80"/>
    <w:rsid w:val="000F06C8"/>
    <w:rsid w:val="0010006E"/>
    <w:rsid w:val="00100792"/>
    <w:rsid w:val="001037BB"/>
    <w:rsid w:val="001056D9"/>
    <w:rsid w:val="00105A4E"/>
    <w:rsid w:val="00105BAC"/>
    <w:rsid w:val="00111AC0"/>
    <w:rsid w:val="00111B7D"/>
    <w:rsid w:val="001129C4"/>
    <w:rsid w:val="00113B9D"/>
    <w:rsid w:val="00113EED"/>
    <w:rsid w:val="00114569"/>
    <w:rsid w:val="00120556"/>
    <w:rsid w:val="00125305"/>
    <w:rsid w:val="00127379"/>
    <w:rsid w:val="00127D6E"/>
    <w:rsid w:val="00127E13"/>
    <w:rsid w:val="00131F42"/>
    <w:rsid w:val="00133EDF"/>
    <w:rsid w:val="001342D4"/>
    <w:rsid w:val="0013440E"/>
    <w:rsid w:val="001357F1"/>
    <w:rsid w:val="00140FA8"/>
    <w:rsid w:val="00142FEB"/>
    <w:rsid w:val="00143A2D"/>
    <w:rsid w:val="00144322"/>
    <w:rsid w:val="00145A41"/>
    <w:rsid w:val="00147553"/>
    <w:rsid w:val="00151675"/>
    <w:rsid w:val="00152239"/>
    <w:rsid w:val="00152857"/>
    <w:rsid w:val="00153CF4"/>
    <w:rsid w:val="00157435"/>
    <w:rsid w:val="00163082"/>
    <w:rsid w:val="00165605"/>
    <w:rsid w:val="00166533"/>
    <w:rsid w:val="0016773B"/>
    <w:rsid w:val="00167B28"/>
    <w:rsid w:val="00171B33"/>
    <w:rsid w:val="00173BDF"/>
    <w:rsid w:val="0017504D"/>
    <w:rsid w:val="00176184"/>
    <w:rsid w:val="0017671A"/>
    <w:rsid w:val="00177422"/>
    <w:rsid w:val="00182C4B"/>
    <w:rsid w:val="00184590"/>
    <w:rsid w:val="001861EC"/>
    <w:rsid w:val="00186AEB"/>
    <w:rsid w:val="001870D1"/>
    <w:rsid w:val="0018781E"/>
    <w:rsid w:val="00187FA6"/>
    <w:rsid w:val="00190645"/>
    <w:rsid w:val="0019262D"/>
    <w:rsid w:val="00192FFD"/>
    <w:rsid w:val="00193313"/>
    <w:rsid w:val="00193DE0"/>
    <w:rsid w:val="001944F9"/>
    <w:rsid w:val="001A1B35"/>
    <w:rsid w:val="001A1EDD"/>
    <w:rsid w:val="001A48A2"/>
    <w:rsid w:val="001A4B7B"/>
    <w:rsid w:val="001A654C"/>
    <w:rsid w:val="001A6D26"/>
    <w:rsid w:val="001A6F61"/>
    <w:rsid w:val="001B15F0"/>
    <w:rsid w:val="001B2866"/>
    <w:rsid w:val="001B53B0"/>
    <w:rsid w:val="001B72B8"/>
    <w:rsid w:val="001C21CC"/>
    <w:rsid w:val="001C37C1"/>
    <w:rsid w:val="001C65CB"/>
    <w:rsid w:val="001C69B3"/>
    <w:rsid w:val="001D05B3"/>
    <w:rsid w:val="001D3080"/>
    <w:rsid w:val="001D5595"/>
    <w:rsid w:val="001D5D62"/>
    <w:rsid w:val="001D605B"/>
    <w:rsid w:val="001D66E7"/>
    <w:rsid w:val="001D76C0"/>
    <w:rsid w:val="001D7874"/>
    <w:rsid w:val="001D78A3"/>
    <w:rsid w:val="001D7F22"/>
    <w:rsid w:val="001E0091"/>
    <w:rsid w:val="001E1EF7"/>
    <w:rsid w:val="001E20E3"/>
    <w:rsid w:val="001E2CD2"/>
    <w:rsid w:val="001E61E4"/>
    <w:rsid w:val="001F0F17"/>
    <w:rsid w:val="001F3347"/>
    <w:rsid w:val="001F344A"/>
    <w:rsid w:val="001F69E4"/>
    <w:rsid w:val="001F6B8B"/>
    <w:rsid w:val="00200203"/>
    <w:rsid w:val="00201C01"/>
    <w:rsid w:val="00202664"/>
    <w:rsid w:val="002072A5"/>
    <w:rsid w:val="00210827"/>
    <w:rsid w:val="00211F3B"/>
    <w:rsid w:val="002125B4"/>
    <w:rsid w:val="00212E6E"/>
    <w:rsid w:val="002131B8"/>
    <w:rsid w:val="002155B8"/>
    <w:rsid w:val="00215BE3"/>
    <w:rsid w:val="002221FB"/>
    <w:rsid w:val="00224721"/>
    <w:rsid w:val="00224839"/>
    <w:rsid w:val="002249B2"/>
    <w:rsid w:val="00226574"/>
    <w:rsid w:val="00226823"/>
    <w:rsid w:val="002278EC"/>
    <w:rsid w:val="002316E3"/>
    <w:rsid w:val="0023280E"/>
    <w:rsid w:val="00233F63"/>
    <w:rsid w:val="00235FD1"/>
    <w:rsid w:val="002377D1"/>
    <w:rsid w:val="002417DA"/>
    <w:rsid w:val="00242399"/>
    <w:rsid w:val="0024262D"/>
    <w:rsid w:val="002439EA"/>
    <w:rsid w:val="002506BC"/>
    <w:rsid w:val="00254345"/>
    <w:rsid w:val="002603F6"/>
    <w:rsid w:val="0026118F"/>
    <w:rsid w:val="00264557"/>
    <w:rsid w:val="00271E8F"/>
    <w:rsid w:val="002730AA"/>
    <w:rsid w:val="00275999"/>
    <w:rsid w:val="00275FDA"/>
    <w:rsid w:val="002805AB"/>
    <w:rsid w:val="0028365A"/>
    <w:rsid w:val="00284204"/>
    <w:rsid w:val="00287B3F"/>
    <w:rsid w:val="00291773"/>
    <w:rsid w:val="00292346"/>
    <w:rsid w:val="00292BAB"/>
    <w:rsid w:val="00294130"/>
    <w:rsid w:val="00296415"/>
    <w:rsid w:val="002A168C"/>
    <w:rsid w:val="002A3DC7"/>
    <w:rsid w:val="002A3ED0"/>
    <w:rsid w:val="002A6C33"/>
    <w:rsid w:val="002B024E"/>
    <w:rsid w:val="002B10F9"/>
    <w:rsid w:val="002B16C7"/>
    <w:rsid w:val="002B49E2"/>
    <w:rsid w:val="002B7B00"/>
    <w:rsid w:val="002B7C44"/>
    <w:rsid w:val="002C2B17"/>
    <w:rsid w:val="002C4501"/>
    <w:rsid w:val="002D1216"/>
    <w:rsid w:val="002D3790"/>
    <w:rsid w:val="002D3DD0"/>
    <w:rsid w:val="002E0F92"/>
    <w:rsid w:val="002E1726"/>
    <w:rsid w:val="002E1F3A"/>
    <w:rsid w:val="002E28B4"/>
    <w:rsid w:val="002E298A"/>
    <w:rsid w:val="002F76E4"/>
    <w:rsid w:val="00300227"/>
    <w:rsid w:val="00301978"/>
    <w:rsid w:val="0030332C"/>
    <w:rsid w:val="00303B1E"/>
    <w:rsid w:val="003051C2"/>
    <w:rsid w:val="00305CE7"/>
    <w:rsid w:val="00307755"/>
    <w:rsid w:val="00307FED"/>
    <w:rsid w:val="003103AD"/>
    <w:rsid w:val="0031102D"/>
    <w:rsid w:val="00312296"/>
    <w:rsid w:val="00314F0E"/>
    <w:rsid w:val="0031688A"/>
    <w:rsid w:val="003208AC"/>
    <w:rsid w:val="00320F17"/>
    <w:rsid w:val="00321D8E"/>
    <w:rsid w:val="00322960"/>
    <w:rsid w:val="003236F9"/>
    <w:rsid w:val="00324533"/>
    <w:rsid w:val="00325417"/>
    <w:rsid w:val="00325928"/>
    <w:rsid w:val="00327453"/>
    <w:rsid w:val="00331BAE"/>
    <w:rsid w:val="00332863"/>
    <w:rsid w:val="0033684D"/>
    <w:rsid w:val="00336C43"/>
    <w:rsid w:val="00337B42"/>
    <w:rsid w:val="00340936"/>
    <w:rsid w:val="00341A33"/>
    <w:rsid w:val="00341B42"/>
    <w:rsid w:val="00342C1F"/>
    <w:rsid w:val="0034348F"/>
    <w:rsid w:val="00346DDB"/>
    <w:rsid w:val="00347D6C"/>
    <w:rsid w:val="00351AB5"/>
    <w:rsid w:val="0035426F"/>
    <w:rsid w:val="00356653"/>
    <w:rsid w:val="0035743F"/>
    <w:rsid w:val="00357BE2"/>
    <w:rsid w:val="0036170C"/>
    <w:rsid w:val="00363218"/>
    <w:rsid w:val="00365F65"/>
    <w:rsid w:val="00366E0F"/>
    <w:rsid w:val="00366FE6"/>
    <w:rsid w:val="00375869"/>
    <w:rsid w:val="00375BD2"/>
    <w:rsid w:val="00381A72"/>
    <w:rsid w:val="00384676"/>
    <w:rsid w:val="00390034"/>
    <w:rsid w:val="00390857"/>
    <w:rsid w:val="00392859"/>
    <w:rsid w:val="00393254"/>
    <w:rsid w:val="003941E1"/>
    <w:rsid w:val="00395A79"/>
    <w:rsid w:val="003A10FF"/>
    <w:rsid w:val="003A15BE"/>
    <w:rsid w:val="003A48BB"/>
    <w:rsid w:val="003A4BF3"/>
    <w:rsid w:val="003A632E"/>
    <w:rsid w:val="003A682C"/>
    <w:rsid w:val="003B3497"/>
    <w:rsid w:val="003B420D"/>
    <w:rsid w:val="003B424A"/>
    <w:rsid w:val="003C22BD"/>
    <w:rsid w:val="003C380F"/>
    <w:rsid w:val="003C5153"/>
    <w:rsid w:val="003C6C16"/>
    <w:rsid w:val="003D09EE"/>
    <w:rsid w:val="003D2E51"/>
    <w:rsid w:val="003D53FE"/>
    <w:rsid w:val="003D59CB"/>
    <w:rsid w:val="003D5E0E"/>
    <w:rsid w:val="003D794D"/>
    <w:rsid w:val="003E2DD2"/>
    <w:rsid w:val="003E3058"/>
    <w:rsid w:val="003E3FA6"/>
    <w:rsid w:val="003E4E72"/>
    <w:rsid w:val="003E76A9"/>
    <w:rsid w:val="003E7C4D"/>
    <w:rsid w:val="003F0809"/>
    <w:rsid w:val="003F26EF"/>
    <w:rsid w:val="003F6A8C"/>
    <w:rsid w:val="003F755C"/>
    <w:rsid w:val="00402313"/>
    <w:rsid w:val="0040464E"/>
    <w:rsid w:val="00406F01"/>
    <w:rsid w:val="0041506F"/>
    <w:rsid w:val="00416D50"/>
    <w:rsid w:val="00416FD5"/>
    <w:rsid w:val="00417665"/>
    <w:rsid w:val="00417772"/>
    <w:rsid w:val="0042013A"/>
    <w:rsid w:val="00420A76"/>
    <w:rsid w:val="00420E6A"/>
    <w:rsid w:val="00425A9E"/>
    <w:rsid w:val="0042661F"/>
    <w:rsid w:val="00426D6B"/>
    <w:rsid w:val="00431308"/>
    <w:rsid w:val="00431AFB"/>
    <w:rsid w:val="00431DF1"/>
    <w:rsid w:val="00431E6C"/>
    <w:rsid w:val="00433CE7"/>
    <w:rsid w:val="00433F4A"/>
    <w:rsid w:val="00436A3A"/>
    <w:rsid w:val="00440DDC"/>
    <w:rsid w:val="00441CEF"/>
    <w:rsid w:val="00445025"/>
    <w:rsid w:val="00451A0A"/>
    <w:rsid w:val="004526C3"/>
    <w:rsid w:val="00452738"/>
    <w:rsid w:val="00456091"/>
    <w:rsid w:val="00457D2F"/>
    <w:rsid w:val="00460764"/>
    <w:rsid w:val="004607C3"/>
    <w:rsid w:val="004634A7"/>
    <w:rsid w:val="00466321"/>
    <w:rsid w:val="004667FD"/>
    <w:rsid w:val="00467DDB"/>
    <w:rsid w:val="00467E47"/>
    <w:rsid w:val="00467FD9"/>
    <w:rsid w:val="0048109C"/>
    <w:rsid w:val="00482CA7"/>
    <w:rsid w:val="00484B9B"/>
    <w:rsid w:val="004855F6"/>
    <w:rsid w:val="00485760"/>
    <w:rsid w:val="0048661E"/>
    <w:rsid w:val="00494670"/>
    <w:rsid w:val="00495845"/>
    <w:rsid w:val="004A3823"/>
    <w:rsid w:val="004A49E4"/>
    <w:rsid w:val="004B05ED"/>
    <w:rsid w:val="004B0EEE"/>
    <w:rsid w:val="004B106F"/>
    <w:rsid w:val="004B4EC5"/>
    <w:rsid w:val="004B72E1"/>
    <w:rsid w:val="004C1F5B"/>
    <w:rsid w:val="004C610A"/>
    <w:rsid w:val="004C7136"/>
    <w:rsid w:val="004C713F"/>
    <w:rsid w:val="004D05E1"/>
    <w:rsid w:val="004D239E"/>
    <w:rsid w:val="004D5240"/>
    <w:rsid w:val="004D6473"/>
    <w:rsid w:val="004E29BA"/>
    <w:rsid w:val="004E2E94"/>
    <w:rsid w:val="004E3FC6"/>
    <w:rsid w:val="004E4665"/>
    <w:rsid w:val="004E6946"/>
    <w:rsid w:val="004E6B48"/>
    <w:rsid w:val="004F1AD8"/>
    <w:rsid w:val="004F51EB"/>
    <w:rsid w:val="004F635A"/>
    <w:rsid w:val="004F6F80"/>
    <w:rsid w:val="00500D35"/>
    <w:rsid w:val="005037F6"/>
    <w:rsid w:val="005039CB"/>
    <w:rsid w:val="0050558F"/>
    <w:rsid w:val="00506286"/>
    <w:rsid w:val="00510813"/>
    <w:rsid w:val="00511990"/>
    <w:rsid w:val="00511DE0"/>
    <w:rsid w:val="005129B8"/>
    <w:rsid w:val="00514870"/>
    <w:rsid w:val="00514B9B"/>
    <w:rsid w:val="0051502F"/>
    <w:rsid w:val="005179CD"/>
    <w:rsid w:val="00517F02"/>
    <w:rsid w:val="00522EC4"/>
    <w:rsid w:val="00524303"/>
    <w:rsid w:val="005258A2"/>
    <w:rsid w:val="0052641F"/>
    <w:rsid w:val="00526B44"/>
    <w:rsid w:val="0054009E"/>
    <w:rsid w:val="005401AE"/>
    <w:rsid w:val="00542350"/>
    <w:rsid w:val="00542E07"/>
    <w:rsid w:val="00543559"/>
    <w:rsid w:val="00543B74"/>
    <w:rsid w:val="00544AB7"/>
    <w:rsid w:val="00545424"/>
    <w:rsid w:val="00546DB5"/>
    <w:rsid w:val="005513EA"/>
    <w:rsid w:val="00551FFB"/>
    <w:rsid w:val="0055306F"/>
    <w:rsid w:val="00554A7B"/>
    <w:rsid w:val="0055572C"/>
    <w:rsid w:val="00555B18"/>
    <w:rsid w:val="00555B23"/>
    <w:rsid w:val="00557140"/>
    <w:rsid w:val="0056106A"/>
    <w:rsid w:val="005622E2"/>
    <w:rsid w:val="00564F7C"/>
    <w:rsid w:val="005720AE"/>
    <w:rsid w:val="005741AE"/>
    <w:rsid w:val="00594D77"/>
    <w:rsid w:val="005969E4"/>
    <w:rsid w:val="00597D26"/>
    <w:rsid w:val="005A06B7"/>
    <w:rsid w:val="005A1759"/>
    <w:rsid w:val="005A592D"/>
    <w:rsid w:val="005A68A7"/>
    <w:rsid w:val="005A7208"/>
    <w:rsid w:val="005B18AA"/>
    <w:rsid w:val="005B1EC2"/>
    <w:rsid w:val="005B3C35"/>
    <w:rsid w:val="005C0716"/>
    <w:rsid w:val="005C0D15"/>
    <w:rsid w:val="005C0EAA"/>
    <w:rsid w:val="005C119F"/>
    <w:rsid w:val="005D0D99"/>
    <w:rsid w:val="005D2B12"/>
    <w:rsid w:val="005D36AB"/>
    <w:rsid w:val="005E399E"/>
    <w:rsid w:val="005E4D87"/>
    <w:rsid w:val="005F2DCA"/>
    <w:rsid w:val="005F2F11"/>
    <w:rsid w:val="00600A6A"/>
    <w:rsid w:val="00601B34"/>
    <w:rsid w:val="00602ABB"/>
    <w:rsid w:val="006064F0"/>
    <w:rsid w:val="006124C9"/>
    <w:rsid w:val="00617589"/>
    <w:rsid w:val="00617CC3"/>
    <w:rsid w:val="00620673"/>
    <w:rsid w:val="00622128"/>
    <w:rsid w:val="00624E3F"/>
    <w:rsid w:val="00630ABD"/>
    <w:rsid w:val="00632834"/>
    <w:rsid w:val="006377A6"/>
    <w:rsid w:val="00637A3D"/>
    <w:rsid w:val="0064101D"/>
    <w:rsid w:val="006411EF"/>
    <w:rsid w:val="0064187E"/>
    <w:rsid w:val="0064426B"/>
    <w:rsid w:val="00645EE7"/>
    <w:rsid w:val="006463EE"/>
    <w:rsid w:val="00647576"/>
    <w:rsid w:val="00652E67"/>
    <w:rsid w:val="00654D7D"/>
    <w:rsid w:val="006567B5"/>
    <w:rsid w:val="00663983"/>
    <w:rsid w:val="00665D46"/>
    <w:rsid w:val="006672D5"/>
    <w:rsid w:val="00670669"/>
    <w:rsid w:val="0067462F"/>
    <w:rsid w:val="006748B8"/>
    <w:rsid w:val="00676CA9"/>
    <w:rsid w:val="006775C3"/>
    <w:rsid w:val="00680033"/>
    <w:rsid w:val="00680903"/>
    <w:rsid w:val="00681DA6"/>
    <w:rsid w:val="00690EEF"/>
    <w:rsid w:val="00690FAF"/>
    <w:rsid w:val="006910B7"/>
    <w:rsid w:val="00692792"/>
    <w:rsid w:val="0069290A"/>
    <w:rsid w:val="00696306"/>
    <w:rsid w:val="0069775A"/>
    <w:rsid w:val="00697813"/>
    <w:rsid w:val="00697BE3"/>
    <w:rsid w:val="006A02D7"/>
    <w:rsid w:val="006A3EE8"/>
    <w:rsid w:val="006A49B9"/>
    <w:rsid w:val="006A72BF"/>
    <w:rsid w:val="006A76AE"/>
    <w:rsid w:val="006B03F2"/>
    <w:rsid w:val="006B149B"/>
    <w:rsid w:val="006B37DC"/>
    <w:rsid w:val="006B47C5"/>
    <w:rsid w:val="006B4F68"/>
    <w:rsid w:val="006B63A2"/>
    <w:rsid w:val="006B73BE"/>
    <w:rsid w:val="006C0592"/>
    <w:rsid w:val="006C1685"/>
    <w:rsid w:val="006C272E"/>
    <w:rsid w:val="006C5479"/>
    <w:rsid w:val="006C6AF3"/>
    <w:rsid w:val="006D0799"/>
    <w:rsid w:val="006D0B23"/>
    <w:rsid w:val="006D13B5"/>
    <w:rsid w:val="006D2CDA"/>
    <w:rsid w:val="006D5836"/>
    <w:rsid w:val="006D6373"/>
    <w:rsid w:val="006D7912"/>
    <w:rsid w:val="006E01E3"/>
    <w:rsid w:val="006E03C2"/>
    <w:rsid w:val="006E12FF"/>
    <w:rsid w:val="006E2818"/>
    <w:rsid w:val="006E5B62"/>
    <w:rsid w:val="006E607E"/>
    <w:rsid w:val="006E7E01"/>
    <w:rsid w:val="006F1A50"/>
    <w:rsid w:val="006F261E"/>
    <w:rsid w:val="006F2B02"/>
    <w:rsid w:val="006F2C20"/>
    <w:rsid w:val="006F3CA1"/>
    <w:rsid w:val="006F5304"/>
    <w:rsid w:val="006F61FD"/>
    <w:rsid w:val="006F64D1"/>
    <w:rsid w:val="006F7A6A"/>
    <w:rsid w:val="00700355"/>
    <w:rsid w:val="00700BB0"/>
    <w:rsid w:val="00702922"/>
    <w:rsid w:val="007061C1"/>
    <w:rsid w:val="00706C5D"/>
    <w:rsid w:val="00707738"/>
    <w:rsid w:val="00711DD4"/>
    <w:rsid w:val="00714539"/>
    <w:rsid w:val="007174B3"/>
    <w:rsid w:val="00721017"/>
    <w:rsid w:val="00723048"/>
    <w:rsid w:val="00730A4A"/>
    <w:rsid w:val="00732922"/>
    <w:rsid w:val="007331E4"/>
    <w:rsid w:val="00734C1D"/>
    <w:rsid w:val="00737636"/>
    <w:rsid w:val="0074342D"/>
    <w:rsid w:val="0075017C"/>
    <w:rsid w:val="0075162E"/>
    <w:rsid w:val="00751E57"/>
    <w:rsid w:val="00754034"/>
    <w:rsid w:val="00756556"/>
    <w:rsid w:val="007567E4"/>
    <w:rsid w:val="007618C4"/>
    <w:rsid w:val="007618EE"/>
    <w:rsid w:val="00766054"/>
    <w:rsid w:val="00767980"/>
    <w:rsid w:val="00770B19"/>
    <w:rsid w:val="007712BE"/>
    <w:rsid w:val="00773369"/>
    <w:rsid w:val="0077463F"/>
    <w:rsid w:val="00780E60"/>
    <w:rsid w:val="007816AC"/>
    <w:rsid w:val="007836EA"/>
    <w:rsid w:val="00784701"/>
    <w:rsid w:val="00784CDA"/>
    <w:rsid w:val="00786310"/>
    <w:rsid w:val="007906C4"/>
    <w:rsid w:val="007940EA"/>
    <w:rsid w:val="0079600F"/>
    <w:rsid w:val="007967E8"/>
    <w:rsid w:val="00797C14"/>
    <w:rsid w:val="007A1026"/>
    <w:rsid w:val="007A2170"/>
    <w:rsid w:val="007A22BF"/>
    <w:rsid w:val="007A2B68"/>
    <w:rsid w:val="007A3323"/>
    <w:rsid w:val="007A39B5"/>
    <w:rsid w:val="007A5881"/>
    <w:rsid w:val="007A6258"/>
    <w:rsid w:val="007B2831"/>
    <w:rsid w:val="007B2BB8"/>
    <w:rsid w:val="007B2FDE"/>
    <w:rsid w:val="007B5061"/>
    <w:rsid w:val="007B557C"/>
    <w:rsid w:val="007B72B8"/>
    <w:rsid w:val="007B7A58"/>
    <w:rsid w:val="007C0B9A"/>
    <w:rsid w:val="007C21B5"/>
    <w:rsid w:val="007C30AB"/>
    <w:rsid w:val="007D1B10"/>
    <w:rsid w:val="007D2370"/>
    <w:rsid w:val="007D6A1B"/>
    <w:rsid w:val="007D7DA0"/>
    <w:rsid w:val="007E0479"/>
    <w:rsid w:val="007E11FD"/>
    <w:rsid w:val="007E1ECE"/>
    <w:rsid w:val="007E1FBD"/>
    <w:rsid w:val="007E4BD2"/>
    <w:rsid w:val="007F0E99"/>
    <w:rsid w:val="007F3748"/>
    <w:rsid w:val="007F3F47"/>
    <w:rsid w:val="007F5D9C"/>
    <w:rsid w:val="00801393"/>
    <w:rsid w:val="00802409"/>
    <w:rsid w:val="00802632"/>
    <w:rsid w:val="00802F88"/>
    <w:rsid w:val="00803E75"/>
    <w:rsid w:val="00804769"/>
    <w:rsid w:val="0080510D"/>
    <w:rsid w:val="0080572E"/>
    <w:rsid w:val="00805CD4"/>
    <w:rsid w:val="00810ACE"/>
    <w:rsid w:val="0081293E"/>
    <w:rsid w:val="00815465"/>
    <w:rsid w:val="00817E9A"/>
    <w:rsid w:val="00820D80"/>
    <w:rsid w:val="00823A06"/>
    <w:rsid w:val="008249C3"/>
    <w:rsid w:val="008255BA"/>
    <w:rsid w:val="008268BA"/>
    <w:rsid w:val="008306BD"/>
    <w:rsid w:val="008308C9"/>
    <w:rsid w:val="00831A80"/>
    <w:rsid w:val="0083283E"/>
    <w:rsid w:val="00833743"/>
    <w:rsid w:val="008340A4"/>
    <w:rsid w:val="008361A6"/>
    <w:rsid w:val="008431A3"/>
    <w:rsid w:val="00845123"/>
    <w:rsid w:val="00850124"/>
    <w:rsid w:val="00850279"/>
    <w:rsid w:val="008524C4"/>
    <w:rsid w:val="008530F5"/>
    <w:rsid w:val="008546D6"/>
    <w:rsid w:val="00857FC3"/>
    <w:rsid w:val="00861DAB"/>
    <w:rsid w:val="00867EAA"/>
    <w:rsid w:val="008701D7"/>
    <w:rsid w:val="0087135F"/>
    <w:rsid w:val="0087167F"/>
    <w:rsid w:val="00872138"/>
    <w:rsid w:val="00872D94"/>
    <w:rsid w:val="008739A4"/>
    <w:rsid w:val="00874A36"/>
    <w:rsid w:val="0087785A"/>
    <w:rsid w:val="00880364"/>
    <w:rsid w:val="00881440"/>
    <w:rsid w:val="00883D75"/>
    <w:rsid w:val="00886056"/>
    <w:rsid w:val="00891592"/>
    <w:rsid w:val="00891D92"/>
    <w:rsid w:val="00891E9E"/>
    <w:rsid w:val="00894A04"/>
    <w:rsid w:val="00894B55"/>
    <w:rsid w:val="00896F50"/>
    <w:rsid w:val="008A030C"/>
    <w:rsid w:val="008A0670"/>
    <w:rsid w:val="008A0A63"/>
    <w:rsid w:val="008A1644"/>
    <w:rsid w:val="008A28FC"/>
    <w:rsid w:val="008A2F68"/>
    <w:rsid w:val="008A54E4"/>
    <w:rsid w:val="008A7052"/>
    <w:rsid w:val="008B1278"/>
    <w:rsid w:val="008B12A2"/>
    <w:rsid w:val="008B2152"/>
    <w:rsid w:val="008B2DC5"/>
    <w:rsid w:val="008B4FA6"/>
    <w:rsid w:val="008B5282"/>
    <w:rsid w:val="008B69BC"/>
    <w:rsid w:val="008B7798"/>
    <w:rsid w:val="008B7C17"/>
    <w:rsid w:val="008C20C6"/>
    <w:rsid w:val="008C2D01"/>
    <w:rsid w:val="008C40E6"/>
    <w:rsid w:val="008D0F7A"/>
    <w:rsid w:val="008D13E4"/>
    <w:rsid w:val="008D2121"/>
    <w:rsid w:val="008D3AAF"/>
    <w:rsid w:val="008D3B60"/>
    <w:rsid w:val="008D4B48"/>
    <w:rsid w:val="008D68E4"/>
    <w:rsid w:val="008E0506"/>
    <w:rsid w:val="008E0A43"/>
    <w:rsid w:val="008E0CFF"/>
    <w:rsid w:val="008E45B0"/>
    <w:rsid w:val="008E5D6B"/>
    <w:rsid w:val="008E76F0"/>
    <w:rsid w:val="008F0A98"/>
    <w:rsid w:val="008F15FE"/>
    <w:rsid w:val="008F18E8"/>
    <w:rsid w:val="008F2D29"/>
    <w:rsid w:val="008F45EC"/>
    <w:rsid w:val="008F5187"/>
    <w:rsid w:val="008F533D"/>
    <w:rsid w:val="008F60D8"/>
    <w:rsid w:val="008F70B0"/>
    <w:rsid w:val="00902727"/>
    <w:rsid w:val="0090312B"/>
    <w:rsid w:val="0090396D"/>
    <w:rsid w:val="00911564"/>
    <w:rsid w:val="00914403"/>
    <w:rsid w:val="0091736D"/>
    <w:rsid w:val="009177D5"/>
    <w:rsid w:val="009219E1"/>
    <w:rsid w:val="009224FE"/>
    <w:rsid w:val="00922C2B"/>
    <w:rsid w:val="00927E78"/>
    <w:rsid w:val="0093037A"/>
    <w:rsid w:val="00930957"/>
    <w:rsid w:val="00933D58"/>
    <w:rsid w:val="009373FC"/>
    <w:rsid w:val="0094154D"/>
    <w:rsid w:val="00941ADA"/>
    <w:rsid w:val="00943D63"/>
    <w:rsid w:val="0095155F"/>
    <w:rsid w:val="00951A11"/>
    <w:rsid w:val="00951B96"/>
    <w:rsid w:val="00953C04"/>
    <w:rsid w:val="00954429"/>
    <w:rsid w:val="009563CE"/>
    <w:rsid w:val="009609CE"/>
    <w:rsid w:val="00962C72"/>
    <w:rsid w:val="009630EB"/>
    <w:rsid w:val="00971869"/>
    <w:rsid w:val="00973459"/>
    <w:rsid w:val="00976328"/>
    <w:rsid w:val="0097680D"/>
    <w:rsid w:val="00977596"/>
    <w:rsid w:val="00982438"/>
    <w:rsid w:val="00983DF8"/>
    <w:rsid w:val="0098404C"/>
    <w:rsid w:val="00984D56"/>
    <w:rsid w:val="00985283"/>
    <w:rsid w:val="00986BC6"/>
    <w:rsid w:val="00987C16"/>
    <w:rsid w:val="00987DC2"/>
    <w:rsid w:val="00995992"/>
    <w:rsid w:val="00997D72"/>
    <w:rsid w:val="009A03E5"/>
    <w:rsid w:val="009A0F3B"/>
    <w:rsid w:val="009A177D"/>
    <w:rsid w:val="009A1AB7"/>
    <w:rsid w:val="009A1BB4"/>
    <w:rsid w:val="009A2628"/>
    <w:rsid w:val="009A3200"/>
    <w:rsid w:val="009A4171"/>
    <w:rsid w:val="009A4E48"/>
    <w:rsid w:val="009A53F6"/>
    <w:rsid w:val="009B0897"/>
    <w:rsid w:val="009B23A3"/>
    <w:rsid w:val="009B71FA"/>
    <w:rsid w:val="009B7402"/>
    <w:rsid w:val="009B7BD9"/>
    <w:rsid w:val="009C053F"/>
    <w:rsid w:val="009C1C3E"/>
    <w:rsid w:val="009C6148"/>
    <w:rsid w:val="009C69D4"/>
    <w:rsid w:val="009C7DD5"/>
    <w:rsid w:val="009C7EBD"/>
    <w:rsid w:val="009D11DF"/>
    <w:rsid w:val="009D3F94"/>
    <w:rsid w:val="009D4465"/>
    <w:rsid w:val="009E1631"/>
    <w:rsid w:val="009E227D"/>
    <w:rsid w:val="009E4F0E"/>
    <w:rsid w:val="009E5019"/>
    <w:rsid w:val="009E69E4"/>
    <w:rsid w:val="009F1D54"/>
    <w:rsid w:val="009F2F0C"/>
    <w:rsid w:val="009F378A"/>
    <w:rsid w:val="00A03631"/>
    <w:rsid w:val="00A04035"/>
    <w:rsid w:val="00A04646"/>
    <w:rsid w:val="00A04F1B"/>
    <w:rsid w:val="00A0501B"/>
    <w:rsid w:val="00A050E2"/>
    <w:rsid w:val="00A07432"/>
    <w:rsid w:val="00A14092"/>
    <w:rsid w:val="00A14947"/>
    <w:rsid w:val="00A22F1E"/>
    <w:rsid w:val="00A2615C"/>
    <w:rsid w:val="00A31832"/>
    <w:rsid w:val="00A32A83"/>
    <w:rsid w:val="00A32F3D"/>
    <w:rsid w:val="00A33AE0"/>
    <w:rsid w:val="00A34F47"/>
    <w:rsid w:val="00A368DB"/>
    <w:rsid w:val="00A379B0"/>
    <w:rsid w:val="00A404B3"/>
    <w:rsid w:val="00A423AA"/>
    <w:rsid w:val="00A426E2"/>
    <w:rsid w:val="00A42D64"/>
    <w:rsid w:val="00A443B8"/>
    <w:rsid w:val="00A4476E"/>
    <w:rsid w:val="00A47998"/>
    <w:rsid w:val="00A51276"/>
    <w:rsid w:val="00A528C0"/>
    <w:rsid w:val="00A53EC6"/>
    <w:rsid w:val="00A55C0F"/>
    <w:rsid w:val="00A577DD"/>
    <w:rsid w:val="00A62D4F"/>
    <w:rsid w:val="00A63EF7"/>
    <w:rsid w:val="00A66E09"/>
    <w:rsid w:val="00A71A42"/>
    <w:rsid w:val="00A71C4D"/>
    <w:rsid w:val="00A73634"/>
    <w:rsid w:val="00A76CED"/>
    <w:rsid w:val="00A774B8"/>
    <w:rsid w:val="00A84E2F"/>
    <w:rsid w:val="00A8713F"/>
    <w:rsid w:val="00A90BA1"/>
    <w:rsid w:val="00A92C88"/>
    <w:rsid w:val="00A9471C"/>
    <w:rsid w:val="00A95FC3"/>
    <w:rsid w:val="00A97638"/>
    <w:rsid w:val="00A97A9A"/>
    <w:rsid w:val="00AA0671"/>
    <w:rsid w:val="00AA2531"/>
    <w:rsid w:val="00AA32E3"/>
    <w:rsid w:val="00AB1E09"/>
    <w:rsid w:val="00AB26B0"/>
    <w:rsid w:val="00AB3701"/>
    <w:rsid w:val="00AB4A76"/>
    <w:rsid w:val="00AB5330"/>
    <w:rsid w:val="00AB7747"/>
    <w:rsid w:val="00AC14CE"/>
    <w:rsid w:val="00AC16DE"/>
    <w:rsid w:val="00AC2A56"/>
    <w:rsid w:val="00AC3FEE"/>
    <w:rsid w:val="00AC58E9"/>
    <w:rsid w:val="00AC5E5B"/>
    <w:rsid w:val="00AC7064"/>
    <w:rsid w:val="00AC7B5B"/>
    <w:rsid w:val="00AD00CF"/>
    <w:rsid w:val="00AD055E"/>
    <w:rsid w:val="00AD266E"/>
    <w:rsid w:val="00AD2C3B"/>
    <w:rsid w:val="00AD47A7"/>
    <w:rsid w:val="00AD4FC3"/>
    <w:rsid w:val="00AD50C1"/>
    <w:rsid w:val="00AD61CF"/>
    <w:rsid w:val="00AE51EE"/>
    <w:rsid w:val="00AE546B"/>
    <w:rsid w:val="00AE60ED"/>
    <w:rsid w:val="00AF0CBF"/>
    <w:rsid w:val="00AF257F"/>
    <w:rsid w:val="00AF294E"/>
    <w:rsid w:val="00AF33CF"/>
    <w:rsid w:val="00AF355E"/>
    <w:rsid w:val="00AF3F7A"/>
    <w:rsid w:val="00AF4D50"/>
    <w:rsid w:val="00AF6179"/>
    <w:rsid w:val="00B1295A"/>
    <w:rsid w:val="00B13EC5"/>
    <w:rsid w:val="00B17B41"/>
    <w:rsid w:val="00B20A45"/>
    <w:rsid w:val="00B22C5C"/>
    <w:rsid w:val="00B24F30"/>
    <w:rsid w:val="00B26B89"/>
    <w:rsid w:val="00B30F97"/>
    <w:rsid w:val="00B317C1"/>
    <w:rsid w:val="00B31ABF"/>
    <w:rsid w:val="00B32D9D"/>
    <w:rsid w:val="00B33BE3"/>
    <w:rsid w:val="00B41DAA"/>
    <w:rsid w:val="00B47371"/>
    <w:rsid w:val="00B51CB9"/>
    <w:rsid w:val="00B52996"/>
    <w:rsid w:val="00B53B5D"/>
    <w:rsid w:val="00B56197"/>
    <w:rsid w:val="00B576C5"/>
    <w:rsid w:val="00B57747"/>
    <w:rsid w:val="00B6055E"/>
    <w:rsid w:val="00B62B0C"/>
    <w:rsid w:val="00B6317D"/>
    <w:rsid w:val="00B63D65"/>
    <w:rsid w:val="00B64E6C"/>
    <w:rsid w:val="00B65C62"/>
    <w:rsid w:val="00B65D87"/>
    <w:rsid w:val="00B7278B"/>
    <w:rsid w:val="00B74539"/>
    <w:rsid w:val="00B75956"/>
    <w:rsid w:val="00B7723F"/>
    <w:rsid w:val="00B80534"/>
    <w:rsid w:val="00B820ED"/>
    <w:rsid w:val="00B82EBE"/>
    <w:rsid w:val="00B8433C"/>
    <w:rsid w:val="00B867D4"/>
    <w:rsid w:val="00B87491"/>
    <w:rsid w:val="00B90183"/>
    <w:rsid w:val="00B9151C"/>
    <w:rsid w:val="00B9197E"/>
    <w:rsid w:val="00BA0B70"/>
    <w:rsid w:val="00BA29E9"/>
    <w:rsid w:val="00BA4300"/>
    <w:rsid w:val="00BA7142"/>
    <w:rsid w:val="00BB237C"/>
    <w:rsid w:val="00BB3001"/>
    <w:rsid w:val="00BB3A4C"/>
    <w:rsid w:val="00BB3FEE"/>
    <w:rsid w:val="00BB4096"/>
    <w:rsid w:val="00BB41A3"/>
    <w:rsid w:val="00BB49E5"/>
    <w:rsid w:val="00BB5B1E"/>
    <w:rsid w:val="00BB76D7"/>
    <w:rsid w:val="00BC32DC"/>
    <w:rsid w:val="00BC35B6"/>
    <w:rsid w:val="00BC36E9"/>
    <w:rsid w:val="00BD1056"/>
    <w:rsid w:val="00BD1B51"/>
    <w:rsid w:val="00BD4596"/>
    <w:rsid w:val="00BD6506"/>
    <w:rsid w:val="00BE1405"/>
    <w:rsid w:val="00BE1CA7"/>
    <w:rsid w:val="00BE312D"/>
    <w:rsid w:val="00BF1B37"/>
    <w:rsid w:val="00BF1C20"/>
    <w:rsid w:val="00BF1F6E"/>
    <w:rsid w:val="00BF3B74"/>
    <w:rsid w:val="00BF4D4B"/>
    <w:rsid w:val="00BF52BD"/>
    <w:rsid w:val="00BF644B"/>
    <w:rsid w:val="00C00925"/>
    <w:rsid w:val="00C10578"/>
    <w:rsid w:val="00C11756"/>
    <w:rsid w:val="00C135BC"/>
    <w:rsid w:val="00C1459F"/>
    <w:rsid w:val="00C15506"/>
    <w:rsid w:val="00C15C95"/>
    <w:rsid w:val="00C22658"/>
    <w:rsid w:val="00C23094"/>
    <w:rsid w:val="00C23298"/>
    <w:rsid w:val="00C2596A"/>
    <w:rsid w:val="00C27537"/>
    <w:rsid w:val="00C328FE"/>
    <w:rsid w:val="00C32D3B"/>
    <w:rsid w:val="00C33507"/>
    <w:rsid w:val="00C3744A"/>
    <w:rsid w:val="00C4388B"/>
    <w:rsid w:val="00C4409D"/>
    <w:rsid w:val="00C44E72"/>
    <w:rsid w:val="00C45A06"/>
    <w:rsid w:val="00C472CE"/>
    <w:rsid w:val="00C47E5B"/>
    <w:rsid w:val="00C51943"/>
    <w:rsid w:val="00C53EB5"/>
    <w:rsid w:val="00C61E4B"/>
    <w:rsid w:val="00C64BFF"/>
    <w:rsid w:val="00C652CF"/>
    <w:rsid w:val="00C70269"/>
    <w:rsid w:val="00C704E9"/>
    <w:rsid w:val="00C72D75"/>
    <w:rsid w:val="00C748A1"/>
    <w:rsid w:val="00C763C9"/>
    <w:rsid w:val="00C80057"/>
    <w:rsid w:val="00C82232"/>
    <w:rsid w:val="00C82913"/>
    <w:rsid w:val="00C8427B"/>
    <w:rsid w:val="00C85CBE"/>
    <w:rsid w:val="00C863A6"/>
    <w:rsid w:val="00C9087C"/>
    <w:rsid w:val="00C93366"/>
    <w:rsid w:val="00C93492"/>
    <w:rsid w:val="00C972B1"/>
    <w:rsid w:val="00CA2CCE"/>
    <w:rsid w:val="00CA43FD"/>
    <w:rsid w:val="00CA7EF8"/>
    <w:rsid w:val="00CB6717"/>
    <w:rsid w:val="00CB75C4"/>
    <w:rsid w:val="00CC0691"/>
    <w:rsid w:val="00CC489B"/>
    <w:rsid w:val="00CD2BCD"/>
    <w:rsid w:val="00CD392C"/>
    <w:rsid w:val="00CD3A4C"/>
    <w:rsid w:val="00CD5961"/>
    <w:rsid w:val="00CD59BA"/>
    <w:rsid w:val="00CD6CDC"/>
    <w:rsid w:val="00CE10E9"/>
    <w:rsid w:val="00CE2910"/>
    <w:rsid w:val="00CE2C5E"/>
    <w:rsid w:val="00CE5393"/>
    <w:rsid w:val="00CE6045"/>
    <w:rsid w:val="00CF04E3"/>
    <w:rsid w:val="00CF36BE"/>
    <w:rsid w:val="00CF6000"/>
    <w:rsid w:val="00D003F3"/>
    <w:rsid w:val="00D01D73"/>
    <w:rsid w:val="00D03211"/>
    <w:rsid w:val="00D0324B"/>
    <w:rsid w:val="00D0364F"/>
    <w:rsid w:val="00D05B18"/>
    <w:rsid w:val="00D06834"/>
    <w:rsid w:val="00D06990"/>
    <w:rsid w:val="00D10862"/>
    <w:rsid w:val="00D10DA6"/>
    <w:rsid w:val="00D11119"/>
    <w:rsid w:val="00D20659"/>
    <w:rsid w:val="00D2086E"/>
    <w:rsid w:val="00D221DA"/>
    <w:rsid w:val="00D24005"/>
    <w:rsid w:val="00D25D31"/>
    <w:rsid w:val="00D308ED"/>
    <w:rsid w:val="00D358A6"/>
    <w:rsid w:val="00D36D86"/>
    <w:rsid w:val="00D41525"/>
    <w:rsid w:val="00D428AA"/>
    <w:rsid w:val="00D43E6A"/>
    <w:rsid w:val="00D50A34"/>
    <w:rsid w:val="00D52560"/>
    <w:rsid w:val="00D53EFA"/>
    <w:rsid w:val="00D54ABB"/>
    <w:rsid w:val="00D552C0"/>
    <w:rsid w:val="00D55C09"/>
    <w:rsid w:val="00D56CFD"/>
    <w:rsid w:val="00D571A8"/>
    <w:rsid w:val="00D60457"/>
    <w:rsid w:val="00D618D7"/>
    <w:rsid w:val="00D661FC"/>
    <w:rsid w:val="00D731AC"/>
    <w:rsid w:val="00D745A2"/>
    <w:rsid w:val="00D74EA1"/>
    <w:rsid w:val="00D76282"/>
    <w:rsid w:val="00D82827"/>
    <w:rsid w:val="00D94078"/>
    <w:rsid w:val="00D94A7C"/>
    <w:rsid w:val="00D95896"/>
    <w:rsid w:val="00DA02C3"/>
    <w:rsid w:val="00DA2AFA"/>
    <w:rsid w:val="00DA5A73"/>
    <w:rsid w:val="00DA6246"/>
    <w:rsid w:val="00DA6766"/>
    <w:rsid w:val="00DA6A25"/>
    <w:rsid w:val="00DA7E16"/>
    <w:rsid w:val="00DB2983"/>
    <w:rsid w:val="00DB5A34"/>
    <w:rsid w:val="00DC1257"/>
    <w:rsid w:val="00DC39C9"/>
    <w:rsid w:val="00DC3DC0"/>
    <w:rsid w:val="00DC4CC5"/>
    <w:rsid w:val="00DC5B2B"/>
    <w:rsid w:val="00DC60C8"/>
    <w:rsid w:val="00DD2128"/>
    <w:rsid w:val="00DD2591"/>
    <w:rsid w:val="00DD318D"/>
    <w:rsid w:val="00DD5AB3"/>
    <w:rsid w:val="00DD78D3"/>
    <w:rsid w:val="00DE25D4"/>
    <w:rsid w:val="00DE3995"/>
    <w:rsid w:val="00DE5BAC"/>
    <w:rsid w:val="00DE6501"/>
    <w:rsid w:val="00DF0E4B"/>
    <w:rsid w:val="00DF2E12"/>
    <w:rsid w:val="00DF514A"/>
    <w:rsid w:val="00DF52FC"/>
    <w:rsid w:val="00DF6690"/>
    <w:rsid w:val="00DF6804"/>
    <w:rsid w:val="00E00506"/>
    <w:rsid w:val="00E0269B"/>
    <w:rsid w:val="00E02C9A"/>
    <w:rsid w:val="00E0358D"/>
    <w:rsid w:val="00E0386A"/>
    <w:rsid w:val="00E04323"/>
    <w:rsid w:val="00E062F7"/>
    <w:rsid w:val="00E070A2"/>
    <w:rsid w:val="00E072E9"/>
    <w:rsid w:val="00E11A87"/>
    <w:rsid w:val="00E126E2"/>
    <w:rsid w:val="00E14CB2"/>
    <w:rsid w:val="00E16D2C"/>
    <w:rsid w:val="00E20543"/>
    <w:rsid w:val="00E22097"/>
    <w:rsid w:val="00E249E8"/>
    <w:rsid w:val="00E2656A"/>
    <w:rsid w:val="00E307DE"/>
    <w:rsid w:val="00E33044"/>
    <w:rsid w:val="00E33ED5"/>
    <w:rsid w:val="00E412D0"/>
    <w:rsid w:val="00E416E4"/>
    <w:rsid w:val="00E42A20"/>
    <w:rsid w:val="00E42CDE"/>
    <w:rsid w:val="00E44A59"/>
    <w:rsid w:val="00E45872"/>
    <w:rsid w:val="00E45A28"/>
    <w:rsid w:val="00E5572A"/>
    <w:rsid w:val="00E5613F"/>
    <w:rsid w:val="00E56322"/>
    <w:rsid w:val="00E60982"/>
    <w:rsid w:val="00E61819"/>
    <w:rsid w:val="00E6284A"/>
    <w:rsid w:val="00E62C62"/>
    <w:rsid w:val="00E654C1"/>
    <w:rsid w:val="00E65D97"/>
    <w:rsid w:val="00E67938"/>
    <w:rsid w:val="00E67E43"/>
    <w:rsid w:val="00E72A5A"/>
    <w:rsid w:val="00E73354"/>
    <w:rsid w:val="00E76690"/>
    <w:rsid w:val="00E80B05"/>
    <w:rsid w:val="00E875C0"/>
    <w:rsid w:val="00E9242D"/>
    <w:rsid w:val="00E92586"/>
    <w:rsid w:val="00E92F39"/>
    <w:rsid w:val="00E97534"/>
    <w:rsid w:val="00E97606"/>
    <w:rsid w:val="00E97C74"/>
    <w:rsid w:val="00EA00EE"/>
    <w:rsid w:val="00EA0CAA"/>
    <w:rsid w:val="00EA20BE"/>
    <w:rsid w:val="00EA6EA6"/>
    <w:rsid w:val="00EA6FE8"/>
    <w:rsid w:val="00EB0844"/>
    <w:rsid w:val="00EB0A11"/>
    <w:rsid w:val="00EB121C"/>
    <w:rsid w:val="00EB160B"/>
    <w:rsid w:val="00EB2277"/>
    <w:rsid w:val="00EB23D9"/>
    <w:rsid w:val="00EB5255"/>
    <w:rsid w:val="00EB5C47"/>
    <w:rsid w:val="00EB7640"/>
    <w:rsid w:val="00EC0556"/>
    <w:rsid w:val="00EC3516"/>
    <w:rsid w:val="00EC5904"/>
    <w:rsid w:val="00EC5C36"/>
    <w:rsid w:val="00ED0639"/>
    <w:rsid w:val="00ED17E9"/>
    <w:rsid w:val="00ED6C5B"/>
    <w:rsid w:val="00ED6CFD"/>
    <w:rsid w:val="00EE37D9"/>
    <w:rsid w:val="00EE7417"/>
    <w:rsid w:val="00EF4755"/>
    <w:rsid w:val="00EF7135"/>
    <w:rsid w:val="00F0021D"/>
    <w:rsid w:val="00F027DB"/>
    <w:rsid w:val="00F03C99"/>
    <w:rsid w:val="00F1099D"/>
    <w:rsid w:val="00F14A7A"/>
    <w:rsid w:val="00F17ED1"/>
    <w:rsid w:val="00F22985"/>
    <w:rsid w:val="00F25DCB"/>
    <w:rsid w:val="00F2638B"/>
    <w:rsid w:val="00F27AF9"/>
    <w:rsid w:val="00F3030A"/>
    <w:rsid w:val="00F3383E"/>
    <w:rsid w:val="00F36E79"/>
    <w:rsid w:val="00F40108"/>
    <w:rsid w:val="00F41845"/>
    <w:rsid w:val="00F431B9"/>
    <w:rsid w:val="00F43F2D"/>
    <w:rsid w:val="00F45F20"/>
    <w:rsid w:val="00F465A7"/>
    <w:rsid w:val="00F46F3D"/>
    <w:rsid w:val="00F50B7C"/>
    <w:rsid w:val="00F550E6"/>
    <w:rsid w:val="00F6172A"/>
    <w:rsid w:val="00F62987"/>
    <w:rsid w:val="00F63E03"/>
    <w:rsid w:val="00F646D3"/>
    <w:rsid w:val="00F64AEA"/>
    <w:rsid w:val="00F65BA1"/>
    <w:rsid w:val="00F74345"/>
    <w:rsid w:val="00F77674"/>
    <w:rsid w:val="00F80A0A"/>
    <w:rsid w:val="00F80F8C"/>
    <w:rsid w:val="00F82B19"/>
    <w:rsid w:val="00F83673"/>
    <w:rsid w:val="00F912CE"/>
    <w:rsid w:val="00F9212D"/>
    <w:rsid w:val="00F93A98"/>
    <w:rsid w:val="00F965DA"/>
    <w:rsid w:val="00F97A65"/>
    <w:rsid w:val="00FA406A"/>
    <w:rsid w:val="00FA5849"/>
    <w:rsid w:val="00FA6727"/>
    <w:rsid w:val="00FA6C82"/>
    <w:rsid w:val="00FB2829"/>
    <w:rsid w:val="00FB503A"/>
    <w:rsid w:val="00FB516C"/>
    <w:rsid w:val="00FB5937"/>
    <w:rsid w:val="00FB7D41"/>
    <w:rsid w:val="00FC07E9"/>
    <w:rsid w:val="00FC223D"/>
    <w:rsid w:val="00FC3720"/>
    <w:rsid w:val="00FC3A18"/>
    <w:rsid w:val="00FD0236"/>
    <w:rsid w:val="00FD0857"/>
    <w:rsid w:val="00FD18F4"/>
    <w:rsid w:val="00FD1C94"/>
    <w:rsid w:val="00FD46B7"/>
    <w:rsid w:val="00FD54DB"/>
    <w:rsid w:val="00FD619F"/>
    <w:rsid w:val="00FD64C2"/>
    <w:rsid w:val="00FD757C"/>
    <w:rsid w:val="00FD7CAA"/>
    <w:rsid w:val="00FE1D85"/>
    <w:rsid w:val="00FE364E"/>
    <w:rsid w:val="00FE4DB9"/>
    <w:rsid w:val="00FF3194"/>
    <w:rsid w:val="00FF3ACB"/>
    <w:rsid w:val="01086C64"/>
    <w:rsid w:val="0108730E"/>
    <w:rsid w:val="010A3FFC"/>
    <w:rsid w:val="010B2713"/>
    <w:rsid w:val="010C766B"/>
    <w:rsid w:val="01115E6A"/>
    <w:rsid w:val="01177351"/>
    <w:rsid w:val="011C24F2"/>
    <w:rsid w:val="011C626C"/>
    <w:rsid w:val="011F632D"/>
    <w:rsid w:val="01243A71"/>
    <w:rsid w:val="01260E98"/>
    <w:rsid w:val="01262E4B"/>
    <w:rsid w:val="012705BD"/>
    <w:rsid w:val="01290F7E"/>
    <w:rsid w:val="013048A9"/>
    <w:rsid w:val="01317F69"/>
    <w:rsid w:val="01323CE1"/>
    <w:rsid w:val="013730A5"/>
    <w:rsid w:val="01382DB4"/>
    <w:rsid w:val="01386219"/>
    <w:rsid w:val="013F2A47"/>
    <w:rsid w:val="01437C9C"/>
    <w:rsid w:val="014B5A68"/>
    <w:rsid w:val="01510F6A"/>
    <w:rsid w:val="01536B3C"/>
    <w:rsid w:val="015564A2"/>
    <w:rsid w:val="015D1E09"/>
    <w:rsid w:val="01601310"/>
    <w:rsid w:val="01620FE6"/>
    <w:rsid w:val="01635C49"/>
    <w:rsid w:val="01655408"/>
    <w:rsid w:val="01657DDA"/>
    <w:rsid w:val="016814B1"/>
    <w:rsid w:val="01687B38"/>
    <w:rsid w:val="0169685A"/>
    <w:rsid w:val="016C0868"/>
    <w:rsid w:val="016D2673"/>
    <w:rsid w:val="017302DA"/>
    <w:rsid w:val="017716F4"/>
    <w:rsid w:val="017B7436"/>
    <w:rsid w:val="018362EB"/>
    <w:rsid w:val="018408E0"/>
    <w:rsid w:val="01871DD5"/>
    <w:rsid w:val="01875299"/>
    <w:rsid w:val="018B32BC"/>
    <w:rsid w:val="018B395F"/>
    <w:rsid w:val="018B7BC6"/>
    <w:rsid w:val="018C2E3C"/>
    <w:rsid w:val="018E08CA"/>
    <w:rsid w:val="01945FAA"/>
    <w:rsid w:val="019E60E6"/>
    <w:rsid w:val="01A1142A"/>
    <w:rsid w:val="01A30E5C"/>
    <w:rsid w:val="01AC1260"/>
    <w:rsid w:val="01AC5900"/>
    <w:rsid w:val="01AE6B5F"/>
    <w:rsid w:val="01AF349F"/>
    <w:rsid w:val="01B24B10"/>
    <w:rsid w:val="01B61672"/>
    <w:rsid w:val="01B701A0"/>
    <w:rsid w:val="01BC6842"/>
    <w:rsid w:val="01BF3AD1"/>
    <w:rsid w:val="01C40EF3"/>
    <w:rsid w:val="01C66496"/>
    <w:rsid w:val="01CD3D30"/>
    <w:rsid w:val="01D01DA1"/>
    <w:rsid w:val="01D30B9A"/>
    <w:rsid w:val="01D34B7C"/>
    <w:rsid w:val="01D408F4"/>
    <w:rsid w:val="01D46B46"/>
    <w:rsid w:val="01D542D8"/>
    <w:rsid w:val="01D56E85"/>
    <w:rsid w:val="01D95D26"/>
    <w:rsid w:val="01DA4B78"/>
    <w:rsid w:val="01DC4593"/>
    <w:rsid w:val="01DD59FB"/>
    <w:rsid w:val="01DE4D61"/>
    <w:rsid w:val="01E234B2"/>
    <w:rsid w:val="01EA4C41"/>
    <w:rsid w:val="01EC14A5"/>
    <w:rsid w:val="01EC5ACA"/>
    <w:rsid w:val="01F23421"/>
    <w:rsid w:val="01F5478F"/>
    <w:rsid w:val="01F80550"/>
    <w:rsid w:val="01FB79D6"/>
    <w:rsid w:val="02076F1C"/>
    <w:rsid w:val="020A1642"/>
    <w:rsid w:val="020A4791"/>
    <w:rsid w:val="021041A2"/>
    <w:rsid w:val="02163CDD"/>
    <w:rsid w:val="021A764F"/>
    <w:rsid w:val="021C4D63"/>
    <w:rsid w:val="02226FAC"/>
    <w:rsid w:val="02247ACE"/>
    <w:rsid w:val="02274EC8"/>
    <w:rsid w:val="022D20EE"/>
    <w:rsid w:val="022E44A8"/>
    <w:rsid w:val="02301263"/>
    <w:rsid w:val="02331ABF"/>
    <w:rsid w:val="023A0DE1"/>
    <w:rsid w:val="023C5732"/>
    <w:rsid w:val="02401F0D"/>
    <w:rsid w:val="02403336"/>
    <w:rsid w:val="024952AA"/>
    <w:rsid w:val="025344B2"/>
    <w:rsid w:val="02550E89"/>
    <w:rsid w:val="025A2CBA"/>
    <w:rsid w:val="025A31FC"/>
    <w:rsid w:val="0266424F"/>
    <w:rsid w:val="02697903"/>
    <w:rsid w:val="026B46C2"/>
    <w:rsid w:val="026C2FE5"/>
    <w:rsid w:val="026C4BEB"/>
    <w:rsid w:val="026C4FD1"/>
    <w:rsid w:val="026C5261"/>
    <w:rsid w:val="02746BAB"/>
    <w:rsid w:val="02751419"/>
    <w:rsid w:val="02756840"/>
    <w:rsid w:val="027A3D0E"/>
    <w:rsid w:val="027C0D50"/>
    <w:rsid w:val="028249DF"/>
    <w:rsid w:val="028311F3"/>
    <w:rsid w:val="02847D1E"/>
    <w:rsid w:val="0286278F"/>
    <w:rsid w:val="028B36A9"/>
    <w:rsid w:val="028D4AE0"/>
    <w:rsid w:val="029137FA"/>
    <w:rsid w:val="02922A4D"/>
    <w:rsid w:val="02945915"/>
    <w:rsid w:val="029702A0"/>
    <w:rsid w:val="029A0DBD"/>
    <w:rsid w:val="029F1795"/>
    <w:rsid w:val="029F7154"/>
    <w:rsid w:val="02A36837"/>
    <w:rsid w:val="02A77361"/>
    <w:rsid w:val="02A966C0"/>
    <w:rsid w:val="02B74C54"/>
    <w:rsid w:val="02BE1CC4"/>
    <w:rsid w:val="02C0622E"/>
    <w:rsid w:val="02C4366C"/>
    <w:rsid w:val="02CE2947"/>
    <w:rsid w:val="02D3519D"/>
    <w:rsid w:val="02DD41B1"/>
    <w:rsid w:val="02E2080F"/>
    <w:rsid w:val="02E35293"/>
    <w:rsid w:val="02E60D27"/>
    <w:rsid w:val="02E66FBD"/>
    <w:rsid w:val="02E82CA3"/>
    <w:rsid w:val="02F84024"/>
    <w:rsid w:val="02F9244A"/>
    <w:rsid w:val="02F96569"/>
    <w:rsid w:val="02FE01DE"/>
    <w:rsid w:val="02FE031F"/>
    <w:rsid w:val="030168AF"/>
    <w:rsid w:val="03057A71"/>
    <w:rsid w:val="03064441"/>
    <w:rsid w:val="0306581E"/>
    <w:rsid w:val="03086B0A"/>
    <w:rsid w:val="030B5ADD"/>
    <w:rsid w:val="030E7F89"/>
    <w:rsid w:val="030F42DA"/>
    <w:rsid w:val="03106FF0"/>
    <w:rsid w:val="031238C9"/>
    <w:rsid w:val="03137E1C"/>
    <w:rsid w:val="031719F7"/>
    <w:rsid w:val="031A034C"/>
    <w:rsid w:val="031E278B"/>
    <w:rsid w:val="03231B33"/>
    <w:rsid w:val="032338E1"/>
    <w:rsid w:val="032558AB"/>
    <w:rsid w:val="03255B77"/>
    <w:rsid w:val="032C20A9"/>
    <w:rsid w:val="032E429B"/>
    <w:rsid w:val="03327FC8"/>
    <w:rsid w:val="03365C9D"/>
    <w:rsid w:val="03390AF5"/>
    <w:rsid w:val="033B343B"/>
    <w:rsid w:val="033E37B2"/>
    <w:rsid w:val="033F40DF"/>
    <w:rsid w:val="03441E07"/>
    <w:rsid w:val="034449B2"/>
    <w:rsid w:val="034E4F3D"/>
    <w:rsid w:val="03586D44"/>
    <w:rsid w:val="035B3BE2"/>
    <w:rsid w:val="036068E4"/>
    <w:rsid w:val="03635A8E"/>
    <w:rsid w:val="0368698B"/>
    <w:rsid w:val="036A1510"/>
    <w:rsid w:val="036E6998"/>
    <w:rsid w:val="036F7621"/>
    <w:rsid w:val="0374238F"/>
    <w:rsid w:val="03783C26"/>
    <w:rsid w:val="037D5A34"/>
    <w:rsid w:val="037E5210"/>
    <w:rsid w:val="03862D55"/>
    <w:rsid w:val="03876466"/>
    <w:rsid w:val="03912F41"/>
    <w:rsid w:val="039716D7"/>
    <w:rsid w:val="039916E5"/>
    <w:rsid w:val="03A61927"/>
    <w:rsid w:val="03A8554E"/>
    <w:rsid w:val="03B41E8C"/>
    <w:rsid w:val="03B41FD6"/>
    <w:rsid w:val="03B66431"/>
    <w:rsid w:val="03B82DCE"/>
    <w:rsid w:val="03B94CE8"/>
    <w:rsid w:val="03C00B90"/>
    <w:rsid w:val="03CB5670"/>
    <w:rsid w:val="03CD10A9"/>
    <w:rsid w:val="03D0103E"/>
    <w:rsid w:val="03D35307"/>
    <w:rsid w:val="03D513D3"/>
    <w:rsid w:val="03D54200"/>
    <w:rsid w:val="03D62E89"/>
    <w:rsid w:val="03D64D80"/>
    <w:rsid w:val="03D76459"/>
    <w:rsid w:val="03DA4021"/>
    <w:rsid w:val="03EA7B21"/>
    <w:rsid w:val="03EB3808"/>
    <w:rsid w:val="03ED3129"/>
    <w:rsid w:val="03EF4C7B"/>
    <w:rsid w:val="03F01866"/>
    <w:rsid w:val="03F2419C"/>
    <w:rsid w:val="03F450E4"/>
    <w:rsid w:val="03F97E5A"/>
    <w:rsid w:val="03FA6D38"/>
    <w:rsid w:val="03FD5B9C"/>
    <w:rsid w:val="03FF064C"/>
    <w:rsid w:val="04025BA8"/>
    <w:rsid w:val="04080BA0"/>
    <w:rsid w:val="040845F1"/>
    <w:rsid w:val="040D00EE"/>
    <w:rsid w:val="040D5424"/>
    <w:rsid w:val="040F39C3"/>
    <w:rsid w:val="041E43FE"/>
    <w:rsid w:val="04212AA6"/>
    <w:rsid w:val="042303B3"/>
    <w:rsid w:val="042473D3"/>
    <w:rsid w:val="042D0E8F"/>
    <w:rsid w:val="04333FF8"/>
    <w:rsid w:val="043400F8"/>
    <w:rsid w:val="0435226B"/>
    <w:rsid w:val="043C2389"/>
    <w:rsid w:val="043F2084"/>
    <w:rsid w:val="04424516"/>
    <w:rsid w:val="04426238"/>
    <w:rsid w:val="0443138D"/>
    <w:rsid w:val="04451C17"/>
    <w:rsid w:val="04463D2B"/>
    <w:rsid w:val="04464B0B"/>
    <w:rsid w:val="04511EA2"/>
    <w:rsid w:val="0453126A"/>
    <w:rsid w:val="04541331"/>
    <w:rsid w:val="04550996"/>
    <w:rsid w:val="045A77D7"/>
    <w:rsid w:val="045C1F77"/>
    <w:rsid w:val="04656E0D"/>
    <w:rsid w:val="04657F2A"/>
    <w:rsid w:val="046A06D4"/>
    <w:rsid w:val="046A2FF2"/>
    <w:rsid w:val="046D5B03"/>
    <w:rsid w:val="04743DAC"/>
    <w:rsid w:val="047918CE"/>
    <w:rsid w:val="047B1719"/>
    <w:rsid w:val="047D5273"/>
    <w:rsid w:val="04881887"/>
    <w:rsid w:val="048A4669"/>
    <w:rsid w:val="048D3B37"/>
    <w:rsid w:val="048F3C18"/>
    <w:rsid w:val="04904FA7"/>
    <w:rsid w:val="04952D01"/>
    <w:rsid w:val="049A7BD3"/>
    <w:rsid w:val="049B394B"/>
    <w:rsid w:val="049D6916"/>
    <w:rsid w:val="049D71A2"/>
    <w:rsid w:val="049E46E3"/>
    <w:rsid w:val="04A44D52"/>
    <w:rsid w:val="04A81FFD"/>
    <w:rsid w:val="04B37C1D"/>
    <w:rsid w:val="04BF7504"/>
    <w:rsid w:val="04C11604"/>
    <w:rsid w:val="04C17750"/>
    <w:rsid w:val="04C47343"/>
    <w:rsid w:val="04C534AD"/>
    <w:rsid w:val="04C56072"/>
    <w:rsid w:val="04C609C8"/>
    <w:rsid w:val="04DC2FEB"/>
    <w:rsid w:val="04DC7F02"/>
    <w:rsid w:val="04E03757"/>
    <w:rsid w:val="04E57408"/>
    <w:rsid w:val="04E946B7"/>
    <w:rsid w:val="04F04DA6"/>
    <w:rsid w:val="04FE15F6"/>
    <w:rsid w:val="05012FAD"/>
    <w:rsid w:val="050242AD"/>
    <w:rsid w:val="05046312"/>
    <w:rsid w:val="05063E96"/>
    <w:rsid w:val="050B617B"/>
    <w:rsid w:val="050B7470"/>
    <w:rsid w:val="051060E7"/>
    <w:rsid w:val="05143E2A"/>
    <w:rsid w:val="05187DB1"/>
    <w:rsid w:val="051948A7"/>
    <w:rsid w:val="051A5F1D"/>
    <w:rsid w:val="052466F8"/>
    <w:rsid w:val="052851DF"/>
    <w:rsid w:val="05316E69"/>
    <w:rsid w:val="053237D5"/>
    <w:rsid w:val="05393118"/>
    <w:rsid w:val="053A3164"/>
    <w:rsid w:val="053E1425"/>
    <w:rsid w:val="054343E0"/>
    <w:rsid w:val="0551108C"/>
    <w:rsid w:val="055165CD"/>
    <w:rsid w:val="05545FD4"/>
    <w:rsid w:val="05571F68"/>
    <w:rsid w:val="05600E1D"/>
    <w:rsid w:val="056204E2"/>
    <w:rsid w:val="05671E1F"/>
    <w:rsid w:val="056945DA"/>
    <w:rsid w:val="05772ADD"/>
    <w:rsid w:val="057B2FE9"/>
    <w:rsid w:val="057E4443"/>
    <w:rsid w:val="0580185D"/>
    <w:rsid w:val="05816FE5"/>
    <w:rsid w:val="058C3479"/>
    <w:rsid w:val="059330CE"/>
    <w:rsid w:val="059451B2"/>
    <w:rsid w:val="05972228"/>
    <w:rsid w:val="05980437"/>
    <w:rsid w:val="05993C99"/>
    <w:rsid w:val="05A50F26"/>
    <w:rsid w:val="05A65FB3"/>
    <w:rsid w:val="05AA2098"/>
    <w:rsid w:val="05B0595D"/>
    <w:rsid w:val="05B72447"/>
    <w:rsid w:val="05BA26BD"/>
    <w:rsid w:val="05BB42A5"/>
    <w:rsid w:val="05BB6053"/>
    <w:rsid w:val="05BC04AD"/>
    <w:rsid w:val="05BC559D"/>
    <w:rsid w:val="05C018BB"/>
    <w:rsid w:val="05C24554"/>
    <w:rsid w:val="05C2670F"/>
    <w:rsid w:val="05C53EAE"/>
    <w:rsid w:val="05C6456E"/>
    <w:rsid w:val="05CA44E8"/>
    <w:rsid w:val="05D87ABF"/>
    <w:rsid w:val="05E55DA7"/>
    <w:rsid w:val="05E727FF"/>
    <w:rsid w:val="05E96655"/>
    <w:rsid w:val="05EC2E44"/>
    <w:rsid w:val="05ED1043"/>
    <w:rsid w:val="05ED5B06"/>
    <w:rsid w:val="05EF5A5C"/>
    <w:rsid w:val="05F122DE"/>
    <w:rsid w:val="05F406E0"/>
    <w:rsid w:val="05F7535E"/>
    <w:rsid w:val="05F8383D"/>
    <w:rsid w:val="05F83EAE"/>
    <w:rsid w:val="05FB1FC0"/>
    <w:rsid w:val="05FD496D"/>
    <w:rsid w:val="05FE7351"/>
    <w:rsid w:val="060328A1"/>
    <w:rsid w:val="06104B91"/>
    <w:rsid w:val="06120FE5"/>
    <w:rsid w:val="061978E9"/>
    <w:rsid w:val="061A0ED3"/>
    <w:rsid w:val="061E074A"/>
    <w:rsid w:val="061E5DDC"/>
    <w:rsid w:val="06235E5F"/>
    <w:rsid w:val="06255E28"/>
    <w:rsid w:val="06274A54"/>
    <w:rsid w:val="06352490"/>
    <w:rsid w:val="06367DD0"/>
    <w:rsid w:val="063B25A5"/>
    <w:rsid w:val="063E7D85"/>
    <w:rsid w:val="06427E81"/>
    <w:rsid w:val="06494EFE"/>
    <w:rsid w:val="0654294E"/>
    <w:rsid w:val="065A523B"/>
    <w:rsid w:val="065B15E4"/>
    <w:rsid w:val="065D710A"/>
    <w:rsid w:val="065E1FF9"/>
    <w:rsid w:val="066345AB"/>
    <w:rsid w:val="0666055F"/>
    <w:rsid w:val="066C3ECD"/>
    <w:rsid w:val="066E44B3"/>
    <w:rsid w:val="0672011C"/>
    <w:rsid w:val="06744775"/>
    <w:rsid w:val="06764370"/>
    <w:rsid w:val="0677688D"/>
    <w:rsid w:val="067D4177"/>
    <w:rsid w:val="067F1A0F"/>
    <w:rsid w:val="06850C2B"/>
    <w:rsid w:val="0691175A"/>
    <w:rsid w:val="06911DF0"/>
    <w:rsid w:val="06943227"/>
    <w:rsid w:val="0694472D"/>
    <w:rsid w:val="069C6B7F"/>
    <w:rsid w:val="06A42F8B"/>
    <w:rsid w:val="06B31140"/>
    <w:rsid w:val="06BE2CF7"/>
    <w:rsid w:val="06C53B62"/>
    <w:rsid w:val="06C716AD"/>
    <w:rsid w:val="06C76C7A"/>
    <w:rsid w:val="06CE0A4F"/>
    <w:rsid w:val="06D41502"/>
    <w:rsid w:val="06D57225"/>
    <w:rsid w:val="06D61C06"/>
    <w:rsid w:val="06D67B90"/>
    <w:rsid w:val="06D97352"/>
    <w:rsid w:val="06DA676D"/>
    <w:rsid w:val="06E14CBE"/>
    <w:rsid w:val="06E25862"/>
    <w:rsid w:val="06E977AB"/>
    <w:rsid w:val="06EB57A1"/>
    <w:rsid w:val="06F21187"/>
    <w:rsid w:val="06F2244E"/>
    <w:rsid w:val="06F61BFD"/>
    <w:rsid w:val="06F66F8D"/>
    <w:rsid w:val="06F90EAA"/>
    <w:rsid w:val="06FB7521"/>
    <w:rsid w:val="07000C7E"/>
    <w:rsid w:val="07006A53"/>
    <w:rsid w:val="07015019"/>
    <w:rsid w:val="07070EA5"/>
    <w:rsid w:val="070A4AE7"/>
    <w:rsid w:val="070B3D76"/>
    <w:rsid w:val="070D50D4"/>
    <w:rsid w:val="070F5C47"/>
    <w:rsid w:val="070F704D"/>
    <w:rsid w:val="07101279"/>
    <w:rsid w:val="0710194F"/>
    <w:rsid w:val="07117EF5"/>
    <w:rsid w:val="0712672A"/>
    <w:rsid w:val="071649A1"/>
    <w:rsid w:val="071D13D8"/>
    <w:rsid w:val="07280338"/>
    <w:rsid w:val="07280B0E"/>
    <w:rsid w:val="07287718"/>
    <w:rsid w:val="07293586"/>
    <w:rsid w:val="07295285"/>
    <w:rsid w:val="073A1B28"/>
    <w:rsid w:val="07404149"/>
    <w:rsid w:val="07405344"/>
    <w:rsid w:val="07410B4C"/>
    <w:rsid w:val="074625B0"/>
    <w:rsid w:val="07493C2F"/>
    <w:rsid w:val="074A1466"/>
    <w:rsid w:val="074C3905"/>
    <w:rsid w:val="074C3AAE"/>
    <w:rsid w:val="075527EB"/>
    <w:rsid w:val="07556F09"/>
    <w:rsid w:val="075B3089"/>
    <w:rsid w:val="075C4724"/>
    <w:rsid w:val="07636392"/>
    <w:rsid w:val="076803F1"/>
    <w:rsid w:val="076A5A92"/>
    <w:rsid w:val="07770C56"/>
    <w:rsid w:val="077A1471"/>
    <w:rsid w:val="07852940"/>
    <w:rsid w:val="07853608"/>
    <w:rsid w:val="078A03D3"/>
    <w:rsid w:val="078A0B58"/>
    <w:rsid w:val="078C4358"/>
    <w:rsid w:val="078C75FB"/>
    <w:rsid w:val="078D0254"/>
    <w:rsid w:val="078D1E9F"/>
    <w:rsid w:val="078F2BFF"/>
    <w:rsid w:val="079101CB"/>
    <w:rsid w:val="07A16802"/>
    <w:rsid w:val="07A20601"/>
    <w:rsid w:val="07A261D7"/>
    <w:rsid w:val="07A41E2C"/>
    <w:rsid w:val="07A44131"/>
    <w:rsid w:val="07A71A9E"/>
    <w:rsid w:val="07A938AA"/>
    <w:rsid w:val="07AB20F7"/>
    <w:rsid w:val="07B24340"/>
    <w:rsid w:val="07B32614"/>
    <w:rsid w:val="07B51B71"/>
    <w:rsid w:val="07B567B5"/>
    <w:rsid w:val="07B62F76"/>
    <w:rsid w:val="07B83B1A"/>
    <w:rsid w:val="07C17B6D"/>
    <w:rsid w:val="07CB11DD"/>
    <w:rsid w:val="07CB5DA5"/>
    <w:rsid w:val="07CD02C0"/>
    <w:rsid w:val="07CD4764"/>
    <w:rsid w:val="07D14E59"/>
    <w:rsid w:val="07D16002"/>
    <w:rsid w:val="07D607FC"/>
    <w:rsid w:val="07D82B14"/>
    <w:rsid w:val="07DA0885"/>
    <w:rsid w:val="07DC193F"/>
    <w:rsid w:val="07DE2AF3"/>
    <w:rsid w:val="07DF44CD"/>
    <w:rsid w:val="07E33A68"/>
    <w:rsid w:val="07E37AE3"/>
    <w:rsid w:val="07EE0861"/>
    <w:rsid w:val="07F10C63"/>
    <w:rsid w:val="07F80D63"/>
    <w:rsid w:val="07FB3873"/>
    <w:rsid w:val="07FC19FB"/>
    <w:rsid w:val="08012F4F"/>
    <w:rsid w:val="0805367D"/>
    <w:rsid w:val="080651D7"/>
    <w:rsid w:val="080B2E16"/>
    <w:rsid w:val="080E2F21"/>
    <w:rsid w:val="080F480F"/>
    <w:rsid w:val="081128A2"/>
    <w:rsid w:val="08136791"/>
    <w:rsid w:val="08144EEC"/>
    <w:rsid w:val="08145258"/>
    <w:rsid w:val="08153DD4"/>
    <w:rsid w:val="08191757"/>
    <w:rsid w:val="081B3E42"/>
    <w:rsid w:val="081C4DA3"/>
    <w:rsid w:val="081D0C13"/>
    <w:rsid w:val="081D0DBA"/>
    <w:rsid w:val="08254F79"/>
    <w:rsid w:val="0828199A"/>
    <w:rsid w:val="082B232C"/>
    <w:rsid w:val="082C3238"/>
    <w:rsid w:val="082D56E4"/>
    <w:rsid w:val="082D70FC"/>
    <w:rsid w:val="082E197B"/>
    <w:rsid w:val="083206B8"/>
    <w:rsid w:val="08326375"/>
    <w:rsid w:val="08373A17"/>
    <w:rsid w:val="0841434E"/>
    <w:rsid w:val="08414E00"/>
    <w:rsid w:val="08423F9A"/>
    <w:rsid w:val="08444A26"/>
    <w:rsid w:val="084477B6"/>
    <w:rsid w:val="08474CC5"/>
    <w:rsid w:val="084809F6"/>
    <w:rsid w:val="0849203C"/>
    <w:rsid w:val="084E281C"/>
    <w:rsid w:val="084F5179"/>
    <w:rsid w:val="0850306F"/>
    <w:rsid w:val="0851377C"/>
    <w:rsid w:val="0854412F"/>
    <w:rsid w:val="085943F7"/>
    <w:rsid w:val="085B3B1D"/>
    <w:rsid w:val="085D4A8A"/>
    <w:rsid w:val="085F7C33"/>
    <w:rsid w:val="08660B06"/>
    <w:rsid w:val="086C7AD9"/>
    <w:rsid w:val="086D33C3"/>
    <w:rsid w:val="086E4115"/>
    <w:rsid w:val="086E635D"/>
    <w:rsid w:val="08707F66"/>
    <w:rsid w:val="08730066"/>
    <w:rsid w:val="087319FC"/>
    <w:rsid w:val="08762705"/>
    <w:rsid w:val="087C2A7C"/>
    <w:rsid w:val="087C3485"/>
    <w:rsid w:val="087E378B"/>
    <w:rsid w:val="08895BF3"/>
    <w:rsid w:val="088A6319"/>
    <w:rsid w:val="088D4DE0"/>
    <w:rsid w:val="088D794E"/>
    <w:rsid w:val="08964B56"/>
    <w:rsid w:val="0898267C"/>
    <w:rsid w:val="089831EC"/>
    <w:rsid w:val="089A029D"/>
    <w:rsid w:val="089C5769"/>
    <w:rsid w:val="08A00266"/>
    <w:rsid w:val="08A153D2"/>
    <w:rsid w:val="08A454C4"/>
    <w:rsid w:val="08AE02E0"/>
    <w:rsid w:val="08B03E69"/>
    <w:rsid w:val="08B464F2"/>
    <w:rsid w:val="08B63ADA"/>
    <w:rsid w:val="08B85E22"/>
    <w:rsid w:val="08BB590D"/>
    <w:rsid w:val="08BD6DE6"/>
    <w:rsid w:val="08BE0404"/>
    <w:rsid w:val="08BF219A"/>
    <w:rsid w:val="08C00DDA"/>
    <w:rsid w:val="08C201C7"/>
    <w:rsid w:val="08C90A87"/>
    <w:rsid w:val="08CB1D92"/>
    <w:rsid w:val="08CB3B46"/>
    <w:rsid w:val="08CD1A71"/>
    <w:rsid w:val="08D23053"/>
    <w:rsid w:val="08D86F1C"/>
    <w:rsid w:val="08DF1D2E"/>
    <w:rsid w:val="08E73603"/>
    <w:rsid w:val="08E91129"/>
    <w:rsid w:val="08EC3869"/>
    <w:rsid w:val="08F10284"/>
    <w:rsid w:val="08F21EFB"/>
    <w:rsid w:val="08F35E85"/>
    <w:rsid w:val="08F86759"/>
    <w:rsid w:val="08FA7E97"/>
    <w:rsid w:val="08FD3F05"/>
    <w:rsid w:val="08FE7BEA"/>
    <w:rsid w:val="08FF7AB1"/>
    <w:rsid w:val="0903427D"/>
    <w:rsid w:val="090539DA"/>
    <w:rsid w:val="09074ECF"/>
    <w:rsid w:val="090B573C"/>
    <w:rsid w:val="091268D2"/>
    <w:rsid w:val="09173EE8"/>
    <w:rsid w:val="09175198"/>
    <w:rsid w:val="091A7700"/>
    <w:rsid w:val="091B59CE"/>
    <w:rsid w:val="092217DD"/>
    <w:rsid w:val="092641F2"/>
    <w:rsid w:val="0929283D"/>
    <w:rsid w:val="092959CA"/>
    <w:rsid w:val="09297FF5"/>
    <w:rsid w:val="09325D4D"/>
    <w:rsid w:val="09330F29"/>
    <w:rsid w:val="093527E7"/>
    <w:rsid w:val="093620BD"/>
    <w:rsid w:val="093A7294"/>
    <w:rsid w:val="093D0E16"/>
    <w:rsid w:val="093F5212"/>
    <w:rsid w:val="09420839"/>
    <w:rsid w:val="09445CEA"/>
    <w:rsid w:val="0949237B"/>
    <w:rsid w:val="095B4BEF"/>
    <w:rsid w:val="096000D6"/>
    <w:rsid w:val="096034B7"/>
    <w:rsid w:val="096335E5"/>
    <w:rsid w:val="0967234F"/>
    <w:rsid w:val="097035F9"/>
    <w:rsid w:val="097338EA"/>
    <w:rsid w:val="09734E97"/>
    <w:rsid w:val="09815E0C"/>
    <w:rsid w:val="09892AB3"/>
    <w:rsid w:val="0989582F"/>
    <w:rsid w:val="098D7D07"/>
    <w:rsid w:val="098E1626"/>
    <w:rsid w:val="09904DF2"/>
    <w:rsid w:val="099A379A"/>
    <w:rsid w:val="099B2A45"/>
    <w:rsid w:val="099D164F"/>
    <w:rsid w:val="09AD448B"/>
    <w:rsid w:val="09B05E5F"/>
    <w:rsid w:val="09B24440"/>
    <w:rsid w:val="09B27272"/>
    <w:rsid w:val="09BC2AB6"/>
    <w:rsid w:val="09BE25B6"/>
    <w:rsid w:val="09BF1E8A"/>
    <w:rsid w:val="09C20D97"/>
    <w:rsid w:val="09C676BC"/>
    <w:rsid w:val="09CB04E3"/>
    <w:rsid w:val="09CB0698"/>
    <w:rsid w:val="09CD2A20"/>
    <w:rsid w:val="09CF47C3"/>
    <w:rsid w:val="09D240A8"/>
    <w:rsid w:val="09D26061"/>
    <w:rsid w:val="09D50F7A"/>
    <w:rsid w:val="09D53289"/>
    <w:rsid w:val="09D9119E"/>
    <w:rsid w:val="09D947CF"/>
    <w:rsid w:val="09E2400F"/>
    <w:rsid w:val="09E518F1"/>
    <w:rsid w:val="09E55D95"/>
    <w:rsid w:val="09E96D66"/>
    <w:rsid w:val="09EA6F07"/>
    <w:rsid w:val="09EE3807"/>
    <w:rsid w:val="09F4422A"/>
    <w:rsid w:val="09F50350"/>
    <w:rsid w:val="09FE6E56"/>
    <w:rsid w:val="0A035993"/>
    <w:rsid w:val="0A067E90"/>
    <w:rsid w:val="0A076B96"/>
    <w:rsid w:val="0A0C7669"/>
    <w:rsid w:val="0A0F56AF"/>
    <w:rsid w:val="0A16675B"/>
    <w:rsid w:val="0A1B11DA"/>
    <w:rsid w:val="0A206257"/>
    <w:rsid w:val="0A263993"/>
    <w:rsid w:val="0A2825E1"/>
    <w:rsid w:val="0A2B7F58"/>
    <w:rsid w:val="0A2C3718"/>
    <w:rsid w:val="0A2C5717"/>
    <w:rsid w:val="0A2D14EA"/>
    <w:rsid w:val="0A2D3AC2"/>
    <w:rsid w:val="0A316F17"/>
    <w:rsid w:val="0A34344D"/>
    <w:rsid w:val="0A392808"/>
    <w:rsid w:val="0A3A766E"/>
    <w:rsid w:val="0A3B7FAB"/>
    <w:rsid w:val="0A3C353A"/>
    <w:rsid w:val="0A3D172D"/>
    <w:rsid w:val="0A3F0B59"/>
    <w:rsid w:val="0A5142C9"/>
    <w:rsid w:val="0A595E3B"/>
    <w:rsid w:val="0A5B2DF1"/>
    <w:rsid w:val="0A5C79E2"/>
    <w:rsid w:val="0A5D0C49"/>
    <w:rsid w:val="0A5D57DC"/>
    <w:rsid w:val="0A6071C9"/>
    <w:rsid w:val="0A637B5A"/>
    <w:rsid w:val="0A641E54"/>
    <w:rsid w:val="0A664080"/>
    <w:rsid w:val="0A682522"/>
    <w:rsid w:val="0A726EFC"/>
    <w:rsid w:val="0A7B72A1"/>
    <w:rsid w:val="0A7D4566"/>
    <w:rsid w:val="0A7F70B2"/>
    <w:rsid w:val="0A8408F8"/>
    <w:rsid w:val="0A854E82"/>
    <w:rsid w:val="0A8E4252"/>
    <w:rsid w:val="0A9805B1"/>
    <w:rsid w:val="0A9A26C8"/>
    <w:rsid w:val="0A9B4E5F"/>
    <w:rsid w:val="0A9D0F95"/>
    <w:rsid w:val="0AA3355A"/>
    <w:rsid w:val="0AA413E9"/>
    <w:rsid w:val="0AA755DF"/>
    <w:rsid w:val="0AAE2AE3"/>
    <w:rsid w:val="0AB02A92"/>
    <w:rsid w:val="0AB42F95"/>
    <w:rsid w:val="0AB6004B"/>
    <w:rsid w:val="0AB6328D"/>
    <w:rsid w:val="0AB67B45"/>
    <w:rsid w:val="0ABB389C"/>
    <w:rsid w:val="0ABB3D84"/>
    <w:rsid w:val="0ABE2142"/>
    <w:rsid w:val="0AC00B81"/>
    <w:rsid w:val="0AC736EC"/>
    <w:rsid w:val="0ACB092A"/>
    <w:rsid w:val="0ACD0FB6"/>
    <w:rsid w:val="0AD55EA1"/>
    <w:rsid w:val="0ADF1658"/>
    <w:rsid w:val="0AE27405"/>
    <w:rsid w:val="0AE47055"/>
    <w:rsid w:val="0AE50FCA"/>
    <w:rsid w:val="0AF128F7"/>
    <w:rsid w:val="0AF51D37"/>
    <w:rsid w:val="0AF565A1"/>
    <w:rsid w:val="0AF7585B"/>
    <w:rsid w:val="0AF974C0"/>
    <w:rsid w:val="0AFA046E"/>
    <w:rsid w:val="0B016BFE"/>
    <w:rsid w:val="0B0B182B"/>
    <w:rsid w:val="0B0C2ABC"/>
    <w:rsid w:val="0B0C37A4"/>
    <w:rsid w:val="0B0C62A2"/>
    <w:rsid w:val="0B120D44"/>
    <w:rsid w:val="0B173F7E"/>
    <w:rsid w:val="0B19314C"/>
    <w:rsid w:val="0B1B7594"/>
    <w:rsid w:val="0B1D4919"/>
    <w:rsid w:val="0B24469B"/>
    <w:rsid w:val="0B275F39"/>
    <w:rsid w:val="0B354AFA"/>
    <w:rsid w:val="0B4B1BE9"/>
    <w:rsid w:val="0B524E39"/>
    <w:rsid w:val="0B5929CD"/>
    <w:rsid w:val="0B5B1AAE"/>
    <w:rsid w:val="0B602DC9"/>
    <w:rsid w:val="0B61144B"/>
    <w:rsid w:val="0B612356"/>
    <w:rsid w:val="0B674587"/>
    <w:rsid w:val="0B6C6BAA"/>
    <w:rsid w:val="0B6F575C"/>
    <w:rsid w:val="0B723658"/>
    <w:rsid w:val="0B7A71C5"/>
    <w:rsid w:val="0B7D76AD"/>
    <w:rsid w:val="0B824A13"/>
    <w:rsid w:val="0B8C1448"/>
    <w:rsid w:val="0B8D0DD5"/>
    <w:rsid w:val="0B91566A"/>
    <w:rsid w:val="0B927F38"/>
    <w:rsid w:val="0B953846"/>
    <w:rsid w:val="0B95769A"/>
    <w:rsid w:val="0B992A53"/>
    <w:rsid w:val="0B995A3F"/>
    <w:rsid w:val="0BA02FE4"/>
    <w:rsid w:val="0BA511D6"/>
    <w:rsid w:val="0BA61489"/>
    <w:rsid w:val="0BAB4DBC"/>
    <w:rsid w:val="0BAB6B6A"/>
    <w:rsid w:val="0BAD4001"/>
    <w:rsid w:val="0BAF6D59"/>
    <w:rsid w:val="0BB37333"/>
    <w:rsid w:val="0BB55212"/>
    <w:rsid w:val="0BB663DC"/>
    <w:rsid w:val="0BBB7C93"/>
    <w:rsid w:val="0BBC71F2"/>
    <w:rsid w:val="0BCA2083"/>
    <w:rsid w:val="0BCA581B"/>
    <w:rsid w:val="0BCB0FBA"/>
    <w:rsid w:val="0BCC5B4F"/>
    <w:rsid w:val="0BD27BF6"/>
    <w:rsid w:val="0BD53BE7"/>
    <w:rsid w:val="0BE34556"/>
    <w:rsid w:val="0BE65A20"/>
    <w:rsid w:val="0BE75408"/>
    <w:rsid w:val="0BEB7302"/>
    <w:rsid w:val="0BF263A6"/>
    <w:rsid w:val="0BF92E16"/>
    <w:rsid w:val="0BFF7A09"/>
    <w:rsid w:val="0C0137D8"/>
    <w:rsid w:val="0C040028"/>
    <w:rsid w:val="0C0A51FF"/>
    <w:rsid w:val="0C0F616A"/>
    <w:rsid w:val="0C152235"/>
    <w:rsid w:val="0C192B8C"/>
    <w:rsid w:val="0C260CED"/>
    <w:rsid w:val="0C26105B"/>
    <w:rsid w:val="0C2B3807"/>
    <w:rsid w:val="0C3B3C7D"/>
    <w:rsid w:val="0C3B4EC5"/>
    <w:rsid w:val="0C3C4136"/>
    <w:rsid w:val="0C403F05"/>
    <w:rsid w:val="0C421CC7"/>
    <w:rsid w:val="0C421E03"/>
    <w:rsid w:val="0C4A4FFD"/>
    <w:rsid w:val="0C4F5747"/>
    <w:rsid w:val="0C512E0B"/>
    <w:rsid w:val="0C566AD6"/>
    <w:rsid w:val="0C57284E"/>
    <w:rsid w:val="0C580AA0"/>
    <w:rsid w:val="0C5E4FBA"/>
    <w:rsid w:val="0C5F0516"/>
    <w:rsid w:val="0C601702"/>
    <w:rsid w:val="0C63115C"/>
    <w:rsid w:val="0C721436"/>
    <w:rsid w:val="0C740124"/>
    <w:rsid w:val="0C781B61"/>
    <w:rsid w:val="0C8370D1"/>
    <w:rsid w:val="0C844598"/>
    <w:rsid w:val="0C8A49D1"/>
    <w:rsid w:val="0C913FB2"/>
    <w:rsid w:val="0C9262EA"/>
    <w:rsid w:val="0C9576AD"/>
    <w:rsid w:val="0C996B68"/>
    <w:rsid w:val="0C9C070E"/>
    <w:rsid w:val="0C9D2956"/>
    <w:rsid w:val="0CA02447"/>
    <w:rsid w:val="0CAA3075"/>
    <w:rsid w:val="0CAB2EAE"/>
    <w:rsid w:val="0CAC08F9"/>
    <w:rsid w:val="0CAE1B47"/>
    <w:rsid w:val="0CAF7FFC"/>
    <w:rsid w:val="0CB16C35"/>
    <w:rsid w:val="0CB677F4"/>
    <w:rsid w:val="0CB765AF"/>
    <w:rsid w:val="0CBD2993"/>
    <w:rsid w:val="0CBE7DA9"/>
    <w:rsid w:val="0CC954FA"/>
    <w:rsid w:val="0CCD3612"/>
    <w:rsid w:val="0CCF0636"/>
    <w:rsid w:val="0CD12600"/>
    <w:rsid w:val="0CD166DB"/>
    <w:rsid w:val="0CD345CA"/>
    <w:rsid w:val="0CD67F8F"/>
    <w:rsid w:val="0CDA6166"/>
    <w:rsid w:val="0CE3261E"/>
    <w:rsid w:val="0CEA53B1"/>
    <w:rsid w:val="0CF34325"/>
    <w:rsid w:val="0CF53328"/>
    <w:rsid w:val="0CF5561A"/>
    <w:rsid w:val="0CF73EC1"/>
    <w:rsid w:val="0CFE4530"/>
    <w:rsid w:val="0CFE79E5"/>
    <w:rsid w:val="0D060698"/>
    <w:rsid w:val="0D0E73B0"/>
    <w:rsid w:val="0D100AE1"/>
    <w:rsid w:val="0D13363E"/>
    <w:rsid w:val="0D1349C7"/>
    <w:rsid w:val="0D156854"/>
    <w:rsid w:val="0D1A4E03"/>
    <w:rsid w:val="0D1F15BD"/>
    <w:rsid w:val="0D2332ED"/>
    <w:rsid w:val="0D242A5C"/>
    <w:rsid w:val="0D245EFC"/>
    <w:rsid w:val="0D3369C1"/>
    <w:rsid w:val="0D376BF8"/>
    <w:rsid w:val="0D3B62DC"/>
    <w:rsid w:val="0D4049A6"/>
    <w:rsid w:val="0D417345"/>
    <w:rsid w:val="0D43773C"/>
    <w:rsid w:val="0D4903E8"/>
    <w:rsid w:val="0D4D6E6B"/>
    <w:rsid w:val="0D50757B"/>
    <w:rsid w:val="0D535D79"/>
    <w:rsid w:val="0D5A6F92"/>
    <w:rsid w:val="0D5C5DF1"/>
    <w:rsid w:val="0D5D0932"/>
    <w:rsid w:val="0D621C7D"/>
    <w:rsid w:val="0D641F73"/>
    <w:rsid w:val="0D6549FF"/>
    <w:rsid w:val="0D6B7889"/>
    <w:rsid w:val="0D6C606E"/>
    <w:rsid w:val="0D6E6B91"/>
    <w:rsid w:val="0D746656"/>
    <w:rsid w:val="0D766B6A"/>
    <w:rsid w:val="0D7B0898"/>
    <w:rsid w:val="0D7C3B01"/>
    <w:rsid w:val="0D7F2AD9"/>
    <w:rsid w:val="0D8256A8"/>
    <w:rsid w:val="0D847289"/>
    <w:rsid w:val="0D8605C5"/>
    <w:rsid w:val="0D8B0A01"/>
    <w:rsid w:val="0D8C6A06"/>
    <w:rsid w:val="0D8E04F1"/>
    <w:rsid w:val="0D911FAF"/>
    <w:rsid w:val="0D92163A"/>
    <w:rsid w:val="0D9D24E2"/>
    <w:rsid w:val="0DA25D4B"/>
    <w:rsid w:val="0DAA3634"/>
    <w:rsid w:val="0DAC08FD"/>
    <w:rsid w:val="0DAE2941"/>
    <w:rsid w:val="0DB35D4D"/>
    <w:rsid w:val="0DB52476"/>
    <w:rsid w:val="0DC437DB"/>
    <w:rsid w:val="0DC72D91"/>
    <w:rsid w:val="0DC760A7"/>
    <w:rsid w:val="0DC844B2"/>
    <w:rsid w:val="0DCB6F7B"/>
    <w:rsid w:val="0DCE5703"/>
    <w:rsid w:val="0DD264D9"/>
    <w:rsid w:val="0DDA1DA8"/>
    <w:rsid w:val="0DDB0A7D"/>
    <w:rsid w:val="0DDD715D"/>
    <w:rsid w:val="0DDE5CE3"/>
    <w:rsid w:val="0DE001C5"/>
    <w:rsid w:val="0DE01031"/>
    <w:rsid w:val="0DE23A14"/>
    <w:rsid w:val="0DEF7A0D"/>
    <w:rsid w:val="0DF20C74"/>
    <w:rsid w:val="0DF84815"/>
    <w:rsid w:val="0DF9775D"/>
    <w:rsid w:val="0DFA5B18"/>
    <w:rsid w:val="0E0205FE"/>
    <w:rsid w:val="0E0367E9"/>
    <w:rsid w:val="0E087C5E"/>
    <w:rsid w:val="0E0C1B67"/>
    <w:rsid w:val="0E0C4D87"/>
    <w:rsid w:val="0E0D6E14"/>
    <w:rsid w:val="0E101D66"/>
    <w:rsid w:val="0E131951"/>
    <w:rsid w:val="0E15476E"/>
    <w:rsid w:val="0E1E1875"/>
    <w:rsid w:val="0E2860C2"/>
    <w:rsid w:val="0E29166A"/>
    <w:rsid w:val="0E2D0183"/>
    <w:rsid w:val="0E3027FA"/>
    <w:rsid w:val="0E3177FA"/>
    <w:rsid w:val="0E382E00"/>
    <w:rsid w:val="0E3B58C3"/>
    <w:rsid w:val="0E435120"/>
    <w:rsid w:val="0E460D89"/>
    <w:rsid w:val="0E49160F"/>
    <w:rsid w:val="0E4B0B3F"/>
    <w:rsid w:val="0E4B13B1"/>
    <w:rsid w:val="0E51617F"/>
    <w:rsid w:val="0E590AFF"/>
    <w:rsid w:val="0E5C414B"/>
    <w:rsid w:val="0E6219B5"/>
    <w:rsid w:val="0E655CF1"/>
    <w:rsid w:val="0E686F94"/>
    <w:rsid w:val="0E6E41C5"/>
    <w:rsid w:val="0E6F5805"/>
    <w:rsid w:val="0E705568"/>
    <w:rsid w:val="0E73034D"/>
    <w:rsid w:val="0E736CD5"/>
    <w:rsid w:val="0E792F4F"/>
    <w:rsid w:val="0E7C3EF4"/>
    <w:rsid w:val="0E807824"/>
    <w:rsid w:val="0E8C3CC0"/>
    <w:rsid w:val="0E8E2C22"/>
    <w:rsid w:val="0E8E44BF"/>
    <w:rsid w:val="0E8E5BB1"/>
    <w:rsid w:val="0E936C8D"/>
    <w:rsid w:val="0E997494"/>
    <w:rsid w:val="0E9B21FF"/>
    <w:rsid w:val="0E9C038E"/>
    <w:rsid w:val="0E9C0543"/>
    <w:rsid w:val="0E9D75E1"/>
    <w:rsid w:val="0EA21DA1"/>
    <w:rsid w:val="0EA242B7"/>
    <w:rsid w:val="0EA3291B"/>
    <w:rsid w:val="0EAC6E81"/>
    <w:rsid w:val="0EAD67B7"/>
    <w:rsid w:val="0EAE5132"/>
    <w:rsid w:val="0EB013ED"/>
    <w:rsid w:val="0EB04F32"/>
    <w:rsid w:val="0EB0649D"/>
    <w:rsid w:val="0EC62F65"/>
    <w:rsid w:val="0EC84BF3"/>
    <w:rsid w:val="0ED800D2"/>
    <w:rsid w:val="0ED97A56"/>
    <w:rsid w:val="0EDD3D57"/>
    <w:rsid w:val="0EE54141"/>
    <w:rsid w:val="0EE651DB"/>
    <w:rsid w:val="0EE6635E"/>
    <w:rsid w:val="0EE7610B"/>
    <w:rsid w:val="0EE773C9"/>
    <w:rsid w:val="0EEC7E7F"/>
    <w:rsid w:val="0EEF3211"/>
    <w:rsid w:val="0EF23C57"/>
    <w:rsid w:val="0EF47F56"/>
    <w:rsid w:val="0EF54B6B"/>
    <w:rsid w:val="0EF62538"/>
    <w:rsid w:val="0EFB69D8"/>
    <w:rsid w:val="0EFF16A6"/>
    <w:rsid w:val="0F0324DD"/>
    <w:rsid w:val="0F041AB4"/>
    <w:rsid w:val="0F0D28FD"/>
    <w:rsid w:val="0F13775A"/>
    <w:rsid w:val="0F144A26"/>
    <w:rsid w:val="0F152C78"/>
    <w:rsid w:val="0F2227A9"/>
    <w:rsid w:val="0F24067E"/>
    <w:rsid w:val="0F245CE7"/>
    <w:rsid w:val="0F251C7F"/>
    <w:rsid w:val="0F255B7D"/>
    <w:rsid w:val="0F264E21"/>
    <w:rsid w:val="0F312AB7"/>
    <w:rsid w:val="0F323656"/>
    <w:rsid w:val="0F3639AF"/>
    <w:rsid w:val="0F372D7B"/>
    <w:rsid w:val="0F384BB8"/>
    <w:rsid w:val="0F3D5D2B"/>
    <w:rsid w:val="0F4946D0"/>
    <w:rsid w:val="0F4A0448"/>
    <w:rsid w:val="0F4E2D87"/>
    <w:rsid w:val="0F517A28"/>
    <w:rsid w:val="0F5372FC"/>
    <w:rsid w:val="0F5B4403"/>
    <w:rsid w:val="0F5D2BEE"/>
    <w:rsid w:val="0F5D5D1A"/>
    <w:rsid w:val="0F5F45FE"/>
    <w:rsid w:val="0F657030"/>
    <w:rsid w:val="0F69741B"/>
    <w:rsid w:val="0F6A25EF"/>
    <w:rsid w:val="0F753717"/>
    <w:rsid w:val="0F7556D7"/>
    <w:rsid w:val="0F786C55"/>
    <w:rsid w:val="0F7A65F1"/>
    <w:rsid w:val="0F7D3049"/>
    <w:rsid w:val="0F7E77D8"/>
    <w:rsid w:val="0F855338"/>
    <w:rsid w:val="0F865474"/>
    <w:rsid w:val="0F8D15A5"/>
    <w:rsid w:val="0F8F14E7"/>
    <w:rsid w:val="0F904734"/>
    <w:rsid w:val="0F96368D"/>
    <w:rsid w:val="0F9A112B"/>
    <w:rsid w:val="0F9A4F2B"/>
    <w:rsid w:val="0F9D1AE4"/>
    <w:rsid w:val="0F9D2C6D"/>
    <w:rsid w:val="0F9F2542"/>
    <w:rsid w:val="0FA4722F"/>
    <w:rsid w:val="0FA66508"/>
    <w:rsid w:val="0FBD66CF"/>
    <w:rsid w:val="0FBD783B"/>
    <w:rsid w:val="0FBE177E"/>
    <w:rsid w:val="0FBF0E36"/>
    <w:rsid w:val="0FC06194"/>
    <w:rsid w:val="0FC3551A"/>
    <w:rsid w:val="0FC47DF7"/>
    <w:rsid w:val="0FCC668B"/>
    <w:rsid w:val="0FCE0A90"/>
    <w:rsid w:val="0FD06B9F"/>
    <w:rsid w:val="0FD45361"/>
    <w:rsid w:val="0FD60735"/>
    <w:rsid w:val="0FD65D79"/>
    <w:rsid w:val="0FDE2902"/>
    <w:rsid w:val="0FED2A0F"/>
    <w:rsid w:val="0FEF0126"/>
    <w:rsid w:val="0FF07438"/>
    <w:rsid w:val="0FF7412C"/>
    <w:rsid w:val="0FFB34EC"/>
    <w:rsid w:val="0FFD5D25"/>
    <w:rsid w:val="10014FAA"/>
    <w:rsid w:val="10020DC3"/>
    <w:rsid w:val="100B7CD0"/>
    <w:rsid w:val="101022A4"/>
    <w:rsid w:val="10106BD9"/>
    <w:rsid w:val="1018371F"/>
    <w:rsid w:val="101A606C"/>
    <w:rsid w:val="101C1DE4"/>
    <w:rsid w:val="101C4AC3"/>
    <w:rsid w:val="10303AE2"/>
    <w:rsid w:val="10352EA6"/>
    <w:rsid w:val="10417A9D"/>
    <w:rsid w:val="10487C63"/>
    <w:rsid w:val="1050592F"/>
    <w:rsid w:val="10540C60"/>
    <w:rsid w:val="10563548"/>
    <w:rsid w:val="10572D77"/>
    <w:rsid w:val="105A26C5"/>
    <w:rsid w:val="105F0A8D"/>
    <w:rsid w:val="105F1C79"/>
    <w:rsid w:val="1060779A"/>
    <w:rsid w:val="10611EED"/>
    <w:rsid w:val="10612637"/>
    <w:rsid w:val="1061623E"/>
    <w:rsid w:val="10667503"/>
    <w:rsid w:val="106D2F64"/>
    <w:rsid w:val="106E5922"/>
    <w:rsid w:val="10703EDE"/>
    <w:rsid w:val="10724AD6"/>
    <w:rsid w:val="107365E5"/>
    <w:rsid w:val="1075073F"/>
    <w:rsid w:val="1076197B"/>
    <w:rsid w:val="10795489"/>
    <w:rsid w:val="107D1118"/>
    <w:rsid w:val="107E2BFA"/>
    <w:rsid w:val="108300B5"/>
    <w:rsid w:val="108A11D9"/>
    <w:rsid w:val="108B0D18"/>
    <w:rsid w:val="109128F6"/>
    <w:rsid w:val="10944070"/>
    <w:rsid w:val="109470B6"/>
    <w:rsid w:val="109673AC"/>
    <w:rsid w:val="10A61EDF"/>
    <w:rsid w:val="10A67900"/>
    <w:rsid w:val="10A92BBC"/>
    <w:rsid w:val="10AC1DFC"/>
    <w:rsid w:val="10B12211"/>
    <w:rsid w:val="10B63710"/>
    <w:rsid w:val="10B964F5"/>
    <w:rsid w:val="10BB15FD"/>
    <w:rsid w:val="10C009C2"/>
    <w:rsid w:val="10C2570B"/>
    <w:rsid w:val="10C75BED"/>
    <w:rsid w:val="10C859CC"/>
    <w:rsid w:val="10D80401"/>
    <w:rsid w:val="10DD7123"/>
    <w:rsid w:val="10DE64AA"/>
    <w:rsid w:val="10E445CC"/>
    <w:rsid w:val="10F046E4"/>
    <w:rsid w:val="10F10820"/>
    <w:rsid w:val="10F25EEC"/>
    <w:rsid w:val="10F82BC8"/>
    <w:rsid w:val="10FB346B"/>
    <w:rsid w:val="110012C0"/>
    <w:rsid w:val="110F2EA6"/>
    <w:rsid w:val="11100B54"/>
    <w:rsid w:val="1111121D"/>
    <w:rsid w:val="1111746F"/>
    <w:rsid w:val="11132EAA"/>
    <w:rsid w:val="111C2F7A"/>
    <w:rsid w:val="112A2534"/>
    <w:rsid w:val="113113B2"/>
    <w:rsid w:val="11385058"/>
    <w:rsid w:val="113917C7"/>
    <w:rsid w:val="113926EE"/>
    <w:rsid w:val="113F59F6"/>
    <w:rsid w:val="1142647A"/>
    <w:rsid w:val="11496C09"/>
    <w:rsid w:val="114E3184"/>
    <w:rsid w:val="114F49B1"/>
    <w:rsid w:val="11515191"/>
    <w:rsid w:val="11551DD3"/>
    <w:rsid w:val="115713F4"/>
    <w:rsid w:val="11590BE0"/>
    <w:rsid w:val="115C7DBB"/>
    <w:rsid w:val="115E4270"/>
    <w:rsid w:val="116021A5"/>
    <w:rsid w:val="11665CA1"/>
    <w:rsid w:val="11675E33"/>
    <w:rsid w:val="116972AB"/>
    <w:rsid w:val="11733C86"/>
    <w:rsid w:val="11733DF0"/>
    <w:rsid w:val="11743B70"/>
    <w:rsid w:val="11771800"/>
    <w:rsid w:val="11785740"/>
    <w:rsid w:val="117905AA"/>
    <w:rsid w:val="117B0D8C"/>
    <w:rsid w:val="11811634"/>
    <w:rsid w:val="11824FE4"/>
    <w:rsid w:val="11850D86"/>
    <w:rsid w:val="11856AD2"/>
    <w:rsid w:val="118C0B72"/>
    <w:rsid w:val="118E0AC0"/>
    <w:rsid w:val="1192785D"/>
    <w:rsid w:val="11936674"/>
    <w:rsid w:val="11942C92"/>
    <w:rsid w:val="119B31DD"/>
    <w:rsid w:val="119B510F"/>
    <w:rsid w:val="119D51A7"/>
    <w:rsid w:val="119E3805"/>
    <w:rsid w:val="11A034D2"/>
    <w:rsid w:val="11A117AE"/>
    <w:rsid w:val="11A14391"/>
    <w:rsid w:val="11A20F22"/>
    <w:rsid w:val="11A50817"/>
    <w:rsid w:val="11A9487A"/>
    <w:rsid w:val="11AA4E11"/>
    <w:rsid w:val="11AF49CC"/>
    <w:rsid w:val="11B20C52"/>
    <w:rsid w:val="11B26581"/>
    <w:rsid w:val="11B43D1D"/>
    <w:rsid w:val="11B464A4"/>
    <w:rsid w:val="11B61286"/>
    <w:rsid w:val="11C64FD2"/>
    <w:rsid w:val="11C87D4E"/>
    <w:rsid w:val="11D225AD"/>
    <w:rsid w:val="11D72467"/>
    <w:rsid w:val="11DC5ADB"/>
    <w:rsid w:val="11DE52DF"/>
    <w:rsid w:val="11EE155E"/>
    <w:rsid w:val="11F2487A"/>
    <w:rsid w:val="11F43656"/>
    <w:rsid w:val="11F702CD"/>
    <w:rsid w:val="11F84F58"/>
    <w:rsid w:val="11F92620"/>
    <w:rsid w:val="11F96EEE"/>
    <w:rsid w:val="11F97BBD"/>
    <w:rsid w:val="11FF3EFF"/>
    <w:rsid w:val="120048CD"/>
    <w:rsid w:val="12015736"/>
    <w:rsid w:val="12023928"/>
    <w:rsid w:val="120E7EC3"/>
    <w:rsid w:val="12122BBB"/>
    <w:rsid w:val="12170866"/>
    <w:rsid w:val="121810FD"/>
    <w:rsid w:val="121D282D"/>
    <w:rsid w:val="121F168B"/>
    <w:rsid w:val="12260CF8"/>
    <w:rsid w:val="122A68A1"/>
    <w:rsid w:val="122F22A3"/>
    <w:rsid w:val="12374CB3"/>
    <w:rsid w:val="123814F3"/>
    <w:rsid w:val="123A59BE"/>
    <w:rsid w:val="123C1997"/>
    <w:rsid w:val="124A70DD"/>
    <w:rsid w:val="124D2AD9"/>
    <w:rsid w:val="124E6F34"/>
    <w:rsid w:val="12521BEB"/>
    <w:rsid w:val="1258716E"/>
    <w:rsid w:val="12635C38"/>
    <w:rsid w:val="126973B8"/>
    <w:rsid w:val="126A26DF"/>
    <w:rsid w:val="126B34AD"/>
    <w:rsid w:val="126B5812"/>
    <w:rsid w:val="126F08F1"/>
    <w:rsid w:val="12732ADC"/>
    <w:rsid w:val="12733F76"/>
    <w:rsid w:val="127410E8"/>
    <w:rsid w:val="12745F08"/>
    <w:rsid w:val="12754C07"/>
    <w:rsid w:val="1279000D"/>
    <w:rsid w:val="127C50BD"/>
    <w:rsid w:val="127C6B6A"/>
    <w:rsid w:val="127C7E67"/>
    <w:rsid w:val="127F4CB1"/>
    <w:rsid w:val="128338A8"/>
    <w:rsid w:val="1288061D"/>
    <w:rsid w:val="12893474"/>
    <w:rsid w:val="129859B1"/>
    <w:rsid w:val="129C1574"/>
    <w:rsid w:val="129E11D6"/>
    <w:rsid w:val="12A5526C"/>
    <w:rsid w:val="12A61461"/>
    <w:rsid w:val="12AD766B"/>
    <w:rsid w:val="12B0412F"/>
    <w:rsid w:val="12B04A66"/>
    <w:rsid w:val="12B24C82"/>
    <w:rsid w:val="12B376DE"/>
    <w:rsid w:val="12C27882"/>
    <w:rsid w:val="12C66037"/>
    <w:rsid w:val="12C93554"/>
    <w:rsid w:val="12CE3CD2"/>
    <w:rsid w:val="12D33582"/>
    <w:rsid w:val="12D45822"/>
    <w:rsid w:val="12D71399"/>
    <w:rsid w:val="12D8065F"/>
    <w:rsid w:val="12E14004"/>
    <w:rsid w:val="12EF1A32"/>
    <w:rsid w:val="12F1310D"/>
    <w:rsid w:val="12F72F8B"/>
    <w:rsid w:val="12FB2185"/>
    <w:rsid w:val="12FD2C04"/>
    <w:rsid w:val="12FE4582"/>
    <w:rsid w:val="130132AD"/>
    <w:rsid w:val="130243FF"/>
    <w:rsid w:val="13062751"/>
    <w:rsid w:val="13064744"/>
    <w:rsid w:val="130D0E4A"/>
    <w:rsid w:val="13165729"/>
    <w:rsid w:val="13223E9E"/>
    <w:rsid w:val="13237F79"/>
    <w:rsid w:val="1327142E"/>
    <w:rsid w:val="13275CE7"/>
    <w:rsid w:val="13322A32"/>
    <w:rsid w:val="13371B18"/>
    <w:rsid w:val="13386F35"/>
    <w:rsid w:val="13391E64"/>
    <w:rsid w:val="133B39FD"/>
    <w:rsid w:val="133E2072"/>
    <w:rsid w:val="133F5D70"/>
    <w:rsid w:val="134F30AF"/>
    <w:rsid w:val="1353400E"/>
    <w:rsid w:val="13545929"/>
    <w:rsid w:val="13547F36"/>
    <w:rsid w:val="1356457B"/>
    <w:rsid w:val="13593110"/>
    <w:rsid w:val="135A1F83"/>
    <w:rsid w:val="136269B7"/>
    <w:rsid w:val="1363203D"/>
    <w:rsid w:val="136627D7"/>
    <w:rsid w:val="13681494"/>
    <w:rsid w:val="136927F9"/>
    <w:rsid w:val="136A7FCD"/>
    <w:rsid w:val="136E1102"/>
    <w:rsid w:val="1370542A"/>
    <w:rsid w:val="1381012A"/>
    <w:rsid w:val="13825809"/>
    <w:rsid w:val="13883297"/>
    <w:rsid w:val="13896996"/>
    <w:rsid w:val="138D56E3"/>
    <w:rsid w:val="138E4DA7"/>
    <w:rsid w:val="138F10FE"/>
    <w:rsid w:val="13937098"/>
    <w:rsid w:val="13951726"/>
    <w:rsid w:val="139660F3"/>
    <w:rsid w:val="13983E78"/>
    <w:rsid w:val="13A24CF6"/>
    <w:rsid w:val="13A27662"/>
    <w:rsid w:val="13A51976"/>
    <w:rsid w:val="13A53F4E"/>
    <w:rsid w:val="13AE6C46"/>
    <w:rsid w:val="13B2266F"/>
    <w:rsid w:val="13B379AD"/>
    <w:rsid w:val="13B80076"/>
    <w:rsid w:val="13BA1693"/>
    <w:rsid w:val="13C150FF"/>
    <w:rsid w:val="13C26686"/>
    <w:rsid w:val="13C400F4"/>
    <w:rsid w:val="13CA7F71"/>
    <w:rsid w:val="13D1738A"/>
    <w:rsid w:val="13D4593D"/>
    <w:rsid w:val="13D604FC"/>
    <w:rsid w:val="13D7529E"/>
    <w:rsid w:val="13DA0E61"/>
    <w:rsid w:val="13DC2025"/>
    <w:rsid w:val="13DC41FA"/>
    <w:rsid w:val="13E66D5F"/>
    <w:rsid w:val="13E711C9"/>
    <w:rsid w:val="13EB515A"/>
    <w:rsid w:val="13EC5CCF"/>
    <w:rsid w:val="13EE6F60"/>
    <w:rsid w:val="13F07810"/>
    <w:rsid w:val="13F1162C"/>
    <w:rsid w:val="13F538ED"/>
    <w:rsid w:val="13F84EA7"/>
    <w:rsid w:val="13FC4407"/>
    <w:rsid w:val="13FC5CCD"/>
    <w:rsid w:val="140040F4"/>
    <w:rsid w:val="140047B0"/>
    <w:rsid w:val="140212F1"/>
    <w:rsid w:val="14033633"/>
    <w:rsid w:val="140E19AC"/>
    <w:rsid w:val="14193999"/>
    <w:rsid w:val="141F6347"/>
    <w:rsid w:val="14253A63"/>
    <w:rsid w:val="14281A18"/>
    <w:rsid w:val="142C45C0"/>
    <w:rsid w:val="142F2398"/>
    <w:rsid w:val="143172A5"/>
    <w:rsid w:val="14342850"/>
    <w:rsid w:val="14374828"/>
    <w:rsid w:val="143814C7"/>
    <w:rsid w:val="14396509"/>
    <w:rsid w:val="14453BB8"/>
    <w:rsid w:val="144B28BE"/>
    <w:rsid w:val="144B2C98"/>
    <w:rsid w:val="144E0C12"/>
    <w:rsid w:val="14511540"/>
    <w:rsid w:val="14531710"/>
    <w:rsid w:val="14571973"/>
    <w:rsid w:val="145A03F6"/>
    <w:rsid w:val="14663E36"/>
    <w:rsid w:val="146767FF"/>
    <w:rsid w:val="147418DA"/>
    <w:rsid w:val="147427A4"/>
    <w:rsid w:val="1477335A"/>
    <w:rsid w:val="14795A57"/>
    <w:rsid w:val="147D3B12"/>
    <w:rsid w:val="147F0B94"/>
    <w:rsid w:val="1480608A"/>
    <w:rsid w:val="14833A3B"/>
    <w:rsid w:val="14847F58"/>
    <w:rsid w:val="148E02A4"/>
    <w:rsid w:val="14903DEB"/>
    <w:rsid w:val="14917FBB"/>
    <w:rsid w:val="14936443"/>
    <w:rsid w:val="1494463F"/>
    <w:rsid w:val="14961874"/>
    <w:rsid w:val="149778CC"/>
    <w:rsid w:val="14986DF9"/>
    <w:rsid w:val="1498793A"/>
    <w:rsid w:val="14992D4C"/>
    <w:rsid w:val="14A043AA"/>
    <w:rsid w:val="14AF035C"/>
    <w:rsid w:val="14AF32F4"/>
    <w:rsid w:val="14B01E61"/>
    <w:rsid w:val="14B32A00"/>
    <w:rsid w:val="14B36158"/>
    <w:rsid w:val="14B457E8"/>
    <w:rsid w:val="14B46A66"/>
    <w:rsid w:val="14B46A8F"/>
    <w:rsid w:val="14B474BE"/>
    <w:rsid w:val="14B55B5A"/>
    <w:rsid w:val="14B7032D"/>
    <w:rsid w:val="14B709C2"/>
    <w:rsid w:val="14BC76F2"/>
    <w:rsid w:val="14C133E7"/>
    <w:rsid w:val="14C86A0A"/>
    <w:rsid w:val="14C87B1E"/>
    <w:rsid w:val="14C91E0F"/>
    <w:rsid w:val="14D15367"/>
    <w:rsid w:val="14D6355A"/>
    <w:rsid w:val="14D97E1F"/>
    <w:rsid w:val="14DD2C3C"/>
    <w:rsid w:val="14DD2EAF"/>
    <w:rsid w:val="14E225E7"/>
    <w:rsid w:val="14E338A7"/>
    <w:rsid w:val="14E37374"/>
    <w:rsid w:val="14E43F63"/>
    <w:rsid w:val="14E5261D"/>
    <w:rsid w:val="14E629C1"/>
    <w:rsid w:val="14E70912"/>
    <w:rsid w:val="14F656CC"/>
    <w:rsid w:val="14FA4688"/>
    <w:rsid w:val="14FC77A5"/>
    <w:rsid w:val="14FE7D0A"/>
    <w:rsid w:val="15050751"/>
    <w:rsid w:val="15051099"/>
    <w:rsid w:val="15053ED7"/>
    <w:rsid w:val="150A49B0"/>
    <w:rsid w:val="150E015A"/>
    <w:rsid w:val="150F1F7D"/>
    <w:rsid w:val="15190FE8"/>
    <w:rsid w:val="151F3FAA"/>
    <w:rsid w:val="15204125"/>
    <w:rsid w:val="152623AC"/>
    <w:rsid w:val="1529299F"/>
    <w:rsid w:val="15302AAF"/>
    <w:rsid w:val="153636E4"/>
    <w:rsid w:val="15370C4F"/>
    <w:rsid w:val="153C6A85"/>
    <w:rsid w:val="153E0C8F"/>
    <w:rsid w:val="15436C90"/>
    <w:rsid w:val="15453B8B"/>
    <w:rsid w:val="15476F4A"/>
    <w:rsid w:val="154834BE"/>
    <w:rsid w:val="154C10CD"/>
    <w:rsid w:val="154D055B"/>
    <w:rsid w:val="154E72C7"/>
    <w:rsid w:val="15520056"/>
    <w:rsid w:val="15595B46"/>
    <w:rsid w:val="155A2008"/>
    <w:rsid w:val="155B33AF"/>
    <w:rsid w:val="155D17F8"/>
    <w:rsid w:val="155E5078"/>
    <w:rsid w:val="15615D40"/>
    <w:rsid w:val="156322C3"/>
    <w:rsid w:val="15655376"/>
    <w:rsid w:val="156748C6"/>
    <w:rsid w:val="156F0C08"/>
    <w:rsid w:val="156F18A9"/>
    <w:rsid w:val="157E0406"/>
    <w:rsid w:val="157F6158"/>
    <w:rsid w:val="15846A96"/>
    <w:rsid w:val="158E56BC"/>
    <w:rsid w:val="158F06EA"/>
    <w:rsid w:val="159546AE"/>
    <w:rsid w:val="15963EBB"/>
    <w:rsid w:val="159B4065"/>
    <w:rsid w:val="159C5DE3"/>
    <w:rsid w:val="15A11C7D"/>
    <w:rsid w:val="15A87255"/>
    <w:rsid w:val="15A875A1"/>
    <w:rsid w:val="15AC7AE7"/>
    <w:rsid w:val="15B064C4"/>
    <w:rsid w:val="15B146F4"/>
    <w:rsid w:val="15B1692A"/>
    <w:rsid w:val="15B25209"/>
    <w:rsid w:val="15BD3AC8"/>
    <w:rsid w:val="15C16C66"/>
    <w:rsid w:val="15C310F9"/>
    <w:rsid w:val="15C37C93"/>
    <w:rsid w:val="15C82379"/>
    <w:rsid w:val="15CF32DD"/>
    <w:rsid w:val="15D376A9"/>
    <w:rsid w:val="15D5574D"/>
    <w:rsid w:val="15D62A35"/>
    <w:rsid w:val="15E16DE2"/>
    <w:rsid w:val="15E30196"/>
    <w:rsid w:val="15E30B21"/>
    <w:rsid w:val="15E30CD7"/>
    <w:rsid w:val="15E433A4"/>
    <w:rsid w:val="15E5572A"/>
    <w:rsid w:val="15E769F0"/>
    <w:rsid w:val="15E77327"/>
    <w:rsid w:val="15ED7C1A"/>
    <w:rsid w:val="15EF57A6"/>
    <w:rsid w:val="15F120CD"/>
    <w:rsid w:val="15F315EF"/>
    <w:rsid w:val="15F33963"/>
    <w:rsid w:val="15F66930"/>
    <w:rsid w:val="15F76E9F"/>
    <w:rsid w:val="15FC1365"/>
    <w:rsid w:val="160055BA"/>
    <w:rsid w:val="160147C3"/>
    <w:rsid w:val="1604463D"/>
    <w:rsid w:val="16072265"/>
    <w:rsid w:val="16087E1D"/>
    <w:rsid w:val="160D4160"/>
    <w:rsid w:val="1610266C"/>
    <w:rsid w:val="16126306"/>
    <w:rsid w:val="161C0690"/>
    <w:rsid w:val="161C28E0"/>
    <w:rsid w:val="162435F2"/>
    <w:rsid w:val="16256D21"/>
    <w:rsid w:val="162B34FA"/>
    <w:rsid w:val="162B42D3"/>
    <w:rsid w:val="16321ADC"/>
    <w:rsid w:val="16381B0E"/>
    <w:rsid w:val="16382921"/>
    <w:rsid w:val="163C139B"/>
    <w:rsid w:val="163E0897"/>
    <w:rsid w:val="163F05DA"/>
    <w:rsid w:val="16477F85"/>
    <w:rsid w:val="16490368"/>
    <w:rsid w:val="164A7ADC"/>
    <w:rsid w:val="164E2759"/>
    <w:rsid w:val="164E4CC1"/>
    <w:rsid w:val="164F0D17"/>
    <w:rsid w:val="16505301"/>
    <w:rsid w:val="16516329"/>
    <w:rsid w:val="16543B70"/>
    <w:rsid w:val="16561285"/>
    <w:rsid w:val="166167A3"/>
    <w:rsid w:val="16664C4C"/>
    <w:rsid w:val="166B0CC8"/>
    <w:rsid w:val="166F6F59"/>
    <w:rsid w:val="167A61A7"/>
    <w:rsid w:val="167E55A7"/>
    <w:rsid w:val="16813FC1"/>
    <w:rsid w:val="1683496B"/>
    <w:rsid w:val="168741D4"/>
    <w:rsid w:val="168801D3"/>
    <w:rsid w:val="168F55EF"/>
    <w:rsid w:val="16935AFB"/>
    <w:rsid w:val="169B7533"/>
    <w:rsid w:val="169D5A70"/>
    <w:rsid w:val="169E737E"/>
    <w:rsid w:val="16A028AA"/>
    <w:rsid w:val="16A2220E"/>
    <w:rsid w:val="16A86180"/>
    <w:rsid w:val="16AF430F"/>
    <w:rsid w:val="16B20605"/>
    <w:rsid w:val="16B730C0"/>
    <w:rsid w:val="16B84C3E"/>
    <w:rsid w:val="16C324CF"/>
    <w:rsid w:val="16C524B9"/>
    <w:rsid w:val="16C531D6"/>
    <w:rsid w:val="16C64858"/>
    <w:rsid w:val="16CE195E"/>
    <w:rsid w:val="16D43419"/>
    <w:rsid w:val="16D5186F"/>
    <w:rsid w:val="16D665D7"/>
    <w:rsid w:val="16D91055"/>
    <w:rsid w:val="16DA07C9"/>
    <w:rsid w:val="16E13C41"/>
    <w:rsid w:val="16E2350D"/>
    <w:rsid w:val="16EB42BE"/>
    <w:rsid w:val="16F6268C"/>
    <w:rsid w:val="16F83DC9"/>
    <w:rsid w:val="16FB33A1"/>
    <w:rsid w:val="16FC64CC"/>
    <w:rsid w:val="16FF02BE"/>
    <w:rsid w:val="17030CD8"/>
    <w:rsid w:val="17033CFE"/>
    <w:rsid w:val="17070CD4"/>
    <w:rsid w:val="17092996"/>
    <w:rsid w:val="170F4451"/>
    <w:rsid w:val="17127177"/>
    <w:rsid w:val="17142261"/>
    <w:rsid w:val="171436E4"/>
    <w:rsid w:val="17182024"/>
    <w:rsid w:val="171E02FE"/>
    <w:rsid w:val="17252E42"/>
    <w:rsid w:val="17255718"/>
    <w:rsid w:val="17260B28"/>
    <w:rsid w:val="17274944"/>
    <w:rsid w:val="17285513"/>
    <w:rsid w:val="172F064F"/>
    <w:rsid w:val="172F78EF"/>
    <w:rsid w:val="1732013F"/>
    <w:rsid w:val="17321EED"/>
    <w:rsid w:val="17334565"/>
    <w:rsid w:val="17336C11"/>
    <w:rsid w:val="17347CCD"/>
    <w:rsid w:val="173503D8"/>
    <w:rsid w:val="17365674"/>
    <w:rsid w:val="17384046"/>
    <w:rsid w:val="173E4435"/>
    <w:rsid w:val="1748248A"/>
    <w:rsid w:val="174B25FE"/>
    <w:rsid w:val="174F484D"/>
    <w:rsid w:val="17701D14"/>
    <w:rsid w:val="17735226"/>
    <w:rsid w:val="17771379"/>
    <w:rsid w:val="177C0275"/>
    <w:rsid w:val="177C5721"/>
    <w:rsid w:val="17853822"/>
    <w:rsid w:val="17866A06"/>
    <w:rsid w:val="17976BD3"/>
    <w:rsid w:val="17A0154D"/>
    <w:rsid w:val="17A252C5"/>
    <w:rsid w:val="17A61837"/>
    <w:rsid w:val="17A87927"/>
    <w:rsid w:val="17AF1790"/>
    <w:rsid w:val="17B14EDF"/>
    <w:rsid w:val="17BB5442"/>
    <w:rsid w:val="17BD12DE"/>
    <w:rsid w:val="17C204A6"/>
    <w:rsid w:val="17C4003D"/>
    <w:rsid w:val="17C74D2B"/>
    <w:rsid w:val="17CD605A"/>
    <w:rsid w:val="17D17BE5"/>
    <w:rsid w:val="17D2722C"/>
    <w:rsid w:val="17D76FC7"/>
    <w:rsid w:val="17D8416F"/>
    <w:rsid w:val="17DA08EB"/>
    <w:rsid w:val="17E01EA2"/>
    <w:rsid w:val="17E10869"/>
    <w:rsid w:val="17E5229C"/>
    <w:rsid w:val="17E523B7"/>
    <w:rsid w:val="17E9006F"/>
    <w:rsid w:val="17F0423F"/>
    <w:rsid w:val="17F25591"/>
    <w:rsid w:val="17F36CEC"/>
    <w:rsid w:val="17F80FE8"/>
    <w:rsid w:val="17FB6783"/>
    <w:rsid w:val="17FE44C5"/>
    <w:rsid w:val="180350FE"/>
    <w:rsid w:val="18087A16"/>
    <w:rsid w:val="18087B95"/>
    <w:rsid w:val="1809361E"/>
    <w:rsid w:val="180B4C4F"/>
    <w:rsid w:val="18150414"/>
    <w:rsid w:val="18190052"/>
    <w:rsid w:val="181A188C"/>
    <w:rsid w:val="181D372A"/>
    <w:rsid w:val="181F29FF"/>
    <w:rsid w:val="182022F2"/>
    <w:rsid w:val="18215C36"/>
    <w:rsid w:val="18244D25"/>
    <w:rsid w:val="18282BA8"/>
    <w:rsid w:val="182B116B"/>
    <w:rsid w:val="18317758"/>
    <w:rsid w:val="18371EB1"/>
    <w:rsid w:val="183770E3"/>
    <w:rsid w:val="184053F5"/>
    <w:rsid w:val="18426B32"/>
    <w:rsid w:val="18446C7C"/>
    <w:rsid w:val="184B0E55"/>
    <w:rsid w:val="184B14B9"/>
    <w:rsid w:val="184D3556"/>
    <w:rsid w:val="18512847"/>
    <w:rsid w:val="18554231"/>
    <w:rsid w:val="185632CE"/>
    <w:rsid w:val="18644328"/>
    <w:rsid w:val="18645740"/>
    <w:rsid w:val="18686F0C"/>
    <w:rsid w:val="186C142F"/>
    <w:rsid w:val="186C481C"/>
    <w:rsid w:val="187118C1"/>
    <w:rsid w:val="18803DEB"/>
    <w:rsid w:val="18814B4E"/>
    <w:rsid w:val="188715CD"/>
    <w:rsid w:val="18887980"/>
    <w:rsid w:val="188D1AD1"/>
    <w:rsid w:val="189042E0"/>
    <w:rsid w:val="18932621"/>
    <w:rsid w:val="189657A7"/>
    <w:rsid w:val="189F624C"/>
    <w:rsid w:val="18A83D94"/>
    <w:rsid w:val="18A93942"/>
    <w:rsid w:val="18AC2687"/>
    <w:rsid w:val="18B8138B"/>
    <w:rsid w:val="18B903B2"/>
    <w:rsid w:val="18B955D1"/>
    <w:rsid w:val="18BC2391"/>
    <w:rsid w:val="18C244FC"/>
    <w:rsid w:val="18C35E39"/>
    <w:rsid w:val="18C41128"/>
    <w:rsid w:val="18C64FE3"/>
    <w:rsid w:val="18C8188B"/>
    <w:rsid w:val="18C96255"/>
    <w:rsid w:val="18C96881"/>
    <w:rsid w:val="18CB590D"/>
    <w:rsid w:val="18CE681D"/>
    <w:rsid w:val="18D17709"/>
    <w:rsid w:val="18D730CA"/>
    <w:rsid w:val="18E14105"/>
    <w:rsid w:val="18E70105"/>
    <w:rsid w:val="18E71B67"/>
    <w:rsid w:val="18F45F0D"/>
    <w:rsid w:val="19007129"/>
    <w:rsid w:val="19040F6C"/>
    <w:rsid w:val="19083499"/>
    <w:rsid w:val="190B3A74"/>
    <w:rsid w:val="190B4D55"/>
    <w:rsid w:val="190B77F6"/>
    <w:rsid w:val="19137AFC"/>
    <w:rsid w:val="19146350"/>
    <w:rsid w:val="191C10A5"/>
    <w:rsid w:val="191F5F30"/>
    <w:rsid w:val="191F64A1"/>
    <w:rsid w:val="191F7A9B"/>
    <w:rsid w:val="192526E4"/>
    <w:rsid w:val="192D03A2"/>
    <w:rsid w:val="19327BDC"/>
    <w:rsid w:val="19341070"/>
    <w:rsid w:val="1935076C"/>
    <w:rsid w:val="193F75C4"/>
    <w:rsid w:val="19466769"/>
    <w:rsid w:val="194A5C14"/>
    <w:rsid w:val="195308D0"/>
    <w:rsid w:val="195A6195"/>
    <w:rsid w:val="195D42A1"/>
    <w:rsid w:val="19681569"/>
    <w:rsid w:val="196B16E7"/>
    <w:rsid w:val="196D1263"/>
    <w:rsid w:val="196F2E93"/>
    <w:rsid w:val="196F567B"/>
    <w:rsid w:val="197C0492"/>
    <w:rsid w:val="19855AE2"/>
    <w:rsid w:val="19871E72"/>
    <w:rsid w:val="198E3662"/>
    <w:rsid w:val="19953232"/>
    <w:rsid w:val="199A1506"/>
    <w:rsid w:val="199C4888"/>
    <w:rsid w:val="19A215AC"/>
    <w:rsid w:val="19A31B3A"/>
    <w:rsid w:val="19AF54EA"/>
    <w:rsid w:val="19AF5D0C"/>
    <w:rsid w:val="19B12C50"/>
    <w:rsid w:val="19C85F55"/>
    <w:rsid w:val="19C873D5"/>
    <w:rsid w:val="19CA0B03"/>
    <w:rsid w:val="19CE5BF5"/>
    <w:rsid w:val="19D05B25"/>
    <w:rsid w:val="19D67B51"/>
    <w:rsid w:val="19DB686C"/>
    <w:rsid w:val="19E75211"/>
    <w:rsid w:val="19EC5329"/>
    <w:rsid w:val="19EF4889"/>
    <w:rsid w:val="19F142E2"/>
    <w:rsid w:val="19F72BDC"/>
    <w:rsid w:val="19F84AAF"/>
    <w:rsid w:val="19FD0046"/>
    <w:rsid w:val="19FF6DB5"/>
    <w:rsid w:val="1A11228E"/>
    <w:rsid w:val="1A113DD8"/>
    <w:rsid w:val="1A143B2C"/>
    <w:rsid w:val="1A161B16"/>
    <w:rsid w:val="1A18363D"/>
    <w:rsid w:val="1A18407F"/>
    <w:rsid w:val="1A1C66C0"/>
    <w:rsid w:val="1A1E04F8"/>
    <w:rsid w:val="1A204BC7"/>
    <w:rsid w:val="1A2214F4"/>
    <w:rsid w:val="1A2226ED"/>
    <w:rsid w:val="1A2553F4"/>
    <w:rsid w:val="1A283D23"/>
    <w:rsid w:val="1A2B5BFC"/>
    <w:rsid w:val="1A300634"/>
    <w:rsid w:val="1A350962"/>
    <w:rsid w:val="1A3F329F"/>
    <w:rsid w:val="1A42393B"/>
    <w:rsid w:val="1A4707C3"/>
    <w:rsid w:val="1A472154"/>
    <w:rsid w:val="1A475CB0"/>
    <w:rsid w:val="1A483566"/>
    <w:rsid w:val="1A4E614C"/>
    <w:rsid w:val="1A5A73DB"/>
    <w:rsid w:val="1A5B718D"/>
    <w:rsid w:val="1A616FE2"/>
    <w:rsid w:val="1A656C68"/>
    <w:rsid w:val="1A670100"/>
    <w:rsid w:val="1A691961"/>
    <w:rsid w:val="1A6945C9"/>
    <w:rsid w:val="1A694C6A"/>
    <w:rsid w:val="1A6F17BF"/>
    <w:rsid w:val="1A6F2200"/>
    <w:rsid w:val="1A7547E1"/>
    <w:rsid w:val="1A765E05"/>
    <w:rsid w:val="1A7E355A"/>
    <w:rsid w:val="1A8213DE"/>
    <w:rsid w:val="1A8270EC"/>
    <w:rsid w:val="1A87554B"/>
    <w:rsid w:val="1A892B5A"/>
    <w:rsid w:val="1A892B75"/>
    <w:rsid w:val="1A8F02A3"/>
    <w:rsid w:val="1A971E24"/>
    <w:rsid w:val="1A9923D9"/>
    <w:rsid w:val="1A9A2283"/>
    <w:rsid w:val="1A9A7AB4"/>
    <w:rsid w:val="1A9F2DA5"/>
    <w:rsid w:val="1AA11EB5"/>
    <w:rsid w:val="1AA36883"/>
    <w:rsid w:val="1AA83D3D"/>
    <w:rsid w:val="1AA85649"/>
    <w:rsid w:val="1AA93E03"/>
    <w:rsid w:val="1AAA4A95"/>
    <w:rsid w:val="1AAD45DE"/>
    <w:rsid w:val="1AB1581F"/>
    <w:rsid w:val="1AB73F1C"/>
    <w:rsid w:val="1ABF453B"/>
    <w:rsid w:val="1ABF618E"/>
    <w:rsid w:val="1AC77717"/>
    <w:rsid w:val="1AC854B8"/>
    <w:rsid w:val="1AC93740"/>
    <w:rsid w:val="1ACA199D"/>
    <w:rsid w:val="1AD2630F"/>
    <w:rsid w:val="1AD85D09"/>
    <w:rsid w:val="1ADC5328"/>
    <w:rsid w:val="1AE730AE"/>
    <w:rsid w:val="1AEA52EC"/>
    <w:rsid w:val="1AEC4CFD"/>
    <w:rsid w:val="1AED2CFB"/>
    <w:rsid w:val="1AF442A9"/>
    <w:rsid w:val="1AF52E7F"/>
    <w:rsid w:val="1AF7087D"/>
    <w:rsid w:val="1AF907E3"/>
    <w:rsid w:val="1AFA66D4"/>
    <w:rsid w:val="1B046F80"/>
    <w:rsid w:val="1B046FF5"/>
    <w:rsid w:val="1B050415"/>
    <w:rsid w:val="1B101769"/>
    <w:rsid w:val="1B102C8E"/>
    <w:rsid w:val="1B140288"/>
    <w:rsid w:val="1B171B26"/>
    <w:rsid w:val="1B196F3B"/>
    <w:rsid w:val="1B1C0EEA"/>
    <w:rsid w:val="1B1D5C78"/>
    <w:rsid w:val="1B1D5FE3"/>
    <w:rsid w:val="1B1D73E2"/>
    <w:rsid w:val="1B1E16E3"/>
    <w:rsid w:val="1B1F1CB4"/>
    <w:rsid w:val="1B215D69"/>
    <w:rsid w:val="1B2C7D7E"/>
    <w:rsid w:val="1B2E0C1E"/>
    <w:rsid w:val="1B3267B5"/>
    <w:rsid w:val="1B3721C8"/>
    <w:rsid w:val="1B373F96"/>
    <w:rsid w:val="1B3B42BF"/>
    <w:rsid w:val="1B40161D"/>
    <w:rsid w:val="1B4172D2"/>
    <w:rsid w:val="1B441859"/>
    <w:rsid w:val="1B4919BA"/>
    <w:rsid w:val="1B4A6C1D"/>
    <w:rsid w:val="1B4E5CB3"/>
    <w:rsid w:val="1B5508A0"/>
    <w:rsid w:val="1B570290"/>
    <w:rsid w:val="1B5A7C65"/>
    <w:rsid w:val="1B5D7B73"/>
    <w:rsid w:val="1B642891"/>
    <w:rsid w:val="1B644B05"/>
    <w:rsid w:val="1B6606B1"/>
    <w:rsid w:val="1B693A4D"/>
    <w:rsid w:val="1B6D5D50"/>
    <w:rsid w:val="1B7201F0"/>
    <w:rsid w:val="1B762CE2"/>
    <w:rsid w:val="1B787C27"/>
    <w:rsid w:val="1B861760"/>
    <w:rsid w:val="1B87376D"/>
    <w:rsid w:val="1B89014D"/>
    <w:rsid w:val="1B8D3B96"/>
    <w:rsid w:val="1B8D6CA4"/>
    <w:rsid w:val="1B911C1E"/>
    <w:rsid w:val="1B913C2D"/>
    <w:rsid w:val="1B9B67B4"/>
    <w:rsid w:val="1BA334FB"/>
    <w:rsid w:val="1BA4266E"/>
    <w:rsid w:val="1BA72C69"/>
    <w:rsid w:val="1BA76EBE"/>
    <w:rsid w:val="1BAC6712"/>
    <w:rsid w:val="1BAF7FB0"/>
    <w:rsid w:val="1BB031CF"/>
    <w:rsid w:val="1BB41C48"/>
    <w:rsid w:val="1BBC66F3"/>
    <w:rsid w:val="1BBE01F3"/>
    <w:rsid w:val="1BC00555"/>
    <w:rsid w:val="1BC05D1A"/>
    <w:rsid w:val="1BC372CF"/>
    <w:rsid w:val="1BC76BC4"/>
    <w:rsid w:val="1BC9751D"/>
    <w:rsid w:val="1BCA4DEA"/>
    <w:rsid w:val="1BCB2131"/>
    <w:rsid w:val="1BCC1A5A"/>
    <w:rsid w:val="1BD45C69"/>
    <w:rsid w:val="1BD956FD"/>
    <w:rsid w:val="1BD9703F"/>
    <w:rsid w:val="1BDA3ECC"/>
    <w:rsid w:val="1BDD5CD7"/>
    <w:rsid w:val="1BE85270"/>
    <w:rsid w:val="1BEC10F2"/>
    <w:rsid w:val="1BEC53DF"/>
    <w:rsid w:val="1BF53A42"/>
    <w:rsid w:val="1BF713A7"/>
    <w:rsid w:val="1BF730CC"/>
    <w:rsid w:val="1BF9122C"/>
    <w:rsid w:val="1BFA7D68"/>
    <w:rsid w:val="1C0320AA"/>
    <w:rsid w:val="1C042B2C"/>
    <w:rsid w:val="1C0C1C39"/>
    <w:rsid w:val="1C0C71B1"/>
    <w:rsid w:val="1C0D4CD7"/>
    <w:rsid w:val="1C104154"/>
    <w:rsid w:val="1C136BED"/>
    <w:rsid w:val="1C1442B7"/>
    <w:rsid w:val="1C155249"/>
    <w:rsid w:val="1C1B3B19"/>
    <w:rsid w:val="1C1B3CDE"/>
    <w:rsid w:val="1C1B5646"/>
    <w:rsid w:val="1C1D46FC"/>
    <w:rsid w:val="1C1D5BC8"/>
    <w:rsid w:val="1C205485"/>
    <w:rsid w:val="1C220CF4"/>
    <w:rsid w:val="1C246C7A"/>
    <w:rsid w:val="1C275D99"/>
    <w:rsid w:val="1C2C299A"/>
    <w:rsid w:val="1C2E41DF"/>
    <w:rsid w:val="1C2F20FA"/>
    <w:rsid w:val="1C321457"/>
    <w:rsid w:val="1C330A15"/>
    <w:rsid w:val="1C330BCB"/>
    <w:rsid w:val="1C333B0D"/>
    <w:rsid w:val="1C3419B0"/>
    <w:rsid w:val="1C3547FE"/>
    <w:rsid w:val="1C380B67"/>
    <w:rsid w:val="1C3E42E8"/>
    <w:rsid w:val="1C425975"/>
    <w:rsid w:val="1C43089F"/>
    <w:rsid w:val="1C473F2F"/>
    <w:rsid w:val="1C493F61"/>
    <w:rsid w:val="1C4A3BBA"/>
    <w:rsid w:val="1C4F5EF0"/>
    <w:rsid w:val="1C511068"/>
    <w:rsid w:val="1C580648"/>
    <w:rsid w:val="1C5E7925"/>
    <w:rsid w:val="1C651DCF"/>
    <w:rsid w:val="1C721991"/>
    <w:rsid w:val="1C796955"/>
    <w:rsid w:val="1C7F517D"/>
    <w:rsid w:val="1C816DE9"/>
    <w:rsid w:val="1C853F45"/>
    <w:rsid w:val="1C8B4C2A"/>
    <w:rsid w:val="1C8B5FB5"/>
    <w:rsid w:val="1C8E651D"/>
    <w:rsid w:val="1C950B35"/>
    <w:rsid w:val="1C9706F7"/>
    <w:rsid w:val="1C990377"/>
    <w:rsid w:val="1C99316B"/>
    <w:rsid w:val="1CA53161"/>
    <w:rsid w:val="1CA551E1"/>
    <w:rsid w:val="1CA55F37"/>
    <w:rsid w:val="1CA9597E"/>
    <w:rsid w:val="1CB82E95"/>
    <w:rsid w:val="1CC3102C"/>
    <w:rsid w:val="1CC51EE4"/>
    <w:rsid w:val="1CC52DB0"/>
    <w:rsid w:val="1CD26613"/>
    <w:rsid w:val="1CD5442F"/>
    <w:rsid w:val="1CD73B8E"/>
    <w:rsid w:val="1CDD2776"/>
    <w:rsid w:val="1CE92A10"/>
    <w:rsid w:val="1CEB7C4A"/>
    <w:rsid w:val="1CEE5682"/>
    <w:rsid w:val="1CEF43E3"/>
    <w:rsid w:val="1CEF7F37"/>
    <w:rsid w:val="1CF95A4F"/>
    <w:rsid w:val="1CFD070F"/>
    <w:rsid w:val="1CFD15B8"/>
    <w:rsid w:val="1D004707"/>
    <w:rsid w:val="1D045D23"/>
    <w:rsid w:val="1D083E1C"/>
    <w:rsid w:val="1D093E7B"/>
    <w:rsid w:val="1D097B94"/>
    <w:rsid w:val="1D0D56C2"/>
    <w:rsid w:val="1D0D5C4C"/>
    <w:rsid w:val="1D0D785E"/>
    <w:rsid w:val="1D100F23"/>
    <w:rsid w:val="1D152095"/>
    <w:rsid w:val="1D157E70"/>
    <w:rsid w:val="1D2C141D"/>
    <w:rsid w:val="1D2C3EF7"/>
    <w:rsid w:val="1D367DF2"/>
    <w:rsid w:val="1D37025D"/>
    <w:rsid w:val="1D3D0F5F"/>
    <w:rsid w:val="1D3D1123"/>
    <w:rsid w:val="1D3D25BA"/>
    <w:rsid w:val="1D4545B0"/>
    <w:rsid w:val="1D456AFB"/>
    <w:rsid w:val="1D4850A5"/>
    <w:rsid w:val="1D49621F"/>
    <w:rsid w:val="1D4E5D00"/>
    <w:rsid w:val="1D526E45"/>
    <w:rsid w:val="1D540F6D"/>
    <w:rsid w:val="1D57359D"/>
    <w:rsid w:val="1D5F6196"/>
    <w:rsid w:val="1D6132A5"/>
    <w:rsid w:val="1D6848BB"/>
    <w:rsid w:val="1D6B06AF"/>
    <w:rsid w:val="1D6C3651"/>
    <w:rsid w:val="1D6D1834"/>
    <w:rsid w:val="1D734C81"/>
    <w:rsid w:val="1D737906"/>
    <w:rsid w:val="1D7700B0"/>
    <w:rsid w:val="1D790876"/>
    <w:rsid w:val="1D7E7C3A"/>
    <w:rsid w:val="1D7F0A6F"/>
    <w:rsid w:val="1D85468D"/>
    <w:rsid w:val="1D855C9C"/>
    <w:rsid w:val="1D860827"/>
    <w:rsid w:val="1D8A549E"/>
    <w:rsid w:val="1D8A57C1"/>
    <w:rsid w:val="1D8B5BF5"/>
    <w:rsid w:val="1D8E56D5"/>
    <w:rsid w:val="1D910DF8"/>
    <w:rsid w:val="1D921315"/>
    <w:rsid w:val="1D9D43F0"/>
    <w:rsid w:val="1D9D4911"/>
    <w:rsid w:val="1D9D5F06"/>
    <w:rsid w:val="1DA63635"/>
    <w:rsid w:val="1DA87555"/>
    <w:rsid w:val="1DA97087"/>
    <w:rsid w:val="1DA97D6B"/>
    <w:rsid w:val="1DB0235A"/>
    <w:rsid w:val="1DB35A3B"/>
    <w:rsid w:val="1DB573D4"/>
    <w:rsid w:val="1DB821E4"/>
    <w:rsid w:val="1DBD6ECA"/>
    <w:rsid w:val="1DBE4250"/>
    <w:rsid w:val="1DBE4EDA"/>
    <w:rsid w:val="1DBE789E"/>
    <w:rsid w:val="1DC17172"/>
    <w:rsid w:val="1DCB19EE"/>
    <w:rsid w:val="1DCB411E"/>
    <w:rsid w:val="1DCC0D69"/>
    <w:rsid w:val="1DD84754"/>
    <w:rsid w:val="1DDF0CA2"/>
    <w:rsid w:val="1DE426D0"/>
    <w:rsid w:val="1DE43C6F"/>
    <w:rsid w:val="1DE7675C"/>
    <w:rsid w:val="1DED55CE"/>
    <w:rsid w:val="1DF13FB4"/>
    <w:rsid w:val="1E0755A3"/>
    <w:rsid w:val="1E0C793C"/>
    <w:rsid w:val="1E0F3A8A"/>
    <w:rsid w:val="1E124DFE"/>
    <w:rsid w:val="1E164317"/>
    <w:rsid w:val="1E1B44E3"/>
    <w:rsid w:val="1E1D46AD"/>
    <w:rsid w:val="1E20616F"/>
    <w:rsid w:val="1E236FCA"/>
    <w:rsid w:val="1E2D469C"/>
    <w:rsid w:val="1E30246C"/>
    <w:rsid w:val="1E304AD1"/>
    <w:rsid w:val="1E3211B1"/>
    <w:rsid w:val="1E3414A4"/>
    <w:rsid w:val="1E38089A"/>
    <w:rsid w:val="1E42471D"/>
    <w:rsid w:val="1E477BFE"/>
    <w:rsid w:val="1E4A3FC0"/>
    <w:rsid w:val="1E4C001E"/>
    <w:rsid w:val="1E4C23FE"/>
    <w:rsid w:val="1E4C7636"/>
    <w:rsid w:val="1E4D59E2"/>
    <w:rsid w:val="1E605592"/>
    <w:rsid w:val="1E67610E"/>
    <w:rsid w:val="1E73440B"/>
    <w:rsid w:val="1E767690"/>
    <w:rsid w:val="1E7A20C7"/>
    <w:rsid w:val="1E7A43DA"/>
    <w:rsid w:val="1E7A7118"/>
    <w:rsid w:val="1E815D25"/>
    <w:rsid w:val="1E85324A"/>
    <w:rsid w:val="1E8705EE"/>
    <w:rsid w:val="1E884A2B"/>
    <w:rsid w:val="1E8D37E8"/>
    <w:rsid w:val="1E94443F"/>
    <w:rsid w:val="1E960FB4"/>
    <w:rsid w:val="1E984B41"/>
    <w:rsid w:val="1E984D2C"/>
    <w:rsid w:val="1E9D0594"/>
    <w:rsid w:val="1E9D6226"/>
    <w:rsid w:val="1EA04579"/>
    <w:rsid w:val="1EA26F4C"/>
    <w:rsid w:val="1EA404E2"/>
    <w:rsid w:val="1EAF2075"/>
    <w:rsid w:val="1EB0534A"/>
    <w:rsid w:val="1EB268D8"/>
    <w:rsid w:val="1EB31B66"/>
    <w:rsid w:val="1EB36C6D"/>
    <w:rsid w:val="1EB560FD"/>
    <w:rsid w:val="1EC024D4"/>
    <w:rsid w:val="1EC1666A"/>
    <w:rsid w:val="1EC31663"/>
    <w:rsid w:val="1EC87D31"/>
    <w:rsid w:val="1ECA6FFC"/>
    <w:rsid w:val="1ECE7347"/>
    <w:rsid w:val="1ED063F1"/>
    <w:rsid w:val="1ED3242F"/>
    <w:rsid w:val="1ED37794"/>
    <w:rsid w:val="1ED41ADC"/>
    <w:rsid w:val="1ED52D8F"/>
    <w:rsid w:val="1ED539FC"/>
    <w:rsid w:val="1ED54C34"/>
    <w:rsid w:val="1ED878EA"/>
    <w:rsid w:val="1EDA2455"/>
    <w:rsid w:val="1EDF0A04"/>
    <w:rsid w:val="1EE10DA1"/>
    <w:rsid w:val="1EE75517"/>
    <w:rsid w:val="1EF64D09"/>
    <w:rsid w:val="1EFA0440"/>
    <w:rsid w:val="1EFA1543"/>
    <w:rsid w:val="1F045600"/>
    <w:rsid w:val="1F0D0FC0"/>
    <w:rsid w:val="1F0D396C"/>
    <w:rsid w:val="1F100D66"/>
    <w:rsid w:val="1F1220B1"/>
    <w:rsid w:val="1F15588A"/>
    <w:rsid w:val="1F161646"/>
    <w:rsid w:val="1F161B67"/>
    <w:rsid w:val="1F1744D7"/>
    <w:rsid w:val="1F1776FA"/>
    <w:rsid w:val="1F1F71FB"/>
    <w:rsid w:val="1F215855"/>
    <w:rsid w:val="1F2257EB"/>
    <w:rsid w:val="1F251D0D"/>
    <w:rsid w:val="1F290B7D"/>
    <w:rsid w:val="1F293F4C"/>
    <w:rsid w:val="1F2B7F02"/>
    <w:rsid w:val="1F30765A"/>
    <w:rsid w:val="1F326B68"/>
    <w:rsid w:val="1F356A1F"/>
    <w:rsid w:val="1F383B45"/>
    <w:rsid w:val="1F397990"/>
    <w:rsid w:val="1F3C75D0"/>
    <w:rsid w:val="1F457E33"/>
    <w:rsid w:val="1F4710AA"/>
    <w:rsid w:val="1F472065"/>
    <w:rsid w:val="1F4D0380"/>
    <w:rsid w:val="1F4F4B3A"/>
    <w:rsid w:val="1F525822"/>
    <w:rsid w:val="1F595626"/>
    <w:rsid w:val="1F665249"/>
    <w:rsid w:val="1F6910E7"/>
    <w:rsid w:val="1F696A37"/>
    <w:rsid w:val="1F6E6F3C"/>
    <w:rsid w:val="1F700490"/>
    <w:rsid w:val="1F751511"/>
    <w:rsid w:val="1F765B88"/>
    <w:rsid w:val="1F7E4BA2"/>
    <w:rsid w:val="1F7F51D6"/>
    <w:rsid w:val="1F843367"/>
    <w:rsid w:val="1F8E3ECE"/>
    <w:rsid w:val="1F955E35"/>
    <w:rsid w:val="1F967A4F"/>
    <w:rsid w:val="1FA63478"/>
    <w:rsid w:val="1FAA6760"/>
    <w:rsid w:val="1FAF078A"/>
    <w:rsid w:val="1FB27142"/>
    <w:rsid w:val="1FB4332F"/>
    <w:rsid w:val="1FB52896"/>
    <w:rsid w:val="1FBC0EEE"/>
    <w:rsid w:val="1FBC0F60"/>
    <w:rsid w:val="1FBD1721"/>
    <w:rsid w:val="1FC50AD8"/>
    <w:rsid w:val="1FC7586A"/>
    <w:rsid w:val="1FCA53B9"/>
    <w:rsid w:val="1FCF491A"/>
    <w:rsid w:val="1FD40D0E"/>
    <w:rsid w:val="1FD4390E"/>
    <w:rsid w:val="1FD56418"/>
    <w:rsid w:val="1FD6566B"/>
    <w:rsid w:val="1FDC2EEA"/>
    <w:rsid w:val="1FDE2530"/>
    <w:rsid w:val="1FE02E2E"/>
    <w:rsid w:val="1FE7539E"/>
    <w:rsid w:val="1FEA5A5B"/>
    <w:rsid w:val="1FEE40BC"/>
    <w:rsid w:val="1FF15DD0"/>
    <w:rsid w:val="1FF24910"/>
    <w:rsid w:val="1FF261DC"/>
    <w:rsid w:val="1FF31F4F"/>
    <w:rsid w:val="1FF368F4"/>
    <w:rsid w:val="1FFE2025"/>
    <w:rsid w:val="2000453B"/>
    <w:rsid w:val="200563F1"/>
    <w:rsid w:val="20062169"/>
    <w:rsid w:val="2006252C"/>
    <w:rsid w:val="200840F9"/>
    <w:rsid w:val="200D4D74"/>
    <w:rsid w:val="200F54C2"/>
    <w:rsid w:val="201C7BDE"/>
    <w:rsid w:val="20250841"/>
    <w:rsid w:val="202D0CFF"/>
    <w:rsid w:val="20314B41"/>
    <w:rsid w:val="20316E9B"/>
    <w:rsid w:val="20331B9E"/>
    <w:rsid w:val="20334E82"/>
    <w:rsid w:val="20362DDD"/>
    <w:rsid w:val="20396A33"/>
    <w:rsid w:val="203E7B55"/>
    <w:rsid w:val="204248F8"/>
    <w:rsid w:val="204447D3"/>
    <w:rsid w:val="20484530"/>
    <w:rsid w:val="205149BC"/>
    <w:rsid w:val="20523600"/>
    <w:rsid w:val="20526D12"/>
    <w:rsid w:val="20541126"/>
    <w:rsid w:val="20546796"/>
    <w:rsid w:val="20570DCF"/>
    <w:rsid w:val="2059673D"/>
    <w:rsid w:val="205E3D53"/>
    <w:rsid w:val="205F7410"/>
    <w:rsid w:val="2060784B"/>
    <w:rsid w:val="2064408E"/>
    <w:rsid w:val="20671BE0"/>
    <w:rsid w:val="20672C08"/>
    <w:rsid w:val="20744B56"/>
    <w:rsid w:val="2076477C"/>
    <w:rsid w:val="207B66B3"/>
    <w:rsid w:val="20814E6D"/>
    <w:rsid w:val="208234C8"/>
    <w:rsid w:val="2084590C"/>
    <w:rsid w:val="2086072C"/>
    <w:rsid w:val="2087270A"/>
    <w:rsid w:val="20913F51"/>
    <w:rsid w:val="209249D8"/>
    <w:rsid w:val="2095060F"/>
    <w:rsid w:val="20963CB8"/>
    <w:rsid w:val="20973DC6"/>
    <w:rsid w:val="2097471C"/>
    <w:rsid w:val="209D15A3"/>
    <w:rsid w:val="209D1E87"/>
    <w:rsid w:val="209D63C8"/>
    <w:rsid w:val="20A07A41"/>
    <w:rsid w:val="20A5242C"/>
    <w:rsid w:val="20A81A1B"/>
    <w:rsid w:val="20AB0959"/>
    <w:rsid w:val="20AE6B50"/>
    <w:rsid w:val="20B00A53"/>
    <w:rsid w:val="20B07FB6"/>
    <w:rsid w:val="20B32296"/>
    <w:rsid w:val="20B646FB"/>
    <w:rsid w:val="20BA1579"/>
    <w:rsid w:val="20BA224F"/>
    <w:rsid w:val="20C20B90"/>
    <w:rsid w:val="20CC5834"/>
    <w:rsid w:val="20CD124E"/>
    <w:rsid w:val="20D074E9"/>
    <w:rsid w:val="20D236AA"/>
    <w:rsid w:val="20D3029D"/>
    <w:rsid w:val="20D34741"/>
    <w:rsid w:val="20DD5BCA"/>
    <w:rsid w:val="20E51C8A"/>
    <w:rsid w:val="20E76408"/>
    <w:rsid w:val="20EE157B"/>
    <w:rsid w:val="20F20707"/>
    <w:rsid w:val="20F756A2"/>
    <w:rsid w:val="2104245C"/>
    <w:rsid w:val="2107077D"/>
    <w:rsid w:val="2107263D"/>
    <w:rsid w:val="210B2B5C"/>
    <w:rsid w:val="21162880"/>
    <w:rsid w:val="211A3A6D"/>
    <w:rsid w:val="211B32A5"/>
    <w:rsid w:val="211C7E96"/>
    <w:rsid w:val="211D0F00"/>
    <w:rsid w:val="211E38B3"/>
    <w:rsid w:val="212466CA"/>
    <w:rsid w:val="212568B8"/>
    <w:rsid w:val="212C1466"/>
    <w:rsid w:val="212E5A85"/>
    <w:rsid w:val="2130749E"/>
    <w:rsid w:val="213119DA"/>
    <w:rsid w:val="21374535"/>
    <w:rsid w:val="21396BB6"/>
    <w:rsid w:val="213B74B1"/>
    <w:rsid w:val="213D3957"/>
    <w:rsid w:val="214A57A0"/>
    <w:rsid w:val="214C61B7"/>
    <w:rsid w:val="21540FBA"/>
    <w:rsid w:val="215641C4"/>
    <w:rsid w:val="21573B6F"/>
    <w:rsid w:val="215A2310"/>
    <w:rsid w:val="215B2A7C"/>
    <w:rsid w:val="215F66C8"/>
    <w:rsid w:val="216054DA"/>
    <w:rsid w:val="21731A80"/>
    <w:rsid w:val="21772E78"/>
    <w:rsid w:val="21783BD0"/>
    <w:rsid w:val="217963B6"/>
    <w:rsid w:val="218232B8"/>
    <w:rsid w:val="21872D7C"/>
    <w:rsid w:val="21873EAA"/>
    <w:rsid w:val="219F0AD0"/>
    <w:rsid w:val="219F765C"/>
    <w:rsid w:val="21A40EF5"/>
    <w:rsid w:val="21AE4421"/>
    <w:rsid w:val="21B300DA"/>
    <w:rsid w:val="21B35879"/>
    <w:rsid w:val="21B75E39"/>
    <w:rsid w:val="21C02D4B"/>
    <w:rsid w:val="21C44E06"/>
    <w:rsid w:val="21C62271"/>
    <w:rsid w:val="21C93B36"/>
    <w:rsid w:val="21CB366A"/>
    <w:rsid w:val="21CC3D88"/>
    <w:rsid w:val="21D23B8E"/>
    <w:rsid w:val="21D40949"/>
    <w:rsid w:val="21D60C76"/>
    <w:rsid w:val="21D62A8B"/>
    <w:rsid w:val="21D8042F"/>
    <w:rsid w:val="21DA38AD"/>
    <w:rsid w:val="21DC7694"/>
    <w:rsid w:val="21DE318A"/>
    <w:rsid w:val="21DF6698"/>
    <w:rsid w:val="21E312E4"/>
    <w:rsid w:val="21E52ABF"/>
    <w:rsid w:val="21E604A4"/>
    <w:rsid w:val="21E77118"/>
    <w:rsid w:val="21E77B48"/>
    <w:rsid w:val="21E81022"/>
    <w:rsid w:val="21ED1832"/>
    <w:rsid w:val="21EF132C"/>
    <w:rsid w:val="21EF5B80"/>
    <w:rsid w:val="21F95AA4"/>
    <w:rsid w:val="21FB4EF5"/>
    <w:rsid w:val="21FC22F5"/>
    <w:rsid w:val="22037909"/>
    <w:rsid w:val="220A6DA3"/>
    <w:rsid w:val="220D4F05"/>
    <w:rsid w:val="220D77DF"/>
    <w:rsid w:val="22100F31"/>
    <w:rsid w:val="22142973"/>
    <w:rsid w:val="22193C82"/>
    <w:rsid w:val="221A365E"/>
    <w:rsid w:val="221B32F3"/>
    <w:rsid w:val="221D0400"/>
    <w:rsid w:val="22205747"/>
    <w:rsid w:val="222412AE"/>
    <w:rsid w:val="22265B0E"/>
    <w:rsid w:val="22266C58"/>
    <w:rsid w:val="2227085B"/>
    <w:rsid w:val="223905D4"/>
    <w:rsid w:val="223E5028"/>
    <w:rsid w:val="224100BB"/>
    <w:rsid w:val="224116DF"/>
    <w:rsid w:val="2241392C"/>
    <w:rsid w:val="22462048"/>
    <w:rsid w:val="2247359A"/>
    <w:rsid w:val="22494B95"/>
    <w:rsid w:val="224A6F9F"/>
    <w:rsid w:val="224C07A1"/>
    <w:rsid w:val="22516E96"/>
    <w:rsid w:val="22576990"/>
    <w:rsid w:val="22592A24"/>
    <w:rsid w:val="225B3186"/>
    <w:rsid w:val="225C0E26"/>
    <w:rsid w:val="2264488C"/>
    <w:rsid w:val="22683E24"/>
    <w:rsid w:val="22751744"/>
    <w:rsid w:val="22754CDE"/>
    <w:rsid w:val="22765472"/>
    <w:rsid w:val="227A3683"/>
    <w:rsid w:val="22854AB9"/>
    <w:rsid w:val="228A59D8"/>
    <w:rsid w:val="228C104B"/>
    <w:rsid w:val="22964DA0"/>
    <w:rsid w:val="229B3555"/>
    <w:rsid w:val="229C0B63"/>
    <w:rsid w:val="229F7CA9"/>
    <w:rsid w:val="22A00702"/>
    <w:rsid w:val="22A21485"/>
    <w:rsid w:val="22A412A3"/>
    <w:rsid w:val="22A542AA"/>
    <w:rsid w:val="22AE1DE0"/>
    <w:rsid w:val="22B1460E"/>
    <w:rsid w:val="22B44B07"/>
    <w:rsid w:val="22BA533A"/>
    <w:rsid w:val="22BC1FF2"/>
    <w:rsid w:val="22C93550"/>
    <w:rsid w:val="22D14CB0"/>
    <w:rsid w:val="22E260E8"/>
    <w:rsid w:val="22E32C72"/>
    <w:rsid w:val="22E47EDE"/>
    <w:rsid w:val="22E51D82"/>
    <w:rsid w:val="22EC7DFB"/>
    <w:rsid w:val="22EE283C"/>
    <w:rsid w:val="22F21491"/>
    <w:rsid w:val="22F47480"/>
    <w:rsid w:val="22F8048F"/>
    <w:rsid w:val="22FA161C"/>
    <w:rsid w:val="22FC59E7"/>
    <w:rsid w:val="23021C41"/>
    <w:rsid w:val="230474F0"/>
    <w:rsid w:val="23084722"/>
    <w:rsid w:val="230961F8"/>
    <w:rsid w:val="230A5326"/>
    <w:rsid w:val="231057D9"/>
    <w:rsid w:val="231223A3"/>
    <w:rsid w:val="2315555B"/>
    <w:rsid w:val="2318118A"/>
    <w:rsid w:val="231934B6"/>
    <w:rsid w:val="231B2164"/>
    <w:rsid w:val="231B403D"/>
    <w:rsid w:val="23222111"/>
    <w:rsid w:val="23270D58"/>
    <w:rsid w:val="232A48F9"/>
    <w:rsid w:val="232A77CB"/>
    <w:rsid w:val="23383357"/>
    <w:rsid w:val="23412DB1"/>
    <w:rsid w:val="23516531"/>
    <w:rsid w:val="23566043"/>
    <w:rsid w:val="23577397"/>
    <w:rsid w:val="235B5D48"/>
    <w:rsid w:val="235E7720"/>
    <w:rsid w:val="235F4A29"/>
    <w:rsid w:val="23613B12"/>
    <w:rsid w:val="23617D94"/>
    <w:rsid w:val="236F5CDF"/>
    <w:rsid w:val="23705BB5"/>
    <w:rsid w:val="237278F3"/>
    <w:rsid w:val="23747E8B"/>
    <w:rsid w:val="2378512C"/>
    <w:rsid w:val="237948F3"/>
    <w:rsid w:val="23850595"/>
    <w:rsid w:val="23875BF1"/>
    <w:rsid w:val="238851EE"/>
    <w:rsid w:val="23893087"/>
    <w:rsid w:val="238C0BD7"/>
    <w:rsid w:val="239006C7"/>
    <w:rsid w:val="23904E3C"/>
    <w:rsid w:val="239312F5"/>
    <w:rsid w:val="23936FB7"/>
    <w:rsid w:val="23964A5E"/>
    <w:rsid w:val="23A03014"/>
    <w:rsid w:val="23A57BB2"/>
    <w:rsid w:val="23AD1279"/>
    <w:rsid w:val="23B2407F"/>
    <w:rsid w:val="23B24235"/>
    <w:rsid w:val="23B74E00"/>
    <w:rsid w:val="23BA1FED"/>
    <w:rsid w:val="23BC326A"/>
    <w:rsid w:val="23BE075D"/>
    <w:rsid w:val="23C6233B"/>
    <w:rsid w:val="23CC26E3"/>
    <w:rsid w:val="23D15F87"/>
    <w:rsid w:val="23D902C0"/>
    <w:rsid w:val="23DB42F5"/>
    <w:rsid w:val="23DE179B"/>
    <w:rsid w:val="23DE1C48"/>
    <w:rsid w:val="23E142C4"/>
    <w:rsid w:val="23E60EBD"/>
    <w:rsid w:val="23E90182"/>
    <w:rsid w:val="23EA25D3"/>
    <w:rsid w:val="23EA4CFA"/>
    <w:rsid w:val="23EB3B50"/>
    <w:rsid w:val="23F1599F"/>
    <w:rsid w:val="23F20755"/>
    <w:rsid w:val="23F44170"/>
    <w:rsid w:val="23F46D37"/>
    <w:rsid w:val="23FA55E4"/>
    <w:rsid w:val="240210CD"/>
    <w:rsid w:val="24091E96"/>
    <w:rsid w:val="240B7384"/>
    <w:rsid w:val="24112A79"/>
    <w:rsid w:val="241237D2"/>
    <w:rsid w:val="2416728E"/>
    <w:rsid w:val="24235EA4"/>
    <w:rsid w:val="24257892"/>
    <w:rsid w:val="24257DB3"/>
    <w:rsid w:val="242C2629"/>
    <w:rsid w:val="242E481E"/>
    <w:rsid w:val="24350A36"/>
    <w:rsid w:val="243F0B22"/>
    <w:rsid w:val="2442432B"/>
    <w:rsid w:val="24431BDE"/>
    <w:rsid w:val="244B7CC9"/>
    <w:rsid w:val="244C1236"/>
    <w:rsid w:val="24534964"/>
    <w:rsid w:val="245553C8"/>
    <w:rsid w:val="24561911"/>
    <w:rsid w:val="24575321"/>
    <w:rsid w:val="245E6E60"/>
    <w:rsid w:val="246309C3"/>
    <w:rsid w:val="246456B0"/>
    <w:rsid w:val="246B028A"/>
    <w:rsid w:val="246D0A09"/>
    <w:rsid w:val="247022A7"/>
    <w:rsid w:val="24702649"/>
    <w:rsid w:val="247172BF"/>
    <w:rsid w:val="247C660B"/>
    <w:rsid w:val="248118AB"/>
    <w:rsid w:val="24822C4B"/>
    <w:rsid w:val="24885842"/>
    <w:rsid w:val="248C64C5"/>
    <w:rsid w:val="248D5820"/>
    <w:rsid w:val="248E31C0"/>
    <w:rsid w:val="249B3BCC"/>
    <w:rsid w:val="249B7324"/>
    <w:rsid w:val="249F1D57"/>
    <w:rsid w:val="24A40BC1"/>
    <w:rsid w:val="24A92CC8"/>
    <w:rsid w:val="24AA3A0B"/>
    <w:rsid w:val="24AE36F1"/>
    <w:rsid w:val="24AE47F4"/>
    <w:rsid w:val="24B2246C"/>
    <w:rsid w:val="24B50320"/>
    <w:rsid w:val="24B55BF4"/>
    <w:rsid w:val="24B957BD"/>
    <w:rsid w:val="24BB077E"/>
    <w:rsid w:val="24BE3012"/>
    <w:rsid w:val="24BF09F7"/>
    <w:rsid w:val="24C17129"/>
    <w:rsid w:val="24D4432A"/>
    <w:rsid w:val="24D57C8A"/>
    <w:rsid w:val="24D6447F"/>
    <w:rsid w:val="24D708E2"/>
    <w:rsid w:val="24DA1A42"/>
    <w:rsid w:val="24DC5D36"/>
    <w:rsid w:val="24DE7579"/>
    <w:rsid w:val="24E47A0D"/>
    <w:rsid w:val="24E7320D"/>
    <w:rsid w:val="24E758D6"/>
    <w:rsid w:val="24E94533"/>
    <w:rsid w:val="24ED56A6"/>
    <w:rsid w:val="24F02DBE"/>
    <w:rsid w:val="24F46B89"/>
    <w:rsid w:val="24F54D62"/>
    <w:rsid w:val="24F61FBA"/>
    <w:rsid w:val="24F829C8"/>
    <w:rsid w:val="24FB04D5"/>
    <w:rsid w:val="24FC5E7E"/>
    <w:rsid w:val="24FD15A3"/>
    <w:rsid w:val="250017D3"/>
    <w:rsid w:val="25010A26"/>
    <w:rsid w:val="25020159"/>
    <w:rsid w:val="25036B1F"/>
    <w:rsid w:val="25062CC7"/>
    <w:rsid w:val="25076767"/>
    <w:rsid w:val="250A26FB"/>
    <w:rsid w:val="2517418E"/>
    <w:rsid w:val="251D1561"/>
    <w:rsid w:val="25200D21"/>
    <w:rsid w:val="252D53FE"/>
    <w:rsid w:val="252F12B8"/>
    <w:rsid w:val="25323D4B"/>
    <w:rsid w:val="25407ECB"/>
    <w:rsid w:val="254241C9"/>
    <w:rsid w:val="25452E58"/>
    <w:rsid w:val="254F7F61"/>
    <w:rsid w:val="2551032A"/>
    <w:rsid w:val="25537BFE"/>
    <w:rsid w:val="25570A96"/>
    <w:rsid w:val="255C2A9C"/>
    <w:rsid w:val="255D0A7D"/>
    <w:rsid w:val="255E6E5E"/>
    <w:rsid w:val="256242E5"/>
    <w:rsid w:val="25715AE8"/>
    <w:rsid w:val="25716D14"/>
    <w:rsid w:val="2573204F"/>
    <w:rsid w:val="25760435"/>
    <w:rsid w:val="25845C69"/>
    <w:rsid w:val="258A1146"/>
    <w:rsid w:val="258B55EA"/>
    <w:rsid w:val="258C05A9"/>
    <w:rsid w:val="258F2C1E"/>
    <w:rsid w:val="25931B26"/>
    <w:rsid w:val="25950217"/>
    <w:rsid w:val="25975FC6"/>
    <w:rsid w:val="259F425C"/>
    <w:rsid w:val="25A151F5"/>
    <w:rsid w:val="25A90932"/>
    <w:rsid w:val="25B665A4"/>
    <w:rsid w:val="25B83F05"/>
    <w:rsid w:val="25BE6A38"/>
    <w:rsid w:val="25C36951"/>
    <w:rsid w:val="25C428AA"/>
    <w:rsid w:val="25C84750"/>
    <w:rsid w:val="25CA3BA8"/>
    <w:rsid w:val="25D22A56"/>
    <w:rsid w:val="25D22B45"/>
    <w:rsid w:val="25D601FE"/>
    <w:rsid w:val="25D97F3F"/>
    <w:rsid w:val="25DB0B9D"/>
    <w:rsid w:val="25DB4E01"/>
    <w:rsid w:val="25DD42D7"/>
    <w:rsid w:val="25DD7A9B"/>
    <w:rsid w:val="25E46AA9"/>
    <w:rsid w:val="25E5594E"/>
    <w:rsid w:val="25EC2D81"/>
    <w:rsid w:val="25F14F48"/>
    <w:rsid w:val="25F473A9"/>
    <w:rsid w:val="25FA4388"/>
    <w:rsid w:val="25FA451E"/>
    <w:rsid w:val="25FA68C7"/>
    <w:rsid w:val="25FE1F57"/>
    <w:rsid w:val="25FE47A5"/>
    <w:rsid w:val="26044F26"/>
    <w:rsid w:val="260544E4"/>
    <w:rsid w:val="26057121"/>
    <w:rsid w:val="260854FF"/>
    <w:rsid w:val="26094F1B"/>
    <w:rsid w:val="260B74C2"/>
    <w:rsid w:val="26141C75"/>
    <w:rsid w:val="261750D0"/>
    <w:rsid w:val="261D1FBA"/>
    <w:rsid w:val="2620115E"/>
    <w:rsid w:val="26263565"/>
    <w:rsid w:val="262B43C2"/>
    <w:rsid w:val="26312D19"/>
    <w:rsid w:val="263133EF"/>
    <w:rsid w:val="26321F6C"/>
    <w:rsid w:val="26353D53"/>
    <w:rsid w:val="26375B22"/>
    <w:rsid w:val="26385E8A"/>
    <w:rsid w:val="2643627C"/>
    <w:rsid w:val="264C055B"/>
    <w:rsid w:val="264C4108"/>
    <w:rsid w:val="264D198E"/>
    <w:rsid w:val="265527FC"/>
    <w:rsid w:val="2657371E"/>
    <w:rsid w:val="26576A95"/>
    <w:rsid w:val="265A6241"/>
    <w:rsid w:val="26676E0F"/>
    <w:rsid w:val="26697479"/>
    <w:rsid w:val="26697785"/>
    <w:rsid w:val="2677349D"/>
    <w:rsid w:val="267B5E32"/>
    <w:rsid w:val="267B5F8E"/>
    <w:rsid w:val="26814FA3"/>
    <w:rsid w:val="26845291"/>
    <w:rsid w:val="268C3BE0"/>
    <w:rsid w:val="268D3801"/>
    <w:rsid w:val="268F1E45"/>
    <w:rsid w:val="26900CB8"/>
    <w:rsid w:val="26903E38"/>
    <w:rsid w:val="26946721"/>
    <w:rsid w:val="269823AA"/>
    <w:rsid w:val="26983F03"/>
    <w:rsid w:val="269C036B"/>
    <w:rsid w:val="26A41F71"/>
    <w:rsid w:val="26A440C8"/>
    <w:rsid w:val="26AD42C8"/>
    <w:rsid w:val="26B04DB0"/>
    <w:rsid w:val="26B60BE0"/>
    <w:rsid w:val="26B61130"/>
    <w:rsid w:val="26BE4E8E"/>
    <w:rsid w:val="26CA2142"/>
    <w:rsid w:val="26D57D33"/>
    <w:rsid w:val="26D6070D"/>
    <w:rsid w:val="26DA0672"/>
    <w:rsid w:val="26DD243B"/>
    <w:rsid w:val="26DF450B"/>
    <w:rsid w:val="26E87476"/>
    <w:rsid w:val="26F4714B"/>
    <w:rsid w:val="26F52198"/>
    <w:rsid w:val="26F91E7B"/>
    <w:rsid w:val="26FB6251"/>
    <w:rsid w:val="27005B64"/>
    <w:rsid w:val="27057419"/>
    <w:rsid w:val="27083AC6"/>
    <w:rsid w:val="2709339A"/>
    <w:rsid w:val="270A6909"/>
    <w:rsid w:val="270C4585"/>
    <w:rsid w:val="270E20AE"/>
    <w:rsid w:val="271433BD"/>
    <w:rsid w:val="27181100"/>
    <w:rsid w:val="271F280E"/>
    <w:rsid w:val="27227B1A"/>
    <w:rsid w:val="27253C8E"/>
    <w:rsid w:val="27272151"/>
    <w:rsid w:val="27282DE2"/>
    <w:rsid w:val="272A498F"/>
    <w:rsid w:val="27321F52"/>
    <w:rsid w:val="2734580E"/>
    <w:rsid w:val="27372571"/>
    <w:rsid w:val="273852FE"/>
    <w:rsid w:val="27402CF7"/>
    <w:rsid w:val="274E640F"/>
    <w:rsid w:val="27595274"/>
    <w:rsid w:val="275A2D0B"/>
    <w:rsid w:val="275C5195"/>
    <w:rsid w:val="276121BE"/>
    <w:rsid w:val="27625FC1"/>
    <w:rsid w:val="2765514F"/>
    <w:rsid w:val="27684186"/>
    <w:rsid w:val="276B56D3"/>
    <w:rsid w:val="276E0D20"/>
    <w:rsid w:val="277057A2"/>
    <w:rsid w:val="27706BF2"/>
    <w:rsid w:val="27715C8F"/>
    <w:rsid w:val="277521C3"/>
    <w:rsid w:val="27754459"/>
    <w:rsid w:val="27765309"/>
    <w:rsid w:val="277C287E"/>
    <w:rsid w:val="27816C71"/>
    <w:rsid w:val="278C402C"/>
    <w:rsid w:val="278C564A"/>
    <w:rsid w:val="278F0497"/>
    <w:rsid w:val="27906EE8"/>
    <w:rsid w:val="27921B5C"/>
    <w:rsid w:val="27962024"/>
    <w:rsid w:val="27981973"/>
    <w:rsid w:val="279B423C"/>
    <w:rsid w:val="279F5334"/>
    <w:rsid w:val="27A06C21"/>
    <w:rsid w:val="27A31286"/>
    <w:rsid w:val="27A31F55"/>
    <w:rsid w:val="27A37603"/>
    <w:rsid w:val="27A5509E"/>
    <w:rsid w:val="27A74232"/>
    <w:rsid w:val="27AC02E3"/>
    <w:rsid w:val="27AD1E48"/>
    <w:rsid w:val="27AD6260"/>
    <w:rsid w:val="27B05660"/>
    <w:rsid w:val="27B079F1"/>
    <w:rsid w:val="27B93821"/>
    <w:rsid w:val="27BA21B7"/>
    <w:rsid w:val="27BC1FD7"/>
    <w:rsid w:val="27C02410"/>
    <w:rsid w:val="27C7050A"/>
    <w:rsid w:val="27CC5A46"/>
    <w:rsid w:val="27D249E8"/>
    <w:rsid w:val="27D25752"/>
    <w:rsid w:val="27D85321"/>
    <w:rsid w:val="27DD5EA5"/>
    <w:rsid w:val="27DF39CB"/>
    <w:rsid w:val="27E34F95"/>
    <w:rsid w:val="27E46EFC"/>
    <w:rsid w:val="27E57917"/>
    <w:rsid w:val="27EB0A4D"/>
    <w:rsid w:val="27EB3046"/>
    <w:rsid w:val="27EC5A7D"/>
    <w:rsid w:val="27EE00B2"/>
    <w:rsid w:val="27F903CC"/>
    <w:rsid w:val="27FC13A7"/>
    <w:rsid w:val="27FD5F0A"/>
    <w:rsid w:val="28023C0A"/>
    <w:rsid w:val="2810627B"/>
    <w:rsid w:val="281758E8"/>
    <w:rsid w:val="281D44F4"/>
    <w:rsid w:val="282412DA"/>
    <w:rsid w:val="2827071F"/>
    <w:rsid w:val="28292197"/>
    <w:rsid w:val="28292E99"/>
    <w:rsid w:val="283B125C"/>
    <w:rsid w:val="283C5EAB"/>
    <w:rsid w:val="2844263F"/>
    <w:rsid w:val="28454A0C"/>
    <w:rsid w:val="284A1A95"/>
    <w:rsid w:val="284B2E0F"/>
    <w:rsid w:val="284F6DA3"/>
    <w:rsid w:val="28502FC3"/>
    <w:rsid w:val="28517C8F"/>
    <w:rsid w:val="28520495"/>
    <w:rsid w:val="28550131"/>
    <w:rsid w:val="28595C3D"/>
    <w:rsid w:val="285D4631"/>
    <w:rsid w:val="28652B1C"/>
    <w:rsid w:val="286742BF"/>
    <w:rsid w:val="28690946"/>
    <w:rsid w:val="286E3AF7"/>
    <w:rsid w:val="286E4DBC"/>
    <w:rsid w:val="28764029"/>
    <w:rsid w:val="287C2A5C"/>
    <w:rsid w:val="28884063"/>
    <w:rsid w:val="288E279E"/>
    <w:rsid w:val="289522DC"/>
    <w:rsid w:val="2895569D"/>
    <w:rsid w:val="289742A6"/>
    <w:rsid w:val="289C3F2F"/>
    <w:rsid w:val="28A0422C"/>
    <w:rsid w:val="28A36CB5"/>
    <w:rsid w:val="28A449B2"/>
    <w:rsid w:val="28AE0D74"/>
    <w:rsid w:val="28BA78D3"/>
    <w:rsid w:val="28C17F8F"/>
    <w:rsid w:val="28C55377"/>
    <w:rsid w:val="28C572F7"/>
    <w:rsid w:val="28D011FA"/>
    <w:rsid w:val="28D016C5"/>
    <w:rsid w:val="28D3254A"/>
    <w:rsid w:val="28D45441"/>
    <w:rsid w:val="28E0275C"/>
    <w:rsid w:val="28E34B6A"/>
    <w:rsid w:val="28E817DD"/>
    <w:rsid w:val="28EE2D15"/>
    <w:rsid w:val="28EF2FC6"/>
    <w:rsid w:val="28EF40E4"/>
    <w:rsid w:val="28F64D03"/>
    <w:rsid w:val="28F66825"/>
    <w:rsid w:val="28FC235B"/>
    <w:rsid w:val="29007916"/>
    <w:rsid w:val="290132DD"/>
    <w:rsid w:val="29080A6B"/>
    <w:rsid w:val="2908241C"/>
    <w:rsid w:val="2916267C"/>
    <w:rsid w:val="291713AF"/>
    <w:rsid w:val="291A4B22"/>
    <w:rsid w:val="291D0C4F"/>
    <w:rsid w:val="29202B0C"/>
    <w:rsid w:val="29206EB8"/>
    <w:rsid w:val="29235B3A"/>
    <w:rsid w:val="29241A6D"/>
    <w:rsid w:val="292C49EE"/>
    <w:rsid w:val="29343278"/>
    <w:rsid w:val="2935509C"/>
    <w:rsid w:val="29382D89"/>
    <w:rsid w:val="293F6969"/>
    <w:rsid w:val="29424B37"/>
    <w:rsid w:val="29540997"/>
    <w:rsid w:val="29595666"/>
    <w:rsid w:val="295D4822"/>
    <w:rsid w:val="295E3016"/>
    <w:rsid w:val="295F0163"/>
    <w:rsid w:val="29617DD5"/>
    <w:rsid w:val="296C5F52"/>
    <w:rsid w:val="296D07FE"/>
    <w:rsid w:val="296E3259"/>
    <w:rsid w:val="29715B63"/>
    <w:rsid w:val="29715E44"/>
    <w:rsid w:val="29726123"/>
    <w:rsid w:val="29747D6C"/>
    <w:rsid w:val="297775A0"/>
    <w:rsid w:val="297D349C"/>
    <w:rsid w:val="29863F4A"/>
    <w:rsid w:val="29864064"/>
    <w:rsid w:val="29874881"/>
    <w:rsid w:val="29875193"/>
    <w:rsid w:val="298C04C5"/>
    <w:rsid w:val="298C373E"/>
    <w:rsid w:val="298E0E4D"/>
    <w:rsid w:val="298E56A9"/>
    <w:rsid w:val="29912F65"/>
    <w:rsid w:val="29943785"/>
    <w:rsid w:val="29963748"/>
    <w:rsid w:val="299810D6"/>
    <w:rsid w:val="29984DDA"/>
    <w:rsid w:val="29986528"/>
    <w:rsid w:val="299912AB"/>
    <w:rsid w:val="299A60D1"/>
    <w:rsid w:val="299A78DE"/>
    <w:rsid w:val="299B5845"/>
    <w:rsid w:val="29A273A6"/>
    <w:rsid w:val="29A94BD5"/>
    <w:rsid w:val="29A97624"/>
    <w:rsid w:val="29AA56B7"/>
    <w:rsid w:val="29AC468F"/>
    <w:rsid w:val="29B00539"/>
    <w:rsid w:val="29C00DAA"/>
    <w:rsid w:val="29C01762"/>
    <w:rsid w:val="29C10345"/>
    <w:rsid w:val="29C72867"/>
    <w:rsid w:val="29DD7AA1"/>
    <w:rsid w:val="29E325E0"/>
    <w:rsid w:val="29EC3253"/>
    <w:rsid w:val="29EE02D2"/>
    <w:rsid w:val="29F55167"/>
    <w:rsid w:val="29FF6D9B"/>
    <w:rsid w:val="2A0701FC"/>
    <w:rsid w:val="2A0C4F4B"/>
    <w:rsid w:val="2A0E4957"/>
    <w:rsid w:val="2A0F4B53"/>
    <w:rsid w:val="2A141ECF"/>
    <w:rsid w:val="2A154580"/>
    <w:rsid w:val="2A164C67"/>
    <w:rsid w:val="2A191F6B"/>
    <w:rsid w:val="2A20559F"/>
    <w:rsid w:val="2A21651D"/>
    <w:rsid w:val="2A273408"/>
    <w:rsid w:val="2A2E58E9"/>
    <w:rsid w:val="2A3004CC"/>
    <w:rsid w:val="2A312D18"/>
    <w:rsid w:val="2A33379A"/>
    <w:rsid w:val="2A335B9A"/>
    <w:rsid w:val="2A353D77"/>
    <w:rsid w:val="2A382673"/>
    <w:rsid w:val="2A390D0F"/>
    <w:rsid w:val="2A390EC5"/>
    <w:rsid w:val="2A3D0E7D"/>
    <w:rsid w:val="2A450747"/>
    <w:rsid w:val="2A452503"/>
    <w:rsid w:val="2A4828F5"/>
    <w:rsid w:val="2A4D0353"/>
    <w:rsid w:val="2A4E6BE6"/>
    <w:rsid w:val="2A514586"/>
    <w:rsid w:val="2A532D3F"/>
    <w:rsid w:val="2A5519C1"/>
    <w:rsid w:val="2A5B0674"/>
    <w:rsid w:val="2A5F2BA2"/>
    <w:rsid w:val="2A664E4C"/>
    <w:rsid w:val="2A665F0B"/>
    <w:rsid w:val="2A675835"/>
    <w:rsid w:val="2A68414C"/>
    <w:rsid w:val="2A693EA6"/>
    <w:rsid w:val="2A6E756B"/>
    <w:rsid w:val="2A73489F"/>
    <w:rsid w:val="2A793ED9"/>
    <w:rsid w:val="2A801D19"/>
    <w:rsid w:val="2A836303"/>
    <w:rsid w:val="2A870159"/>
    <w:rsid w:val="2A8D13B7"/>
    <w:rsid w:val="2A9562A2"/>
    <w:rsid w:val="2A9E5FDF"/>
    <w:rsid w:val="2AA1765E"/>
    <w:rsid w:val="2AA418CB"/>
    <w:rsid w:val="2AA57522"/>
    <w:rsid w:val="2AA77572"/>
    <w:rsid w:val="2AA8647C"/>
    <w:rsid w:val="2AAF138F"/>
    <w:rsid w:val="2AB2733C"/>
    <w:rsid w:val="2AB529BD"/>
    <w:rsid w:val="2AB811C3"/>
    <w:rsid w:val="2AB86376"/>
    <w:rsid w:val="2ABE32E0"/>
    <w:rsid w:val="2ABE3496"/>
    <w:rsid w:val="2AC53F81"/>
    <w:rsid w:val="2ACB3B8E"/>
    <w:rsid w:val="2AD124AA"/>
    <w:rsid w:val="2AD83E1A"/>
    <w:rsid w:val="2ADC55F5"/>
    <w:rsid w:val="2ADE7F6A"/>
    <w:rsid w:val="2AE12B78"/>
    <w:rsid w:val="2AE61515"/>
    <w:rsid w:val="2AE94C55"/>
    <w:rsid w:val="2AE9690F"/>
    <w:rsid w:val="2AEA4778"/>
    <w:rsid w:val="2AEF33A9"/>
    <w:rsid w:val="2AF232F4"/>
    <w:rsid w:val="2AF52527"/>
    <w:rsid w:val="2AF53506"/>
    <w:rsid w:val="2AF62F52"/>
    <w:rsid w:val="2AF66DAE"/>
    <w:rsid w:val="2AF77551"/>
    <w:rsid w:val="2AF81DD8"/>
    <w:rsid w:val="2AF9549C"/>
    <w:rsid w:val="2AFA2421"/>
    <w:rsid w:val="2AFB124C"/>
    <w:rsid w:val="2AFE5484"/>
    <w:rsid w:val="2AFF4FE1"/>
    <w:rsid w:val="2B050994"/>
    <w:rsid w:val="2B054C0F"/>
    <w:rsid w:val="2B097C03"/>
    <w:rsid w:val="2B0A4CBE"/>
    <w:rsid w:val="2B0E4816"/>
    <w:rsid w:val="2B167EE9"/>
    <w:rsid w:val="2B174CA4"/>
    <w:rsid w:val="2B1B03E9"/>
    <w:rsid w:val="2B21546A"/>
    <w:rsid w:val="2B254B22"/>
    <w:rsid w:val="2B2E7A6E"/>
    <w:rsid w:val="2B3758CC"/>
    <w:rsid w:val="2B4324C3"/>
    <w:rsid w:val="2B496A2D"/>
    <w:rsid w:val="2B50048A"/>
    <w:rsid w:val="2B517241"/>
    <w:rsid w:val="2B532B28"/>
    <w:rsid w:val="2B5446D0"/>
    <w:rsid w:val="2B545679"/>
    <w:rsid w:val="2B54704F"/>
    <w:rsid w:val="2B5D20D7"/>
    <w:rsid w:val="2B5D7EB8"/>
    <w:rsid w:val="2B5F689A"/>
    <w:rsid w:val="2B606BD1"/>
    <w:rsid w:val="2B6261F4"/>
    <w:rsid w:val="2B632B65"/>
    <w:rsid w:val="2B6761B2"/>
    <w:rsid w:val="2B6972C1"/>
    <w:rsid w:val="2B6C01E5"/>
    <w:rsid w:val="2B6D169A"/>
    <w:rsid w:val="2B6D604C"/>
    <w:rsid w:val="2B726905"/>
    <w:rsid w:val="2B761820"/>
    <w:rsid w:val="2B8313B8"/>
    <w:rsid w:val="2B9575C9"/>
    <w:rsid w:val="2B980F11"/>
    <w:rsid w:val="2B9B40AD"/>
    <w:rsid w:val="2B9C710C"/>
    <w:rsid w:val="2BA153A8"/>
    <w:rsid w:val="2BA70440"/>
    <w:rsid w:val="2BA873B6"/>
    <w:rsid w:val="2BA936A8"/>
    <w:rsid w:val="2BAE7C79"/>
    <w:rsid w:val="2BB43EEB"/>
    <w:rsid w:val="2BB609D0"/>
    <w:rsid w:val="2BBD2AEC"/>
    <w:rsid w:val="2BC756FF"/>
    <w:rsid w:val="2BC90D17"/>
    <w:rsid w:val="2BCF1785"/>
    <w:rsid w:val="2BCF7195"/>
    <w:rsid w:val="2BD05F24"/>
    <w:rsid w:val="2BD20463"/>
    <w:rsid w:val="2BD82C0B"/>
    <w:rsid w:val="2BDD0222"/>
    <w:rsid w:val="2BDF043E"/>
    <w:rsid w:val="2BE139CF"/>
    <w:rsid w:val="2BE23A8A"/>
    <w:rsid w:val="2BE75544"/>
    <w:rsid w:val="2BE8623F"/>
    <w:rsid w:val="2BEA4E47"/>
    <w:rsid w:val="2BED66EB"/>
    <w:rsid w:val="2C016A47"/>
    <w:rsid w:val="2C030CC3"/>
    <w:rsid w:val="2C063C1D"/>
    <w:rsid w:val="2C1B33C6"/>
    <w:rsid w:val="2C1F29E6"/>
    <w:rsid w:val="2C270E22"/>
    <w:rsid w:val="2C292C08"/>
    <w:rsid w:val="2C2A52BD"/>
    <w:rsid w:val="2C2B391A"/>
    <w:rsid w:val="2C2C15E1"/>
    <w:rsid w:val="2C2D0C58"/>
    <w:rsid w:val="2C315A5A"/>
    <w:rsid w:val="2C316753"/>
    <w:rsid w:val="2C322E7A"/>
    <w:rsid w:val="2C35005E"/>
    <w:rsid w:val="2C386E53"/>
    <w:rsid w:val="2C3C0C3E"/>
    <w:rsid w:val="2C3C74FC"/>
    <w:rsid w:val="2C3E0ED0"/>
    <w:rsid w:val="2C3E7DA9"/>
    <w:rsid w:val="2C404EF9"/>
    <w:rsid w:val="2C4345F7"/>
    <w:rsid w:val="2C4A257E"/>
    <w:rsid w:val="2C4B1C25"/>
    <w:rsid w:val="2C522070"/>
    <w:rsid w:val="2C531637"/>
    <w:rsid w:val="2C556155"/>
    <w:rsid w:val="2C6023A6"/>
    <w:rsid w:val="2C604777"/>
    <w:rsid w:val="2C620DE5"/>
    <w:rsid w:val="2C673F8F"/>
    <w:rsid w:val="2C675CB3"/>
    <w:rsid w:val="2C682122"/>
    <w:rsid w:val="2C6D409D"/>
    <w:rsid w:val="2C6D614E"/>
    <w:rsid w:val="2C721A69"/>
    <w:rsid w:val="2C754B89"/>
    <w:rsid w:val="2C7A6F87"/>
    <w:rsid w:val="2C7C1159"/>
    <w:rsid w:val="2C8243FE"/>
    <w:rsid w:val="2C8B1393"/>
    <w:rsid w:val="2C8D651E"/>
    <w:rsid w:val="2C994A91"/>
    <w:rsid w:val="2C9E057C"/>
    <w:rsid w:val="2CA10197"/>
    <w:rsid w:val="2CA44E2B"/>
    <w:rsid w:val="2CA65795"/>
    <w:rsid w:val="2CAD5591"/>
    <w:rsid w:val="2CAF5C9A"/>
    <w:rsid w:val="2CB258B9"/>
    <w:rsid w:val="2CB63865"/>
    <w:rsid w:val="2CB65ABC"/>
    <w:rsid w:val="2CBA3D24"/>
    <w:rsid w:val="2CBC3F68"/>
    <w:rsid w:val="2CBC42DB"/>
    <w:rsid w:val="2CBE44F7"/>
    <w:rsid w:val="2CC118F2"/>
    <w:rsid w:val="2CC66F08"/>
    <w:rsid w:val="2CC71EE0"/>
    <w:rsid w:val="2CD07D87"/>
    <w:rsid w:val="2CDC08C3"/>
    <w:rsid w:val="2CDF446E"/>
    <w:rsid w:val="2CE00C57"/>
    <w:rsid w:val="2CE75DFA"/>
    <w:rsid w:val="2CED26E7"/>
    <w:rsid w:val="2CED6B8B"/>
    <w:rsid w:val="2CF20D33"/>
    <w:rsid w:val="2CF6241F"/>
    <w:rsid w:val="2CF75313"/>
    <w:rsid w:val="2CF855C3"/>
    <w:rsid w:val="2CFF0CBE"/>
    <w:rsid w:val="2D005CE3"/>
    <w:rsid w:val="2D023258"/>
    <w:rsid w:val="2D074819"/>
    <w:rsid w:val="2D0A14EA"/>
    <w:rsid w:val="2D0E5DB3"/>
    <w:rsid w:val="2D0F34D3"/>
    <w:rsid w:val="2D113DD8"/>
    <w:rsid w:val="2D1519FD"/>
    <w:rsid w:val="2D1F0CCE"/>
    <w:rsid w:val="2D205BB7"/>
    <w:rsid w:val="2D28499F"/>
    <w:rsid w:val="2D305785"/>
    <w:rsid w:val="2D40344E"/>
    <w:rsid w:val="2D413A1A"/>
    <w:rsid w:val="2D436FA9"/>
    <w:rsid w:val="2D5055B9"/>
    <w:rsid w:val="2D524710"/>
    <w:rsid w:val="2D526117"/>
    <w:rsid w:val="2D530142"/>
    <w:rsid w:val="2D55513D"/>
    <w:rsid w:val="2D5A7975"/>
    <w:rsid w:val="2D61011E"/>
    <w:rsid w:val="2D657E5F"/>
    <w:rsid w:val="2D6A7F4C"/>
    <w:rsid w:val="2D7000C0"/>
    <w:rsid w:val="2D714B55"/>
    <w:rsid w:val="2D776A6A"/>
    <w:rsid w:val="2D7B5F44"/>
    <w:rsid w:val="2D8079FF"/>
    <w:rsid w:val="2D856F57"/>
    <w:rsid w:val="2D8F7C42"/>
    <w:rsid w:val="2D9076FE"/>
    <w:rsid w:val="2D920829"/>
    <w:rsid w:val="2D96416D"/>
    <w:rsid w:val="2D9E56F5"/>
    <w:rsid w:val="2D9E7208"/>
    <w:rsid w:val="2DA7131A"/>
    <w:rsid w:val="2DAA682A"/>
    <w:rsid w:val="2DAB403E"/>
    <w:rsid w:val="2DAD7213"/>
    <w:rsid w:val="2DAD74F9"/>
    <w:rsid w:val="2DAE60DF"/>
    <w:rsid w:val="2DB06539"/>
    <w:rsid w:val="2DB70319"/>
    <w:rsid w:val="2DB86B44"/>
    <w:rsid w:val="2DBD12BC"/>
    <w:rsid w:val="2DBF4085"/>
    <w:rsid w:val="2DC01BA9"/>
    <w:rsid w:val="2DC25921"/>
    <w:rsid w:val="2DC27344"/>
    <w:rsid w:val="2DC56527"/>
    <w:rsid w:val="2DC749A6"/>
    <w:rsid w:val="2DC95CA7"/>
    <w:rsid w:val="2DCC730A"/>
    <w:rsid w:val="2DCD7B93"/>
    <w:rsid w:val="2DD44314"/>
    <w:rsid w:val="2DD53981"/>
    <w:rsid w:val="2DDB5965"/>
    <w:rsid w:val="2DDE64D3"/>
    <w:rsid w:val="2DE24207"/>
    <w:rsid w:val="2DE34D59"/>
    <w:rsid w:val="2DE47F8D"/>
    <w:rsid w:val="2DF4181D"/>
    <w:rsid w:val="2DFB0019"/>
    <w:rsid w:val="2E03486C"/>
    <w:rsid w:val="2E045F3A"/>
    <w:rsid w:val="2E04783A"/>
    <w:rsid w:val="2E147D7A"/>
    <w:rsid w:val="2E190DDE"/>
    <w:rsid w:val="2E1D524D"/>
    <w:rsid w:val="2E1D6FFC"/>
    <w:rsid w:val="2E2B600A"/>
    <w:rsid w:val="2E383EF0"/>
    <w:rsid w:val="2E3E61DB"/>
    <w:rsid w:val="2E400826"/>
    <w:rsid w:val="2E424E40"/>
    <w:rsid w:val="2E433D29"/>
    <w:rsid w:val="2E461D92"/>
    <w:rsid w:val="2E463B9A"/>
    <w:rsid w:val="2E477CFD"/>
    <w:rsid w:val="2E494D78"/>
    <w:rsid w:val="2E497DF1"/>
    <w:rsid w:val="2E4B55E7"/>
    <w:rsid w:val="2E4C126C"/>
    <w:rsid w:val="2E514AC9"/>
    <w:rsid w:val="2E5153CC"/>
    <w:rsid w:val="2E5A0537"/>
    <w:rsid w:val="2E613370"/>
    <w:rsid w:val="2E64128C"/>
    <w:rsid w:val="2E667F96"/>
    <w:rsid w:val="2E693FEF"/>
    <w:rsid w:val="2E6F3BCC"/>
    <w:rsid w:val="2E764C99"/>
    <w:rsid w:val="2E772F41"/>
    <w:rsid w:val="2E781E40"/>
    <w:rsid w:val="2E7A032A"/>
    <w:rsid w:val="2E8226AB"/>
    <w:rsid w:val="2E894691"/>
    <w:rsid w:val="2E8E1CA7"/>
    <w:rsid w:val="2E903C71"/>
    <w:rsid w:val="2E945BD3"/>
    <w:rsid w:val="2E9949FF"/>
    <w:rsid w:val="2EA5623A"/>
    <w:rsid w:val="2EA77975"/>
    <w:rsid w:val="2EAB45F7"/>
    <w:rsid w:val="2EB42670"/>
    <w:rsid w:val="2EB8626D"/>
    <w:rsid w:val="2EBA484A"/>
    <w:rsid w:val="2EBC4497"/>
    <w:rsid w:val="2EC118D3"/>
    <w:rsid w:val="2EC60811"/>
    <w:rsid w:val="2ECA36BA"/>
    <w:rsid w:val="2ECC22CB"/>
    <w:rsid w:val="2EDD5B18"/>
    <w:rsid w:val="2EDF0D8C"/>
    <w:rsid w:val="2EDF3856"/>
    <w:rsid w:val="2EE20A16"/>
    <w:rsid w:val="2EE6799C"/>
    <w:rsid w:val="2EEF0EE8"/>
    <w:rsid w:val="2EF019D0"/>
    <w:rsid w:val="2EF0514A"/>
    <w:rsid w:val="2EF22236"/>
    <w:rsid w:val="2EF7784D"/>
    <w:rsid w:val="2EFC1307"/>
    <w:rsid w:val="2EFF4953"/>
    <w:rsid w:val="2F0232E6"/>
    <w:rsid w:val="2F0412C1"/>
    <w:rsid w:val="2F0A1480"/>
    <w:rsid w:val="2F0C7717"/>
    <w:rsid w:val="2F0E56BC"/>
    <w:rsid w:val="2F0F0341"/>
    <w:rsid w:val="2F111CE2"/>
    <w:rsid w:val="2F11386F"/>
    <w:rsid w:val="2F126434"/>
    <w:rsid w:val="2F1622FB"/>
    <w:rsid w:val="2F171C9D"/>
    <w:rsid w:val="2F1C7B2E"/>
    <w:rsid w:val="2F1E127D"/>
    <w:rsid w:val="2F202C41"/>
    <w:rsid w:val="2F2443BA"/>
    <w:rsid w:val="2F25260C"/>
    <w:rsid w:val="2F29531E"/>
    <w:rsid w:val="2F2A362D"/>
    <w:rsid w:val="2F2A3ADD"/>
    <w:rsid w:val="2F2C0CD3"/>
    <w:rsid w:val="2F336D78"/>
    <w:rsid w:val="2F390623"/>
    <w:rsid w:val="2F3D6685"/>
    <w:rsid w:val="2F3F32AB"/>
    <w:rsid w:val="2F462957"/>
    <w:rsid w:val="2F4A2072"/>
    <w:rsid w:val="2F4C148B"/>
    <w:rsid w:val="2F4C28B1"/>
    <w:rsid w:val="2F4D184A"/>
    <w:rsid w:val="2F4D2FC0"/>
    <w:rsid w:val="2F561AA3"/>
    <w:rsid w:val="2F585D2E"/>
    <w:rsid w:val="2F5A0F01"/>
    <w:rsid w:val="2F5B59C5"/>
    <w:rsid w:val="2F613CBF"/>
    <w:rsid w:val="2F633B47"/>
    <w:rsid w:val="2F652BCF"/>
    <w:rsid w:val="2F665C5F"/>
    <w:rsid w:val="2F6E248D"/>
    <w:rsid w:val="2F7829E9"/>
    <w:rsid w:val="2F7A3C0F"/>
    <w:rsid w:val="2F7D2448"/>
    <w:rsid w:val="2F7E1BAB"/>
    <w:rsid w:val="2F8B18BC"/>
    <w:rsid w:val="2F8E05A0"/>
    <w:rsid w:val="2F900EE9"/>
    <w:rsid w:val="2F9143B0"/>
    <w:rsid w:val="2F96351A"/>
    <w:rsid w:val="2F9F36AD"/>
    <w:rsid w:val="2FAC1422"/>
    <w:rsid w:val="2FAE2B60"/>
    <w:rsid w:val="2FAF3D59"/>
    <w:rsid w:val="2FB35E69"/>
    <w:rsid w:val="2FB66AFF"/>
    <w:rsid w:val="2FB7138C"/>
    <w:rsid w:val="2FB90F7C"/>
    <w:rsid w:val="2FBA37D4"/>
    <w:rsid w:val="2FBC0278"/>
    <w:rsid w:val="2FC516F9"/>
    <w:rsid w:val="2FC85D95"/>
    <w:rsid w:val="2FC969DD"/>
    <w:rsid w:val="2FCF4325"/>
    <w:rsid w:val="2FD00837"/>
    <w:rsid w:val="2FD027DA"/>
    <w:rsid w:val="2FD065E6"/>
    <w:rsid w:val="2FD530F7"/>
    <w:rsid w:val="2FD967C5"/>
    <w:rsid w:val="2FD96870"/>
    <w:rsid w:val="2FDF137A"/>
    <w:rsid w:val="2FDF33FF"/>
    <w:rsid w:val="2FE01C9D"/>
    <w:rsid w:val="2FE3649A"/>
    <w:rsid w:val="2FF16992"/>
    <w:rsid w:val="2FF50015"/>
    <w:rsid w:val="2FF722FC"/>
    <w:rsid w:val="2FFD5337"/>
    <w:rsid w:val="3007303A"/>
    <w:rsid w:val="30073ABF"/>
    <w:rsid w:val="300C1925"/>
    <w:rsid w:val="30133D4B"/>
    <w:rsid w:val="30134B9E"/>
    <w:rsid w:val="301B4509"/>
    <w:rsid w:val="301B57BD"/>
    <w:rsid w:val="3024074A"/>
    <w:rsid w:val="302527A4"/>
    <w:rsid w:val="3029612C"/>
    <w:rsid w:val="302C7E1F"/>
    <w:rsid w:val="302E0AEA"/>
    <w:rsid w:val="302F3D27"/>
    <w:rsid w:val="30337038"/>
    <w:rsid w:val="303C5CA5"/>
    <w:rsid w:val="303D124F"/>
    <w:rsid w:val="303E14AB"/>
    <w:rsid w:val="303F598D"/>
    <w:rsid w:val="3040652C"/>
    <w:rsid w:val="304363D6"/>
    <w:rsid w:val="3046200A"/>
    <w:rsid w:val="30466CDD"/>
    <w:rsid w:val="30470360"/>
    <w:rsid w:val="304724D1"/>
    <w:rsid w:val="304915DC"/>
    <w:rsid w:val="304A6796"/>
    <w:rsid w:val="304C780D"/>
    <w:rsid w:val="304F314A"/>
    <w:rsid w:val="30501E56"/>
    <w:rsid w:val="30580BC9"/>
    <w:rsid w:val="30586A11"/>
    <w:rsid w:val="306154BD"/>
    <w:rsid w:val="30696528"/>
    <w:rsid w:val="30712CCE"/>
    <w:rsid w:val="3071561C"/>
    <w:rsid w:val="30734B9F"/>
    <w:rsid w:val="30751BC8"/>
    <w:rsid w:val="307637B1"/>
    <w:rsid w:val="30766E97"/>
    <w:rsid w:val="307A0EB7"/>
    <w:rsid w:val="308C120B"/>
    <w:rsid w:val="309317F7"/>
    <w:rsid w:val="3097418D"/>
    <w:rsid w:val="30A446CA"/>
    <w:rsid w:val="30A47041"/>
    <w:rsid w:val="30A6118E"/>
    <w:rsid w:val="30B31B89"/>
    <w:rsid w:val="30B31E99"/>
    <w:rsid w:val="30B3513B"/>
    <w:rsid w:val="30BA2BCD"/>
    <w:rsid w:val="30BA4FD6"/>
    <w:rsid w:val="30C411CF"/>
    <w:rsid w:val="30CA3D76"/>
    <w:rsid w:val="30D05BE1"/>
    <w:rsid w:val="30D2151E"/>
    <w:rsid w:val="30D31EF8"/>
    <w:rsid w:val="30D53BBD"/>
    <w:rsid w:val="30D62402"/>
    <w:rsid w:val="30D81900"/>
    <w:rsid w:val="30DD6F16"/>
    <w:rsid w:val="30DE251B"/>
    <w:rsid w:val="30DF39CE"/>
    <w:rsid w:val="30E06BCF"/>
    <w:rsid w:val="30E56ED7"/>
    <w:rsid w:val="30EA07B2"/>
    <w:rsid w:val="30ED7067"/>
    <w:rsid w:val="30EF68F0"/>
    <w:rsid w:val="30F20773"/>
    <w:rsid w:val="30F21ED1"/>
    <w:rsid w:val="30F236CD"/>
    <w:rsid w:val="30F524B2"/>
    <w:rsid w:val="30F8797A"/>
    <w:rsid w:val="30FB1C87"/>
    <w:rsid w:val="30FC55EE"/>
    <w:rsid w:val="30FE0870"/>
    <w:rsid w:val="30FE3148"/>
    <w:rsid w:val="30FF3071"/>
    <w:rsid w:val="30FF5086"/>
    <w:rsid w:val="310008BD"/>
    <w:rsid w:val="310A799F"/>
    <w:rsid w:val="310B3EA9"/>
    <w:rsid w:val="310C3EF2"/>
    <w:rsid w:val="310D1B06"/>
    <w:rsid w:val="31101099"/>
    <w:rsid w:val="311A0102"/>
    <w:rsid w:val="311E2ED7"/>
    <w:rsid w:val="31251A21"/>
    <w:rsid w:val="312834D6"/>
    <w:rsid w:val="3138415A"/>
    <w:rsid w:val="31445501"/>
    <w:rsid w:val="31456201"/>
    <w:rsid w:val="314B32BF"/>
    <w:rsid w:val="314E3804"/>
    <w:rsid w:val="31523100"/>
    <w:rsid w:val="315619EE"/>
    <w:rsid w:val="3158320C"/>
    <w:rsid w:val="315C449C"/>
    <w:rsid w:val="31630EBB"/>
    <w:rsid w:val="31691E11"/>
    <w:rsid w:val="316A12DE"/>
    <w:rsid w:val="31790F60"/>
    <w:rsid w:val="3179640B"/>
    <w:rsid w:val="31796823"/>
    <w:rsid w:val="317B77CD"/>
    <w:rsid w:val="318122EF"/>
    <w:rsid w:val="31817949"/>
    <w:rsid w:val="31851A28"/>
    <w:rsid w:val="318B7932"/>
    <w:rsid w:val="318F2F4A"/>
    <w:rsid w:val="319846D9"/>
    <w:rsid w:val="31A412FD"/>
    <w:rsid w:val="31A9078A"/>
    <w:rsid w:val="31A97F60"/>
    <w:rsid w:val="31B14FB7"/>
    <w:rsid w:val="31B47F6E"/>
    <w:rsid w:val="31B82709"/>
    <w:rsid w:val="31BA1C29"/>
    <w:rsid w:val="31BC4D7D"/>
    <w:rsid w:val="31C111E4"/>
    <w:rsid w:val="31C5732F"/>
    <w:rsid w:val="31C65480"/>
    <w:rsid w:val="31C73F29"/>
    <w:rsid w:val="31CE34E0"/>
    <w:rsid w:val="31CF3EBA"/>
    <w:rsid w:val="31D04385"/>
    <w:rsid w:val="31D05482"/>
    <w:rsid w:val="31D10ACA"/>
    <w:rsid w:val="31D67BED"/>
    <w:rsid w:val="31D75713"/>
    <w:rsid w:val="31DA592D"/>
    <w:rsid w:val="31E56082"/>
    <w:rsid w:val="31E6045D"/>
    <w:rsid w:val="31E9713A"/>
    <w:rsid w:val="31EA7F96"/>
    <w:rsid w:val="31EB55B2"/>
    <w:rsid w:val="31EC1380"/>
    <w:rsid w:val="31EE7C40"/>
    <w:rsid w:val="31F91B2E"/>
    <w:rsid w:val="320209E2"/>
    <w:rsid w:val="3203475A"/>
    <w:rsid w:val="320F1351"/>
    <w:rsid w:val="32100EC2"/>
    <w:rsid w:val="32110C25"/>
    <w:rsid w:val="32117F60"/>
    <w:rsid w:val="3214691B"/>
    <w:rsid w:val="32166A31"/>
    <w:rsid w:val="321E3783"/>
    <w:rsid w:val="32201CFB"/>
    <w:rsid w:val="32226614"/>
    <w:rsid w:val="322B6DD1"/>
    <w:rsid w:val="322E4F1A"/>
    <w:rsid w:val="322E7A50"/>
    <w:rsid w:val="322F3A2D"/>
    <w:rsid w:val="32345D8C"/>
    <w:rsid w:val="32346EEE"/>
    <w:rsid w:val="323A4CC0"/>
    <w:rsid w:val="323B5CA2"/>
    <w:rsid w:val="323D42A7"/>
    <w:rsid w:val="323E14E0"/>
    <w:rsid w:val="32400B34"/>
    <w:rsid w:val="324013E1"/>
    <w:rsid w:val="324125CF"/>
    <w:rsid w:val="32463A4A"/>
    <w:rsid w:val="32472899"/>
    <w:rsid w:val="32473DC7"/>
    <w:rsid w:val="32485077"/>
    <w:rsid w:val="325904C6"/>
    <w:rsid w:val="32594190"/>
    <w:rsid w:val="325B2EC3"/>
    <w:rsid w:val="325B5DC2"/>
    <w:rsid w:val="32615C13"/>
    <w:rsid w:val="3267427F"/>
    <w:rsid w:val="326867DA"/>
    <w:rsid w:val="326C4B0B"/>
    <w:rsid w:val="32753A64"/>
    <w:rsid w:val="327F557C"/>
    <w:rsid w:val="32851613"/>
    <w:rsid w:val="328A776F"/>
    <w:rsid w:val="328D0611"/>
    <w:rsid w:val="329052B4"/>
    <w:rsid w:val="3294759C"/>
    <w:rsid w:val="32953D1F"/>
    <w:rsid w:val="32987598"/>
    <w:rsid w:val="329A654D"/>
    <w:rsid w:val="329E3FCC"/>
    <w:rsid w:val="329E6876"/>
    <w:rsid w:val="32A001FB"/>
    <w:rsid w:val="32A105F9"/>
    <w:rsid w:val="32A12C13"/>
    <w:rsid w:val="32A464FC"/>
    <w:rsid w:val="32A64280"/>
    <w:rsid w:val="32AE391B"/>
    <w:rsid w:val="32B1215D"/>
    <w:rsid w:val="32B6532D"/>
    <w:rsid w:val="32B9116A"/>
    <w:rsid w:val="32C97752"/>
    <w:rsid w:val="32CA59BB"/>
    <w:rsid w:val="32CE60C6"/>
    <w:rsid w:val="32D13B20"/>
    <w:rsid w:val="32D57AA2"/>
    <w:rsid w:val="32D81743"/>
    <w:rsid w:val="32D842B5"/>
    <w:rsid w:val="32D97B55"/>
    <w:rsid w:val="32DA76EB"/>
    <w:rsid w:val="32DC0EB2"/>
    <w:rsid w:val="32DF36FA"/>
    <w:rsid w:val="32E04E37"/>
    <w:rsid w:val="32E357AF"/>
    <w:rsid w:val="32E469EC"/>
    <w:rsid w:val="32E61066"/>
    <w:rsid w:val="32EE0F67"/>
    <w:rsid w:val="32EF66DA"/>
    <w:rsid w:val="32F04CDF"/>
    <w:rsid w:val="32F1104E"/>
    <w:rsid w:val="32F17C51"/>
    <w:rsid w:val="32F26CA9"/>
    <w:rsid w:val="32F7059A"/>
    <w:rsid w:val="32F9120A"/>
    <w:rsid w:val="32F92E88"/>
    <w:rsid w:val="330662B0"/>
    <w:rsid w:val="3308096F"/>
    <w:rsid w:val="330A7E94"/>
    <w:rsid w:val="33107D3E"/>
    <w:rsid w:val="33150B28"/>
    <w:rsid w:val="331733D6"/>
    <w:rsid w:val="33185FE3"/>
    <w:rsid w:val="331B3537"/>
    <w:rsid w:val="33214E7F"/>
    <w:rsid w:val="33224D31"/>
    <w:rsid w:val="332E3A59"/>
    <w:rsid w:val="332E6651"/>
    <w:rsid w:val="33300193"/>
    <w:rsid w:val="333015F2"/>
    <w:rsid w:val="33301EA4"/>
    <w:rsid w:val="333177B9"/>
    <w:rsid w:val="333A47A4"/>
    <w:rsid w:val="333C539B"/>
    <w:rsid w:val="333D0B2E"/>
    <w:rsid w:val="3341209D"/>
    <w:rsid w:val="33446DC6"/>
    <w:rsid w:val="33447B02"/>
    <w:rsid w:val="33455CDD"/>
    <w:rsid w:val="33492892"/>
    <w:rsid w:val="334B6320"/>
    <w:rsid w:val="334C7D3D"/>
    <w:rsid w:val="33530AC5"/>
    <w:rsid w:val="33550031"/>
    <w:rsid w:val="33563502"/>
    <w:rsid w:val="33587978"/>
    <w:rsid w:val="3359561A"/>
    <w:rsid w:val="335A3D9A"/>
    <w:rsid w:val="335F0F56"/>
    <w:rsid w:val="336125BF"/>
    <w:rsid w:val="336163AD"/>
    <w:rsid w:val="33661445"/>
    <w:rsid w:val="336A0A16"/>
    <w:rsid w:val="336D08D2"/>
    <w:rsid w:val="337055BF"/>
    <w:rsid w:val="33761549"/>
    <w:rsid w:val="337930D8"/>
    <w:rsid w:val="337B12E0"/>
    <w:rsid w:val="337D170B"/>
    <w:rsid w:val="337E0CCA"/>
    <w:rsid w:val="338120A0"/>
    <w:rsid w:val="33830AF9"/>
    <w:rsid w:val="33867AAC"/>
    <w:rsid w:val="33962A97"/>
    <w:rsid w:val="339C6010"/>
    <w:rsid w:val="339D6668"/>
    <w:rsid w:val="339E6435"/>
    <w:rsid w:val="339F6B00"/>
    <w:rsid w:val="33A45AC9"/>
    <w:rsid w:val="33A539C4"/>
    <w:rsid w:val="33B20171"/>
    <w:rsid w:val="33BA4C00"/>
    <w:rsid w:val="33BC64E1"/>
    <w:rsid w:val="33C06DA7"/>
    <w:rsid w:val="33C20FB2"/>
    <w:rsid w:val="33C64AFC"/>
    <w:rsid w:val="33C770DC"/>
    <w:rsid w:val="33CC0756"/>
    <w:rsid w:val="33CC7E69"/>
    <w:rsid w:val="33D04B10"/>
    <w:rsid w:val="33D14004"/>
    <w:rsid w:val="33D208D7"/>
    <w:rsid w:val="33D26F73"/>
    <w:rsid w:val="33D27B05"/>
    <w:rsid w:val="33D50DEF"/>
    <w:rsid w:val="33D934D4"/>
    <w:rsid w:val="33DA4B1D"/>
    <w:rsid w:val="33DE146F"/>
    <w:rsid w:val="33DE4BF8"/>
    <w:rsid w:val="33E14F77"/>
    <w:rsid w:val="33E7148D"/>
    <w:rsid w:val="33E74334"/>
    <w:rsid w:val="33F10455"/>
    <w:rsid w:val="33F23579"/>
    <w:rsid w:val="33F56325"/>
    <w:rsid w:val="33F9586D"/>
    <w:rsid w:val="33FE2F6A"/>
    <w:rsid w:val="33FF7A66"/>
    <w:rsid w:val="34014F9C"/>
    <w:rsid w:val="34034EE6"/>
    <w:rsid w:val="34071B5F"/>
    <w:rsid w:val="340B0FB6"/>
    <w:rsid w:val="340E07E5"/>
    <w:rsid w:val="340F3B4A"/>
    <w:rsid w:val="34127C56"/>
    <w:rsid w:val="34155E11"/>
    <w:rsid w:val="341D2663"/>
    <w:rsid w:val="341E2F1E"/>
    <w:rsid w:val="342110E6"/>
    <w:rsid w:val="342244AB"/>
    <w:rsid w:val="34235BF7"/>
    <w:rsid w:val="34277470"/>
    <w:rsid w:val="342B29A4"/>
    <w:rsid w:val="342D0DD0"/>
    <w:rsid w:val="342F7AA3"/>
    <w:rsid w:val="34300995"/>
    <w:rsid w:val="34310904"/>
    <w:rsid w:val="343177B9"/>
    <w:rsid w:val="344D4BBE"/>
    <w:rsid w:val="34513BC3"/>
    <w:rsid w:val="345E431C"/>
    <w:rsid w:val="3463108F"/>
    <w:rsid w:val="34633882"/>
    <w:rsid w:val="34675474"/>
    <w:rsid w:val="34694C2C"/>
    <w:rsid w:val="346C7CD4"/>
    <w:rsid w:val="346F06FA"/>
    <w:rsid w:val="347100A1"/>
    <w:rsid w:val="347627E8"/>
    <w:rsid w:val="34790771"/>
    <w:rsid w:val="34806E53"/>
    <w:rsid w:val="348222AE"/>
    <w:rsid w:val="348724D7"/>
    <w:rsid w:val="348F2C36"/>
    <w:rsid w:val="3492347E"/>
    <w:rsid w:val="349667BA"/>
    <w:rsid w:val="349B511E"/>
    <w:rsid w:val="34A160F0"/>
    <w:rsid w:val="34A47E5D"/>
    <w:rsid w:val="34AF1984"/>
    <w:rsid w:val="34B25914"/>
    <w:rsid w:val="34BA3D57"/>
    <w:rsid w:val="34BB5F5F"/>
    <w:rsid w:val="34C10D54"/>
    <w:rsid w:val="34CB2718"/>
    <w:rsid w:val="34CE1BCE"/>
    <w:rsid w:val="34D1153F"/>
    <w:rsid w:val="34DA64C3"/>
    <w:rsid w:val="34DD662F"/>
    <w:rsid w:val="34E16D16"/>
    <w:rsid w:val="34E7786C"/>
    <w:rsid w:val="34E84184"/>
    <w:rsid w:val="34ED3096"/>
    <w:rsid w:val="34F12F90"/>
    <w:rsid w:val="34F52A80"/>
    <w:rsid w:val="350172A3"/>
    <w:rsid w:val="350608B2"/>
    <w:rsid w:val="35082F60"/>
    <w:rsid w:val="350E30EA"/>
    <w:rsid w:val="351129E8"/>
    <w:rsid w:val="35152803"/>
    <w:rsid w:val="351C4754"/>
    <w:rsid w:val="351F5A54"/>
    <w:rsid w:val="352349C9"/>
    <w:rsid w:val="352670DE"/>
    <w:rsid w:val="3529097C"/>
    <w:rsid w:val="35293799"/>
    <w:rsid w:val="352E1AEE"/>
    <w:rsid w:val="3538471B"/>
    <w:rsid w:val="353910B7"/>
    <w:rsid w:val="353B2893"/>
    <w:rsid w:val="353D58AF"/>
    <w:rsid w:val="353F2EFD"/>
    <w:rsid w:val="353F3CFB"/>
    <w:rsid w:val="35483FC9"/>
    <w:rsid w:val="354B08F2"/>
    <w:rsid w:val="354E3B8F"/>
    <w:rsid w:val="354E492D"/>
    <w:rsid w:val="35591A3B"/>
    <w:rsid w:val="35595C0A"/>
    <w:rsid w:val="355B2736"/>
    <w:rsid w:val="355C3ED6"/>
    <w:rsid w:val="355D2B6D"/>
    <w:rsid w:val="355F439E"/>
    <w:rsid w:val="3563127A"/>
    <w:rsid w:val="356C2617"/>
    <w:rsid w:val="356F66DB"/>
    <w:rsid w:val="357065AB"/>
    <w:rsid w:val="35714FC1"/>
    <w:rsid w:val="357158E5"/>
    <w:rsid w:val="35762E24"/>
    <w:rsid w:val="35804120"/>
    <w:rsid w:val="35856DD3"/>
    <w:rsid w:val="35871A47"/>
    <w:rsid w:val="3589251A"/>
    <w:rsid w:val="358C5FA8"/>
    <w:rsid w:val="359027A9"/>
    <w:rsid w:val="359532B2"/>
    <w:rsid w:val="359F2301"/>
    <w:rsid w:val="35A443CF"/>
    <w:rsid w:val="35A76C38"/>
    <w:rsid w:val="35A83D34"/>
    <w:rsid w:val="35A90EA2"/>
    <w:rsid w:val="35AD36FE"/>
    <w:rsid w:val="35B71721"/>
    <w:rsid w:val="35B86633"/>
    <w:rsid w:val="35BA7E46"/>
    <w:rsid w:val="35BC5822"/>
    <w:rsid w:val="35BF04DA"/>
    <w:rsid w:val="35C15DF1"/>
    <w:rsid w:val="35C1744D"/>
    <w:rsid w:val="35C30A55"/>
    <w:rsid w:val="35C7048D"/>
    <w:rsid w:val="35CE46AE"/>
    <w:rsid w:val="35CF32D1"/>
    <w:rsid w:val="35D339CA"/>
    <w:rsid w:val="35D51E56"/>
    <w:rsid w:val="35D63145"/>
    <w:rsid w:val="35DF1FF2"/>
    <w:rsid w:val="35E0390B"/>
    <w:rsid w:val="35E23729"/>
    <w:rsid w:val="35E420FB"/>
    <w:rsid w:val="35E6061B"/>
    <w:rsid w:val="35E75E63"/>
    <w:rsid w:val="35E9112E"/>
    <w:rsid w:val="35ED10F0"/>
    <w:rsid w:val="35EE5A12"/>
    <w:rsid w:val="35EF4AB0"/>
    <w:rsid w:val="35F745D6"/>
    <w:rsid w:val="35FF44C7"/>
    <w:rsid w:val="360615FF"/>
    <w:rsid w:val="36074A7F"/>
    <w:rsid w:val="360A5BF0"/>
    <w:rsid w:val="36154A5C"/>
    <w:rsid w:val="361651B5"/>
    <w:rsid w:val="36182BC5"/>
    <w:rsid w:val="36195F56"/>
    <w:rsid w:val="361B4126"/>
    <w:rsid w:val="361F4240"/>
    <w:rsid w:val="36203B2D"/>
    <w:rsid w:val="36220F07"/>
    <w:rsid w:val="3625245F"/>
    <w:rsid w:val="36252D9A"/>
    <w:rsid w:val="362A1092"/>
    <w:rsid w:val="362F0EA3"/>
    <w:rsid w:val="363220A5"/>
    <w:rsid w:val="36380975"/>
    <w:rsid w:val="363D2DBF"/>
    <w:rsid w:val="36404DF6"/>
    <w:rsid w:val="364B2F64"/>
    <w:rsid w:val="3650458C"/>
    <w:rsid w:val="36621745"/>
    <w:rsid w:val="36622AC7"/>
    <w:rsid w:val="36683C05"/>
    <w:rsid w:val="366854D4"/>
    <w:rsid w:val="366A14CB"/>
    <w:rsid w:val="366B6B07"/>
    <w:rsid w:val="366D0AD2"/>
    <w:rsid w:val="366D4898"/>
    <w:rsid w:val="366E273C"/>
    <w:rsid w:val="3670428D"/>
    <w:rsid w:val="367125DA"/>
    <w:rsid w:val="36721987"/>
    <w:rsid w:val="36730D18"/>
    <w:rsid w:val="36731ADE"/>
    <w:rsid w:val="367774C5"/>
    <w:rsid w:val="3679323D"/>
    <w:rsid w:val="367D0F7F"/>
    <w:rsid w:val="368340BC"/>
    <w:rsid w:val="3684730B"/>
    <w:rsid w:val="368A6F17"/>
    <w:rsid w:val="368C11C2"/>
    <w:rsid w:val="36904B94"/>
    <w:rsid w:val="36910587"/>
    <w:rsid w:val="369167C3"/>
    <w:rsid w:val="36923549"/>
    <w:rsid w:val="36941E25"/>
    <w:rsid w:val="369420F1"/>
    <w:rsid w:val="36950DC3"/>
    <w:rsid w:val="36954F76"/>
    <w:rsid w:val="36962C77"/>
    <w:rsid w:val="36997418"/>
    <w:rsid w:val="369D6F2B"/>
    <w:rsid w:val="36A07BD4"/>
    <w:rsid w:val="36AC53C0"/>
    <w:rsid w:val="36AF3103"/>
    <w:rsid w:val="36B204FD"/>
    <w:rsid w:val="36B349A1"/>
    <w:rsid w:val="36B44417"/>
    <w:rsid w:val="36B6732D"/>
    <w:rsid w:val="36B75FBF"/>
    <w:rsid w:val="36B81835"/>
    <w:rsid w:val="36BD0C45"/>
    <w:rsid w:val="36BF1DC2"/>
    <w:rsid w:val="36C73FA8"/>
    <w:rsid w:val="36C80DD6"/>
    <w:rsid w:val="36CC39C1"/>
    <w:rsid w:val="36D252DB"/>
    <w:rsid w:val="36D525A8"/>
    <w:rsid w:val="36D52B69"/>
    <w:rsid w:val="36D66974"/>
    <w:rsid w:val="36E45DD9"/>
    <w:rsid w:val="36E46761"/>
    <w:rsid w:val="36ED4388"/>
    <w:rsid w:val="36F005D5"/>
    <w:rsid w:val="36F17277"/>
    <w:rsid w:val="36F32C31"/>
    <w:rsid w:val="36F85CDC"/>
    <w:rsid w:val="37030A6B"/>
    <w:rsid w:val="37104F81"/>
    <w:rsid w:val="37172E7E"/>
    <w:rsid w:val="371A26C2"/>
    <w:rsid w:val="371F2AA0"/>
    <w:rsid w:val="371F7479"/>
    <w:rsid w:val="37225683"/>
    <w:rsid w:val="37294FA5"/>
    <w:rsid w:val="372B1B0F"/>
    <w:rsid w:val="372B6BAA"/>
    <w:rsid w:val="37371B9F"/>
    <w:rsid w:val="37387E60"/>
    <w:rsid w:val="37393361"/>
    <w:rsid w:val="37427AD3"/>
    <w:rsid w:val="37461944"/>
    <w:rsid w:val="37476E97"/>
    <w:rsid w:val="374B578D"/>
    <w:rsid w:val="374B5AF8"/>
    <w:rsid w:val="374C526C"/>
    <w:rsid w:val="374D0801"/>
    <w:rsid w:val="37545B03"/>
    <w:rsid w:val="3756057C"/>
    <w:rsid w:val="37576944"/>
    <w:rsid w:val="375B0701"/>
    <w:rsid w:val="375B7373"/>
    <w:rsid w:val="375C2D9B"/>
    <w:rsid w:val="375D2B5F"/>
    <w:rsid w:val="37617E22"/>
    <w:rsid w:val="37643EED"/>
    <w:rsid w:val="376A7EFE"/>
    <w:rsid w:val="376D79CE"/>
    <w:rsid w:val="376E6505"/>
    <w:rsid w:val="376F381A"/>
    <w:rsid w:val="37762904"/>
    <w:rsid w:val="377F4CDC"/>
    <w:rsid w:val="37827FA7"/>
    <w:rsid w:val="37841008"/>
    <w:rsid w:val="37861865"/>
    <w:rsid w:val="37955E55"/>
    <w:rsid w:val="37994B3D"/>
    <w:rsid w:val="379F09BA"/>
    <w:rsid w:val="379F1188"/>
    <w:rsid w:val="37A35753"/>
    <w:rsid w:val="37AA707F"/>
    <w:rsid w:val="37AE37D0"/>
    <w:rsid w:val="37B47C50"/>
    <w:rsid w:val="37B73AA1"/>
    <w:rsid w:val="37BD197A"/>
    <w:rsid w:val="37BE08D5"/>
    <w:rsid w:val="37C369CC"/>
    <w:rsid w:val="37C6618A"/>
    <w:rsid w:val="37C75A47"/>
    <w:rsid w:val="37C94545"/>
    <w:rsid w:val="37CF0338"/>
    <w:rsid w:val="37D01571"/>
    <w:rsid w:val="37DA3BB1"/>
    <w:rsid w:val="37DC5883"/>
    <w:rsid w:val="37DE77FC"/>
    <w:rsid w:val="37DF3574"/>
    <w:rsid w:val="37DF7706"/>
    <w:rsid w:val="37E00298"/>
    <w:rsid w:val="37E66CE8"/>
    <w:rsid w:val="37EB7CF5"/>
    <w:rsid w:val="37EF5E48"/>
    <w:rsid w:val="37F03B4C"/>
    <w:rsid w:val="37F20B5E"/>
    <w:rsid w:val="37F5303D"/>
    <w:rsid w:val="37F91DFC"/>
    <w:rsid w:val="37FC5ED4"/>
    <w:rsid w:val="38071826"/>
    <w:rsid w:val="38083E7D"/>
    <w:rsid w:val="380D0185"/>
    <w:rsid w:val="380F5C07"/>
    <w:rsid w:val="381059C0"/>
    <w:rsid w:val="381D4D59"/>
    <w:rsid w:val="382A0B36"/>
    <w:rsid w:val="383346B4"/>
    <w:rsid w:val="38342120"/>
    <w:rsid w:val="383764D8"/>
    <w:rsid w:val="38394CE3"/>
    <w:rsid w:val="38422BA3"/>
    <w:rsid w:val="38431D54"/>
    <w:rsid w:val="384350CA"/>
    <w:rsid w:val="38436685"/>
    <w:rsid w:val="384426A4"/>
    <w:rsid w:val="384855BD"/>
    <w:rsid w:val="384A6C3F"/>
    <w:rsid w:val="38507F7D"/>
    <w:rsid w:val="385176F1"/>
    <w:rsid w:val="385201EA"/>
    <w:rsid w:val="38555854"/>
    <w:rsid w:val="385B041C"/>
    <w:rsid w:val="385C5D8D"/>
    <w:rsid w:val="385E1859"/>
    <w:rsid w:val="385F6A69"/>
    <w:rsid w:val="38601D19"/>
    <w:rsid w:val="38693560"/>
    <w:rsid w:val="386A0303"/>
    <w:rsid w:val="386F3993"/>
    <w:rsid w:val="38743CBC"/>
    <w:rsid w:val="38744B38"/>
    <w:rsid w:val="3877581E"/>
    <w:rsid w:val="38795776"/>
    <w:rsid w:val="387F0483"/>
    <w:rsid w:val="388218D6"/>
    <w:rsid w:val="38926E32"/>
    <w:rsid w:val="389E29AC"/>
    <w:rsid w:val="38A74DA6"/>
    <w:rsid w:val="38A80CA9"/>
    <w:rsid w:val="38A85D94"/>
    <w:rsid w:val="38AD702E"/>
    <w:rsid w:val="38B302F9"/>
    <w:rsid w:val="38B44734"/>
    <w:rsid w:val="38B46719"/>
    <w:rsid w:val="38B95544"/>
    <w:rsid w:val="38BB4FFE"/>
    <w:rsid w:val="38BB5D8F"/>
    <w:rsid w:val="38BC456E"/>
    <w:rsid w:val="38BE4471"/>
    <w:rsid w:val="38CB1CF8"/>
    <w:rsid w:val="38CB553C"/>
    <w:rsid w:val="38CF2505"/>
    <w:rsid w:val="38D418DF"/>
    <w:rsid w:val="38DC2F17"/>
    <w:rsid w:val="38DF0C59"/>
    <w:rsid w:val="38DF1A0D"/>
    <w:rsid w:val="38EC7CF6"/>
    <w:rsid w:val="38EE5692"/>
    <w:rsid w:val="38EF75D2"/>
    <w:rsid w:val="38F02E97"/>
    <w:rsid w:val="38F12CD3"/>
    <w:rsid w:val="38F41744"/>
    <w:rsid w:val="38F924F1"/>
    <w:rsid w:val="38F94775"/>
    <w:rsid w:val="38FD76BA"/>
    <w:rsid w:val="39044FEF"/>
    <w:rsid w:val="39085D74"/>
    <w:rsid w:val="390B0E31"/>
    <w:rsid w:val="390B6A83"/>
    <w:rsid w:val="390C0E52"/>
    <w:rsid w:val="39136160"/>
    <w:rsid w:val="39177242"/>
    <w:rsid w:val="39201DB3"/>
    <w:rsid w:val="39220D07"/>
    <w:rsid w:val="39243934"/>
    <w:rsid w:val="3927370A"/>
    <w:rsid w:val="392842A9"/>
    <w:rsid w:val="392971ED"/>
    <w:rsid w:val="39297DD7"/>
    <w:rsid w:val="392B222A"/>
    <w:rsid w:val="392E04D8"/>
    <w:rsid w:val="39325651"/>
    <w:rsid w:val="39352385"/>
    <w:rsid w:val="394B7113"/>
    <w:rsid w:val="395F56BA"/>
    <w:rsid w:val="39602FD7"/>
    <w:rsid w:val="3964226A"/>
    <w:rsid w:val="3969728B"/>
    <w:rsid w:val="397358EA"/>
    <w:rsid w:val="39760F87"/>
    <w:rsid w:val="39797168"/>
    <w:rsid w:val="397B36BA"/>
    <w:rsid w:val="397E0B1B"/>
    <w:rsid w:val="397F0B66"/>
    <w:rsid w:val="39820561"/>
    <w:rsid w:val="398A41CF"/>
    <w:rsid w:val="398E0FAA"/>
    <w:rsid w:val="399555D5"/>
    <w:rsid w:val="399625DA"/>
    <w:rsid w:val="39994973"/>
    <w:rsid w:val="399B0698"/>
    <w:rsid w:val="399D1175"/>
    <w:rsid w:val="399F5A3C"/>
    <w:rsid w:val="39A04E85"/>
    <w:rsid w:val="39A67795"/>
    <w:rsid w:val="39AC19A8"/>
    <w:rsid w:val="39B7253F"/>
    <w:rsid w:val="39B92E05"/>
    <w:rsid w:val="39BF540B"/>
    <w:rsid w:val="39C04A6F"/>
    <w:rsid w:val="39C255E2"/>
    <w:rsid w:val="39C43818"/>
    <w:rsid w:val="39C5219B"/>
    <w:rsid w:val="39C76D40"/>
    <w:rsid w:val="39C84657"/>
    <w:rsid w:val="39CA5389"/>
    <w:rsid w:val="39CC2A82"/>
    <w:rsid w:val="39CC43ED"/>
    <w:rsid w:val="39D32C64"/>
    <w:rsid w:val="39D3372E"/>
    <w:rsid w:val="39D43B32"/>
    <w:rsid w:val="39D57883"/>
    <w:rsid w:val="39DC26B4"/>
    <w:rsid w:val="39E66E3B"/>
    <w:rsid w:val="39E7174C"/>
    <w:rsid w:val="39E81075"/>
    <w:rsid w:val="39EE43B2"/>
    <w:rsid w:val="39F1056C"/>
    <w:rsid w:val="39F63BBE"/>
    <w:rsid w:val="39F94DC1"/>
    <w:rsid w:val="39F95634"/>
    <w:rsid w:val="39FA45F1"/>
    <w:rsid w:val="39FF1CAB"/>
    <w:rsid w:val="3A002409"/>
    <w:rsid w:val="3A013776"/>
    <w:rsid w:val="3A0E4C4C"/>
    <w:rsid w:val="3A0F1BD5"/>
    <w:rsid w:val="3A106F28"/>
    <w:rsid w:val="3A123EB0"/>
    <w:rsid w:val="3A141A1A"/>
    <w:rsid w:val="3A1C460B"/>
    <w:rsid w:val="3A211C22"/>
    <w:rsid w:val="3A2C7F77"/>
    <w:rsid w:val="3A2F3B7A"/>
    <w:rsid w:val="3A3B1B3A"/>
    <w:rsid w:val="3A3D1894"/>
    <w:rsid w:val="3A3E21CB"/>
    <w:rsid w:val="3A400C49"/>
    <w:rsid w:val="3A425AAD"/>
    <w:rsid w:val="3A571AE7"/>
    <w:rsid w:val="3A583AA0"/>
    <w:rsid w:val="3A5B15D7"/>
    <w:rsid w:val="3A5C46AA"/>
    <w:rsid w:val="3A5E1C16"/>
    <w:rsid w:val="3A60099C"/>
    <w:rsid w:val="3A647D60"/>
    <w:rsid w:val="3A695377"/>
    <w:rsid w:val="3A706E7F"/>
    <w:rsid w:val="3A737164"/>
    <w:rsid w:val="3A7664FB"/>
    <w:rsid w:val="3A7C32FC"/>
    <w:rsid w:val="3A7D09AD"/>
    <w:rsid w:val="3A7F0825"/>
    <w:rsid w:val="3A844D63"/>
    <w:rsid w:val="3A872856"/>
    <w:rsid w:val="3A8A0C63"/>
    <w:rsid w:val="3A8A5A19"/>
    <w:rsid w:val="3A8F1281"/>
    <w:rsid w:val="3A983A4B"/>
    <w:rsid w:val="3A9A0020"/>
    <w:rsid w:val="3A9A30B6"/>
    <w:rsid w:val="3A9E31C0"/>
    <w:rsid w:val="3AA0577F"/>
    <w:rsid w:val="3AA0624D"/>
    <w:rsid w:val="3AAB6E0A"/>
    <w:rsid w:val="3AAF5187"/>
    <w:rsid w:val="3AB168FE"/>
    <w:rsid w:val="3AB17449"/>
    <w:rsid w:val="3AB759E5"/>
    <w:rsid w:val="3ABE39A0"/>
    <w:rsid w:val="3AC151B3"/>
    <w:rsid w:val="3AC20733"/>
    <w:rsid w:val="3AC43D3E"/>
    <w:rsid w:val="3AC457A4"/>
    <w:rsid w:val="3AC727C9"/>
    <w:rsid w:val="3ACA3BF7"/>
    <w:rsid w:val="3ACC6031"/>
    <w:rsid w:val="3ACC7770"/>
    <w:rsid w:val="3AD13648"/>
    <w:rsid w:val="3AD2717E"/>
    <w:rsid w:val="3AD64BEA"/>
    <w:rsid w:val="3AD7765E"/>
    <w:rsid w:val="3AD85BBC"/>
    <w:rsid w:val="3ADC3D9A"/>
    <w:rsid w:val="3AE203DC"/>
    <w:rsid w:val="3AE83F75"/>
    <w:rsid w:val="3AEB31E7"/>
    <w:rsid w:val="3AEE22E7"/>
    <w:rsid w:val="3AF877BA"/>
    <w:rsid w:val="3AFD443D"/>
    <w:rsid w:val="3AFD44E9"/>
    <w:rsid w:val="3AFE34B7"/>
    <w:rsid w:val="3B035F28"/>
    <w:rsid w:val="3B0559B1"/>
    <w:rsid w:val="3B06788C"/>
    <w:rsid w:val="3B0A351D"/>
    <w:rsid w:val="3B0E664A"/>
    <w:rsid w:val="3B113B75"/>
    <w:rsid w:val="3B130EC7"/>
    <w:rsid w:val="3B190B4B"/>
    <w:rsid w:val="3B1B2B15"/>
    <w:rsid w:val="3B1C4C6D"/>
    <w:rsid w:val="3B221FA4"/>
    <w:rsid w:val="3B2368C1"/>
    <w:rsid w:val="3B255D13"/>
    <w:rsid w:val="3B2A6027"/>
    <w:rsid w:val="3B2A71FC"/>
    <w:rsid w:val="3B2E0B86"/>
    <w:rsid w:val="3B3763D1"/>
    <w:rsid w:val="3B381A8E"/>
    <w:rsid w:val="3B3A06F9"/>
    <w:rsid w:val="3B3B31B7"/>
    <w:rsid w:val="3B427CF9"/>
    <w:rsid w:val="3B451F37"/>
    <w:rsid w:val="3B4E4C98"/>
    <w:rsid w:val="3B4E5877"/>
    <w:rsid w:val="3B4E6A46"/>
    <w:rsid w:val="3B5443C4"/>
    <w:rsid w:val="3B5518BE"/>
    <w:rsid w:val="3B561D9F"/>
    <w:rsid w:val="3B583DBF"/>
    <w:rsid w:val="3B5A1EC4"/>
    <w:rsid w:val="3B615BF5"/>
    <w:rsid w:val="3B6302E2"/>
    <w:rsid w:val="3B675D5A"/>
    <w:rsid w:val="3B6837F4"/>
    <w:rsid w:val="3B6A4128"/>
    <w:rsid w:val="3B6F4C0F"/>
    <w:rsid w:val="3B706587"/>
    <w:rsid w:val="3B716BE4"/>
    <w:rsid w:val="3B723A28"/>
    <w:rsid w:val="3B7B1C49"/>
    <w:rsid w:val="3B7B4C89"/>
    <w:rsid w:val="3B7F2323"/>
    <w:rsid w:val="3B8538E9"/>
    <w:rsid w:val="3B8C1FA8"/>
    <w:rsid w:val="3B8D00E1"/>
    <w:rsid w:val="3B922EDF"/>
    <w:rsid w:val="3B9A7EDD"/>
    <w:rsid w:val="3B9F6069"/>
    <w:rsid w:val="3BA06DE6"/>
    <w:rsid w:val="3BA9018C"/>
    <w:rsid w:val="3BAF29AF"/>
    <w:rsid w:val="3BB01B00"/>
    <w:rsid w:val="3BB222F8"/>
    <w:rsid w:val="3BC01FB5"/>
    <w:rsid w:val="3BC96A15"/>
    <w:rsid w:val="3BCB411B"/>
    <w:rsid w:val="3BD108FE"/>
    <w:rsid w:val="3BD7523E"/>
    <w:rsid w:val="3BD778AE"/>
    <w:rsid w:val="3BD86C58"/>
    <w:rsid w:val="3BDE2103"/>
    <w:rsid w:val="3BDF0A15"/>
    <w:rsid w:val="3BE13D5E"/>
    <w:rsid w:val="3BE222D1"/>
    <w:rsid w:val="3BE50D48"/>
    <w:rsid w:val="3BE519B4"/>
    <w:rsid w:val="3BE579FF"/>
    <w:rsid w:val="3BE712C4"/>
    <w:rsid w:val="3BED0B73"/>
    <w:rsid w:val="3BEE0229"/>
    <w:rsid w:val="3BF95123"/>
    <w:rsid w:val="3BFD114C"/>
    <w:rsid w:val="3BFD7E69"/>
    <w:rsid w:val="3BFF2BBB"/>
    <w:rsid w:val="3BFF330E"/>
    <w:rsid w:val="3C033842"/>
    <w:rsid w:val="3C154B9F"/>
    <w:rsid w:val="3C1C4D96"/>
    <w:rsid w:val="3C2F6E1E"/>
    <w:rsid w:val="3C334F54"/>
    <w:rsid w:val="3C345180"/>
    <w:rsid w:val="3C34670C"/>
    <w:rsid w:val="3C3519B4"/>
    <w:rsid w:val="3C36287B"/>
    <w:rsid w:val="3C37320A"/>
    <w:rsid w:val="3C38592A"/>
    <w:rsid w:val="3C3B0FB9"/>
    <w:rsid w:val="3C3E6B5F"/>
    <w:rsid w:val="3C4816E7"/>
    <w:rsid w:val="3C4C26CC"/>
    <w:rsid w:val="3C4C366F"/>
    <w:rsid w:val="3C4F64BA"/>
    <w:rsid w:val="3C5F54BB"/>
    <w:rsid w:val="3C616C4D"/>
    <w:rsid w:val="3C664263"/>
    <w:rsid w:val="3C683B38"/>
    <w:rsid w:val="3C6B08A1"/>
    <w:rsid w:val="3C6B41DD"/>
    <w:rsid w:val="3C6C2A49"/>
    <w:rsid w:val="3C6F2075"/>
    <w:rsid w:val="3C7060DA"/>
    <w:rsid w:val="3C70629E"/>
    <w:rsid w:val="3C733C5C"/>
    <w:rsid w:val="3C737430"/>
    <w:rsid w:val="3C75562A"/>
    <w:rsid w:val="3C762181"/>
    <w:rsid w:val="3C777306"/>
    <w:rsid w:val="3C781206"/>
    <w:rsid w:val="3C7A386B"/>
    <w:rsid w:val="3C8334B2"/>
    <w:rsid w:val="3C86116A"/>
    <w:rsid w:val="3C865D05"/>
    <w:rsid w:val="3C8800D3"/>
    <w:rsid w:val="3C8C387D"/>
    <w:rsid w:val="3C905072"/>
    <w:rsid w:val="3C917FE6"/>
    <w:rsid w:val="3C960112"/>
    <w:rsid w:val="3C971ED9"/>
    <w:rsid w:val="3C9D79BD"/>
    <w:rsid w:val="3C9E749D"/>
    <w:rsid w:val="3C9F2C08"/>
    <w:rsid w:val="3CA06A56"/>
    <w:rsid w:val="3CA75DB4"/>
    <w:rsid w:val="3CA9694A"/>
    <w:rsid w:val="3CB50EC3"/>
    <w:rsid w:val="3CBB7A99"/>
    <w:rsid w:val="3CBC3E83"/>
    <w:rsid w:val="3CC12563"/>
    <w:rsid w:val="3CC742E0"/>
    <w:rsid w:val="3CCC3D11"/>
    <w:rsid w:val="3CCE71EB"/>
    <w:rsid w:val="3CDA245A"/>
    <w:rsid w:val="3CDE1ED9"/>
    <w:rsid w:val="3CE27DA1"/>
    <w:rsid w:val="3CE35835"/>
    <w:rsid w:val="3CE73C09"/>
    <w:rsid w:val="3CEE2829"/>
    <w:rsid w:val="3CF4361D"/>
    <w:rsid w:val="3CF66A72"/>
    <w:rsid w:val="3CF950D8"/>
    <w:rsid w:val="3CFB5126"/>
    <w:rsid w:val="3D001FC2"/>
    <w:rsid w:val="3D0106F2"/>
    <w:rsid w:val="3D046EFC"/>
    <w:rsid w:val="3D0573F8"/>
    <w:rsid w:val="3D0E440C"/>
    <w:rsid w:val="3D1E06B7"/>
    <w:rsid w:val="3D22462E"/>
    <w:rsid w:val="3D246AF5"/>
    <w:rsid w:val="3D263D34"/>
    <w:rsid w:val="3D2B2684"/>
    <w:rsid w:val="3D2C1009"/>
    <w:rsid w:val="3D2E14E1"/>
    <w:rsid w:val="3D324146"/>
    <w:rsid w:val="3D355FF0"/>
    <w:rsid w:val="3D3969F8"/>
    <w:rsid w:val="3D3C66AD"/>
    <w:rsid w:val="3D3D5750"/>
    <w:rsid w:val="3D3E0D3C"/>
    <w:rsid w:val="3D3E0DF2"/>
    <w:rsid w:val="3D440462"/>
    <w:rsid w:val="3D5045E3"/>
    <w:rsid w:val="3D504B04"/>
    <w:rsid w:val="3D5868A5"/>
    <w:rsid w:val="3D5D4702"/>
    <w:rsid w:val="3D5E1088"/>
    <w:rsid w:val="3D615438"/>
    <w:rsid w:val="3D622C7D"/>
    <w:rsid w:val="3D6411B7"/>
    <w:rsid w:val="3D666786"/>
    <w:rsid w:val="3D672FEE"/>
    <w:rsid w:val="3D682C08"/>
    <w:rsid w:val="3D6B74DB"/>
    <w:rsid w:val="3D6C6E81"/>
    <w:rsid w:val="3D734E6A"/>
    <w:rsid w:val="3D7B3D3F"/>
    <w:rsid w:val="3D7D2741"/>
    <w:rsid w:val="3D7D39C6"/>
    <w:rsid w:val="3D7F6832"/>
    <w:rsid w:val="3D8727BF"/>
    <w:rsid w:val="3D874D81"/>
    <w:rsid w:val="3D917AE4"/>
    <w:rsid w:val="3D934BE4"/>
    <w:rsid w:val="3D960B78"/>
    <w:rsid w:val="3D9B0613"/>
    <w:rsid w:val="3DA16EBF"/>
    <w:rsid w:val="3DA70690"/>
    <w:rsid w:val="3DA74B34"/>
    <w:rsid w:val="3DA908AC"/>
    <w:rsid w:val="3DAB63D2"/>
    <w:rsid w:val="3DB01748"/>
    <w:rsid w:val="3DB05A4A"/>
    <w:rsid w:val="3DB206C7"/>
    <w:rsid w:val="3DB31F80"/>
    <w:rsid w:val="3DB33E91"/>
    <w:rsid w:val="3DB5594D"/>
    <w:rsid w:val="3DB66B25"/>
    <w:rsid w:val="3DB90928"/>
    <w:rsid w:val="3DBD1FE3"/>
    <w:rsid w:val="3DBD4477"/>
    <w:rsid w:val="3DBD678C"/>
    <w:rsid w:val="3DBE4222"/>
    <w:rsid w:val="3DC5188F"/>
    <w:rsid w:val="3DC65339"/>
    <w:rsid w:val="3DC75184"/>
    <w:rsid w:val="3DCB7A28"/>
    <w:rsid w:val="3DCE5EF9"/>
    <w:rsid w:val="3DCF7FC2"/>
    <w:rsid w:val="3DD11BB1"/>
    <w:rsid w:val="3DD13D54"/>
    <w:rsid w:val="3DD32C78"/>
    <w:rsid w:val="3DD40558"/>
    <w:rsid w:val="3DD45BF2"/>
    <w:rsid w:val="3DD50F62"/>
    <w:rsid w:val="3DD53509"/>
    <w:rsid w:val="3DD57FD5"/>
    <w:rsid w:val="3DD77573"/>
    <w:rsid w:val="3DE045D2"/>
    <w:rsid w:val="3DE40B62"/>
    <w:rsid w:val="3DEF56BC"/>
    <w:rsid w:val="3DF41EA3"/>
    <w:rsid w:val="3DF5586F"/>
    <w:rsid w:val="3DF5589F"/>
    <w:rsid w:val="3DF84400"/>
    <w:rsid w:val="3DF8713D"/>
    <w:rsid w:val="3DFC0A87"/>
    <w:rsid w:val="3DFC4E7F"/>
    <w:rsid w:val="3DFD2E1B"/>
    <w:rsid w:val="3DFE2192"/>
    <w:rsid w:val="3E0077CE"/>
    <w:rsid w:val="3E063608"/>
    <w:rsid w:val="3E0A7FE2"/>
    <w:rsid w:val="3E0E6DE1"/>
    <w:rsid w:val="3E187D26"/>
    <w:rsid w:val="3E1A3557"/>
    <w:rsid w:val="3E1A5306"/>
    <w:rsid w:val="3E1C2E2C"/>
    <w:rsid w:val="3E1D6FEE"/>
    <w:rsid w:val="3E2148E6"/>
    <w:rsid w:val="3E231C7C"/>
    <w:rsid w:val="3E267C4F"/>
    <w:rsid w:val="3E2823FC"/>
    <w:rsid w:val="3E2B688F"/>
    <w:rsid w:val="3E2E739A"/>
    <w:rsid w:val="3E323654"/>
    <w:rsid w:val="3E360AA7"/>
    <w:rsid w:val="3E3826A3"/>
    <w:rsid w:val="3E3A7756"/>
    <w:rsid w:val="3E3F6B1A"/>
    <w:rsid w:val="3E446705"/>
    <w:rsid w:val="3E473F20"/>
    <w:rsid w:val="3E524A98"/>
    <w:rsid w:val="3E5446B8"/>
    <w:rsid w:val="3E574627"/>
    <w:rsid w:val="3E5844BE"/>
    <w:rsid w:val="3E6912FB"/>
    <w:rsid w:val="3E6B5B61"/>
    <w:rsid w:val="3E6F74EA"/>
    <w:rsid w:val="3E756912"/>
    <w:rsid w:val="3E797C53"/>
    <w:rsid w:val="3E797C65"/>
    <w:rsid w:val="3E7A6362"/>
    <w:rsid w:val="3E7F33BB"/>
    <w:rsid w:val="3E824F32"/>
    <w:rsid w:val="3E833D14"/>
    <w:rsid w:val="3E871D8B"/>
    <w:rsid w:val="3E8F0CB7"/>
    <w:rsid w:val="3E925566"/>
    <w:rsid w:val="3E93726B"/>
    <w:rsid w:val="3E94330A"/>
    <w:rsid w:val="3E94598F"/>
    <w:rsid w:val="3EA66B99"/>
    <w:rsid w:val="3EA724CF"/>
    <w:rsid w:val="3EA8280D"/>
    <w:rsid w:val="3EB16BD6"/>
    <w:rsid w:val="3EB25FD8"/>
    <w:rsid w:val="3EB933CC"/>
    <w:rsid w:val="3EBC5F44"/>
    <w:rsid w:val="3EBE3EE3"/>
    <w:rsid w:val="3EC07BCD"/>
    <w:rsid w:val="3EC46BC7"/>
    <w:rsid w:val="3EC56308"/>
    <w:rsid w:val="3ED12B3C"/>
    <w:rsid w:val="3ED507AC"/>
    <w:rsid w:val="3EDA0523"/>
    <w:rsid w:val="3EE17BD1"/>
    <w:rsid w:val="3EE25FB4"/>
    <w:rsid w:val="3EE65326"/>
    <w:rsid w:val="3EE87971"/>
    <w:rsid w:val="3EEC2FF7"/>
    <w:rsid w:val="3EF03708"/>
    <w:rsid w:val="3EF1250A"/>
    <w:rsid w:val="3EF153C8"/>
    <w:rsid w:val="3EF155CC"/>
    <w:rsid w:val="3EF76BEA"/>
    <w:rsid w:val="3EF86ED2"/>
    <w:rsid w:val="3F035C8F"/>
    <w:rsid w:val="3F05705C"/>
    <w:rsid w:val="3F067FB2"/>
    <w:rsid w:val="3F073225"/>
    <w:rsid w:val="3F0B2C30"/>
    <w:rsid w:val="3F0D4E6A"/>
    <w:rsid w:val="3F0F2990"/>
    <w:rsid w:val="3F11524F"/>
    <w:rsid w:val="3F181752"/>
    <w:rsid w:val="3F193522"/>
    <w:rsid w:val="3F1955BD"/>
    <w:rsid w:val="3F2162A4"/>
    <w:rsid w:val="3F2266ED"/>
    <w:rsid w:val="3F237562"/>
    <w:rsid w:val="3F247041"/>
    <w:rsid w:val="3F367F1D"/>
    <w:rsid w:val="3F375A43"/>
    <w:rsid w:val="3F3917BB"/>
    <w:rsid w:val="3F3A18B5"/>
    <w:rsid w:val="3F40258F"/>
    <w:rsid w:val="3F445143"/>
    <w:rsid w:val="3F4515C4"/>
    <w:rsid w:val="3F487C50"/>
    <w:rsid w:val="3F4A1C1A"/>
    <w:rsid w:val="3F4B5746"/>
    <w:rsid w:val="3F4F2CA1"/>
    <w:rsid w:val="3F4F484B"/>
    <w:rsid w:val="3F5356B7"/>
    <w:rsid w:val="3F57411A"/>
    <w:rsid w:val="3F5860E5"/>
    <w:rsid w:val="3F5F1BA9"/>
    <w:rsid w:val="3F6607A8"/>
    <w:rsid w:val="3F673D0E"/>
    <w:rsid w:val="3F682F65"/>
    <w:rsid w:val="3F6E0A26"/>
    <w:rsid w:val="3F732F1F"/>
    <w:rsid w:val="3F7B0026"/>
    <w:rsid w:val="3F7B0A57"/>
    <w:rsid w:val="3F8B3280"/>
    <w:rsid w:val="3F8D0A1C"/>
    <w:rsid w:val="3F8D53B6"/>
    <w:rsid w:val="3F8F1F95"/>
    <w:rsid w:val="3F902B34"/>
    <w:rsid w:val="3F960215"/>
    <w:rsid w:val="3F9A4CFB"/>
    <w:rsid w:val="3FA44527"/>
    <w:rsid w:val="3FA5377A"/>
    <w:rsid w:val="3FA72BC9"/>
    <w:rsid w:val="3FA94DBF"/>
    <w:rsid w:val="3FAF4B16"/>
    <w:rsid w:val="3FB13A48"/>
    <w:rsid w:val="3FB16137"/>
    <w:rsid w:val="3FB34C03"/>
    <w:rsid w:val="3FB549B4"/>
    <w:rsid w:val="3FB83028"/>
    <w:rsid w:val="3FC37466"/>
    <w:rsid w:val="3FE13309"/>
    <w:rsid w:val="3FE25D82"/>
    <w:rsid w:val="3FE444E6"/>
    <w:rsid w:val="3FE47979"/>
    <w:rsid w:val="3FED2B2D"/>
    <w:rsid w:val="3FF2206E"/>
    <w:rsid w:val="3FF732C4"/>
    <w:rsid w:val="3FFC72BF"/>
    <w:rsid w:val="40085AB2"/>
    <w:rsid w:val="400C6ED0"/>
    <w:rsid w:val="40161AFD"/>
    <w:rsid w:val="401B49F1"/>
    <w:rsid w:val="401C1109"/>
    <w:rsid w:val="401D7288"/>
    <w:rsid w:val="401E727C"/>
    <w:rsid w:val="402154C6"/>
    <w:rsid w:val="40222259"/>
    <w:rsid w:val="40224E1A"/>
    <w:rsid w:val="4026490D"/>
    <w:rsid w:val="4026570D"/>
    <w:rsid w:val="40271B91"/>
    <w:rsid w:val="40280651"/>
    <w:rsid w:val="402C0333"/>
    <w:rsid w:val="40332B8E"/>
    <w:rsid w:val="40351CA3"/>
    <w:rsid w:val="403C6C58"/>
    <w:rsid w:val="40423D07"/>
    <w:rsid w:val="40462139"/>
    <w:rsid w:val="4046549A"/>
    <w:rsid w:val="40477F08"/>
    <w:rsid w:val="40532957"/>
    <w:rsid w:val="405A3038"/>
    <w:rsid w:val="405B207C"/>
    <w:rsid w:val="405E02EC"/>
    <w:rsid w:val="405F02B2"/>
    <w:rsid w:val="40644F5E"/>
    <w:rsid w:val="40657429"/>
    <w:rsid w:val="406B3FBC"/>
    <w:rsid w:val="4075481D"/>
    <w:rsid w:val="40785AF7"/>
    <w:rsid w:val="40791BFE"/>
    <w:rsid w:val="40796351"/>
    <w:rsid w:val="407A5B29"/>
    <w:rsid w:val="407A6407"/>
    <w:rsid w:val="407E3306"/>
    <w:rsid w:val="40806076"/>
    <w:rsid w:val="4085428A"/>
    <w:rsid w:val="4086209D"/>
    <w:rsid w:val="40870639"/>
    <w:rsid w:val="408E0724"/>
    <w:rsid w:val="408F6D80"/>
    <w:rsid w:val="40905D53"/>
    <w:rsid w:val="409B378D"/>
    <w:rsid w:val="40A10811"/>
    <w:rsid w:val="40A31DFF"/>
    <w:rsid w:val="40A767B4"/>
    <w:rsid w:val="40AB5008"/>
    <w:rsid w:val="40AC5AB2"/>
    <w:rsid w:val="40AF5E13"/>
    <w:rsid w:val="40B00125"/>
    <w:rsid w:val="40B01B6B"/>
    <w:rsid w:val="40B24326"/>
    <w:rsid w:val="40B57568"/>
    <w:rsid w:val="40B774FE"/>
    <w:rsid w:val="40B96B9C"/>
    <w:rsid w:val="40BB13D2"/>
    <w:rsid w:val="40BC1F40"/>
    <w:rsid w:val="40C03DAC"/>
    <w:rsid w:val="40C61EB0"/>
    <w:rsid w:val="40C770F8"/>
    <w:rsid w:val="40C93707"/>
    <w:rsid w:val="40CA7C9F"/>
    <w:rsid w:val="40D473C7"/>
    <w:rsid w:val="40D73AFB"/>
    <w:rsid w:val="40D93256"/>
    <w:rsid w:val="40E41574"/>
    <w:rsid w:val="40E47E03"/>
    <w:rsid w:val="40EB6B8C"/>
    <w:rsid w:val="40EC4810"/>
    <w:rsid w:val="40EF4827"/>
    <w:rsid w:val="40F05F95"/>
    <w:rsid w:val="40F85F52"/>
    <w:rsid w:val="40FE39EF"/>
    <w:rsid w:val="41012771"/>
    <w:rsid w:val="41013F36"/>
    <w:rsid w:val="4104473A"/>
    <w:rsid w:val="41083B3B"/>
    <w:rsid w:val="41137781"/>
    <w:rsid w:val="4124336F"/>
    <w:rsid w:val="41262D7D"/>
    <w:rsid w:val="412C171E"/>
    <w:rsid w:val="412C1CD5"/>
    <w:rsid w:val="412E258A"/>
    <w:rsid w:val="412E3161"/>
    <w:rsid w:val="41343A9E"/>
    <w:rsid w:val="4135001C"/>
    <w:rsid w:val="41354204"/>
    <w:rsid w:val="413601EA"/>
    <w:rsid w:val="413A64DB"/>
    <w:rsid w:val="413B7A6D"/>
    <w:rsid w:val="413C28E6"/>
    <w:rsid w:val="413C419C"/>
    <w:rsid w:val="413D7F4F"/>
    <w:rsid w:val="41480C16"/>
    <w:rsid w:val="414B6807"/>
    <w:rsid w:val="414D7C87"/>
    <w:rsid w:val="414F176A"/>
    <w:rsid w:val="41517033"/>
    <w:rsid w:val="41540C42"/>
    <w:rsid w:val="415822AF"/>
    <w:rsid w:val="415E5CCE"/>
    <w:rsid w:val="415F3FE7"/>
    <w:rsid w:val="41643E57"/>
    <w:rsid w:val="41662610"/>
    <w:rsid w:val="416A064C"/>
    <w:rsid w:val="4185518C"/>
    <w:rsid w:val="418751B6"/>
    <w:rsid w:val="41891995"/>
    <w:rsid w:val="418C0E02"/>
    <w:rsid w:val="418D5C13"/>
    <w:rsid w:val="418E0205"/>
    <w:rsid w:val="41913B31"/>
    <w:rsid w:val="41917E80"/>
    <w:rsid w:val="41931BC8"/>
    <w:rsid w:val="41993260"/>
    <w:rsid w:val="419F5F74"/>
    <w:rsid w:val="41A030A7"/>
    <w:rsid w:val="41A1160B"/>
    <w:rsid w:val="41A15A5D"/>
    <w:rsid w:val="41AD7E15"/>
    <w:rsid w:val="41AE6491"/>
    <w:rsid w:val="41B8730F"/>
    <w:rsid w:val="41BE2CFA"/>
    <w:rsid w:val="41C0047C"/>
    <w:rsid w:val="41CF4D10"/>
    <w:rsid w:val="41D349E5"/>
    <w:rsid w:val="41DD28D2"/>
    <w:rsid w:val="41DD42A4"/>
    <w:rsid w:val="41DD4D60"/>
    <w:rsid w:val="41DF489C"/>
    <w:rsid w:val="41E111CE"/>
    <w:rsid w:val="41E24F43"/>
    <w:rsid w:val="41E3708B"/>
    <w:rsid w:val="41EA1401"/>
    <w:rsid w:val="41EC6AFB"/>
    <w:rsid w:val="41EF14D0"/>
    <w:rsid w:val="41F03971"/>
    <w:rsid w:val="41F3667E"/>
    <w:rsid w:val="41F63994"/>
    <w:rsid w:val="41FA77B7"/>
    <w:rsid w:val="4200449D"/>
    <w:rsid w:val="4204770B"/>
    <w:rsid w:val="420E52AC"/>
    <w:rsid w:val="42134797"/>
    <w:rsid w:val="42156510"/>
    <w:rsid w:val="421A58D4"/>
    <w:rsid w:val="421B33FA"/>
    <w:rsid w:val="42200A8D"/>
    <w:rsid w:val="42277E78"/>
    <w:rsid w:val="422C1AAB"/>
    <w:rsid w:val="422E7751"/>
    <w:rsid w:val="42336996"/>
    <w:rsid w:val="423A3BCC"/>
    <w:rsid w:val="423F7580"/>
    <w:rsid w:val="42477571"/>
    <w:rsid w:val="42495988"/>
    <w:rsid w:val="4249733A"/>
    <w:rsid w:val="424E57D2"/>
    <w:rsid w:val="425B3F2B"/>
    <w:rsid w:val="425C4DFE"/>
    <w:rsid w:val="42613758"/>
    <w:rsid w:val="426766D4"/>
    <w:rsid w:val="426D0DA2"/>
    <w:rsid w:val="426F745B"/>
    <w:rsid w:val="42713FE4"/>
    <w:rsid w:val="42720DF8"/>
    <w:rsid w:val="42752478"/>
    <w:rsid w:val="42755200"/>
    <w:rsid w:val="427B3DA8"/>
    <w:rsid w:val="427C033D"/>
    <w:rsid w:val="427D3F4B"/>
    <w:rsid w:val="428732EC"/>
    <w:rsid w:val="428A2A07"/>
    <w:rsid w:val="428F611E"/>
    <w:rsid w:val="42917E45"/>
    <w:rsid w:val="42920C76"/>
    <w:rsid w:val="42944A0E"/>
    <w:rsid w:val="42956468"/>
    <w:rsid w:val="42984A4B"/>
    <w:rsid w:val="42986605"/>
    <w:rsid w:val="42994958"/>
    <w:rsid w:val="429A76AC"/>
    <w:rsid w:val="429C278D"/>
    <w:rsid w:val="42A00510"/>
    <w:rsid w:val="42A21623"/>
    <w:rsid w:val="42B04115"/>
    <w:rsid w:val="42B26C49"/>
    <w:rsid w:val="42B37AD7"/>
    <w:rsid w:val="42B52A5A"/>
    <w:rsid w:val="42B61220"/>
    <w:rsid w:val="42B75819"/>
    <w:rsid w:val="42B871C2"/>
    <w:rsid w:val="42BA2C13"/>
    <w:rsid w:val="42C5274B"/>
    <w:rsid w:val="42C91BD9"/>
    <w:rsid w:val="42C925F1"/>
    <w:rsid w:val="42CB6BF9"/>
    <w:rsid w:val="42D34EAC"/>
    <w:rsid w:val="42DC4E0C"/>
    <w:rsid w:val="42DF03AE"/>
    <w:rsid w:val="42DF40A2"/>
    <w:rsid w:val="42DF4572"/>
    <w:rsid w:val="42E1533E"/>
    <w:rsid w:val="42E2442C"/>
    <w:rsid w:val="42E2739A"/>
    <w:rsid w:val="42E30D3A"/>
    <w:rsid w:val="42E316AF"/>
    <w:rsid w:val="42E676E8"/>
    <w:rsid w:val="42F75C15"/>
    <w:rsid w:val="42F97D23"/>
    <w:rsid w:val="42FC75D2"/>
    <w:rsid w:val="42FE57D8"/>
    <w:rsid w:val="42FF6D05"/>
    <w:rsid w:val="43000F6E"/>
    <w:rsid w:val="43034954"/>
    <w:rsid w:val="43035860"/>
    <w:rsid w:val="430377F4"/>
    <w:rsid w:val="430805CF"/>
    <w:rsid w:val="430842D4"/>
    <w:rsid w:val="43087E22"/>
    <w:rsid w:val="430C7A94"/>
    <w:rsid w:val="430D368B"/>
    <w:rsid w:val="430F0ADF"/>
    <w:rsid w:val="43150D93"/>
    <w:rsid w:val="431554DA"/>
    <w:rsid w:val="43160791"/>
    <w:rsid w:val="431C567C"/>
    <w:rsid w:val="432116F5"/>
    <w:rsid w:val="432635F3"/>
    <w:rsid w:val="43280F85"/>
    <w:rsid w:val="432819CA"/>
    <w:rsid w:val="433867EA"/>
    <w:rsid w:val="433A6FE6"/>
    <w:rsid w:val="433E4AB8"/>
    <w:rsid w:val="433E7706"/>
    <w:rsid w:val="433F0E43"/>
    <w:rsid w:val="434075BC"/>
    <w:rsid w:val="4340763C"/>
    <w:rsid w:val="43422D96"/>
    <w:rsid w:val="43475FD1"/>
    <w:rsid w:val="4348021F"/>
    <w:rsid w:val="43480868"/>
    <w:rsid w:val="43487CF9"/>
    <w:rsid w:val="43495151"/>
    <w:rsid w:val="434F7C08"/>
    <w:rsid w:val="4350713C"/>
    <w:rsid w:val="435166D5"/>
    <w:rsid w:val="435873FF"/>
    <w:rsid w:val="43593652"/>
    <w:rsid w:val="436037BB"/>
    <w:rsid w:val="436653E0"/>
    <w:rsid w:val="43687024"/>
    <w:rsid w:val="436A694E"/>
    <w:rsid w:val="436C774D"/>
    <w:rsid w:val="43713C1A"/>
    <w:rsid w:val="4374370A"/>
    <w:rsid w:val="4375501A"/>
    <w:rsid w:val="437A1A1C"/>
    <w:rsid w:val="437D208E"/>
    <w:rsid w:val="43853221"/>
    <w:rsid w:val="438A4218"/>
    <w:rsid w:val="438B14CF"/>
    <w:rsid w:val="438B6804"/>
    <w:rsid w:val="4397230F"/>
    <w:rsid w:val="43992BE7"/>
    <w:rsid w:val="439A4D5A"/>
    <w:rsid w:val="43AC6A00"/>
    <w:rsid w:val="43B03CB9"/>
    <w:rsid w:val="43B05344"/>
    <w:rsid w:val="43B506FE"/>
    <w:rsid w:val="43BB3965"/>
    <w:rsid w:val="43BC29BB"/>
    <w:rsid w:val="43BD1ED3"/>
    <w:rsid w:val="43BE6733"/>
    <w:rsid w:val="43BF6B99"/>
    <w:rsid w:val="43BF6E33"/>
    <w:rsid w:val="43C4431A"/>
    <w:rsid w:val="43C57AC2"/>
    <w:rsid w:val="43C70AAA"/>
    <w:rsid w:val="43CA5B33"/>
    <w:rsid w:val="43CB44FA"/>
    <w:rsid w:val="43CC3548"/>
    <w:rsid w:val="43CF26EE"/>
    <w:rsid w:val="43D45182"/>
    <w:rsid w:val="43D55221"/>
    <w:rsid w:val="43D55253"/>
    <w:rsid w:val="43DD7F90"/>
    <w:rsid w:val="43DF49B8"/>
    <w:rsid w:val="43DF700B"/>
    <w:rsid w:val="43DF7DBE"/>
    <w:rsid w:val="43E4449C"/>
    <w:rsid w:val="43F122C0"/>
    <w:rsid w:val="43F15770"/>
    <w:rsid w:val="43F97775"/>
    <w:rsid w:val="43FE4699"/>
    <w:rsid w:val="44006D3C"/>
    <w:rsid w:val="44091C8B"/>
    <w:rsid w:val="44093372"/>
    <w:rsid w:val="44104AB7"/>
    <w:rsid w:val="44116432"/>
    <w:rsid w:val="44125964"/>
    <w:rsid w:val="44131C13"/>
    <w:rsid w:val="4413477E"/>
    <w:rsid w:val="44163F9C"/>
    <w:rsid w:val="44177788"/>
    <w:rsid w:val="44194BC4"/>
    <w:rsid w:val="441959E7"/>
    <w:rsid w:val="4420021D"/>
    <w:rsid w:val="44213E6A"/>
    <w:rsid w:val="44220FB5"/>
    <w:rsid w:val="4423639B"/>
    <w:rsid w:val="442567B2"/>
    <w:rsid w:val="44290050"/>
    <w:rsid w:val="442A5B77"/>
    <w:rsid w:val="442C2002"/>
    <w:rsid w:val="44314262"/>
    <w:rsid w:val="44365E73"/>
    <w:rsid w:val="443C0C2F"/>
    <w:rsid w:val="443D69C6"/>
    <w:rsid w:val="443E42E9"/>
    <w:rsid w:val="443E591F"/>
    <w:rsid w:val="44401169"/>
    <w:rsid w:val="44405FFD"/>
    <w:rsid w:val="4449126C"/>
    <w:rsid w:val="44494453"/>
    <w:rsid w:val="444C6CE6"/>
    <w:rsid w:val="444D1C5E"/>
    <w:rsid w:val="444F061E"/>
    <w:rsid w:val="445336C3"/>
    <w:rsid w:val="44586B88"/>
    <w:rsid w:val="445C45F0"/>
    <w:rsid w:val="44606214"/>
    <w:rsid w:val="44677831"/>
    <w:rsid w:val="44681176"/>
    <w:rsid w:val="44693BA8"/>
    <w:rsid w:val="446C5274"/>
    <w:rsid w:val="446D66E7"/>
    <w:rsid w:val="44701FEA"/>
    <w:rsid w:val="4473751E"/>
    <w:rsid w:val="447A76E6"/>
    <w:rsid w:val="447B0868"/>
    <w:rsid w:val="447B27B4"/>
    <w:rsid w:val="447D2A47"/>
    <w:rsid w:val="448336D8"/>
    <w:rsid w:val="4487121B"/>
    <w:rsid w:val="448E4357"/>
    <w:rsid w:val="4496544D"/>
    <w:rsid w:val="44965FAD"/>
    <w:rsid w:val="449C6A74"/>
    <w:rsid w:val="449F47B6"/>
    <w:rsid w:val="44A17A06"/>
    <w:rsid w:val="44AC2A30"/>
    <w:rsid w:val="44AD383D"/>
    <w:rsid w:val="44B66A11"/>
    <w:rsid w:val="44B85878"/>
    <w:rsid w:val="44B951CC"/>
    <w:rsid w:val="44BC4C26"/>
    <w:rsid w:val="44BE3C12"/>
    <w:rsid w:val="44BE457F"/>
    <w:rsid w:val="44C23E37"/>
    <w:rsid w:val="44C76FA6"/>
    <w:rsid w:val="44CC44F5"/>
    <w:rsid w:val="44CD14E0"/>
    <w:rsid w:val="44CE29A6"/>
    <w:rsid w:val="44D030FD"/>
    <w:rsid w:val="44D501D8"/>
    <w:rsid w:val="44D72015"/>
    <w:rsid w:val="44E00341"/>
    <w:rsid w:val="44E4697B"/>
    <w:rsid w:val="44EF003D"/>
    <w:rsid w:val="44F20B0B"/>
    <w:rsid w:val="44F43791"/>
    <w:rsid w:val="44F4571F"/>
    <w:rsid w:val="44F74ACF"/>
    <w:rsid w:val="44F76A73"/>
    <w:rsid w:val="44FA71E3"/>
    <w:rsid w:val="44FD0CFE"/>
    <w:rsid w:val="45023BB0"/>
    <w:rsid w:val="450B72BB"/>
    <w:rsid w:val="451743E0"/>
    <w:rsid w:val="451E5CAC"/>
    <w:rsid w:val="45232040"/>
    <w:rsid w:val="452756F8"/>
    <w:rsid w:val="45294FCE"/>
    <w:rsid w:val="452C74B5"/>
    <w:rsid w:val="452E5F4C"/>
    <w:rsid w:val="45303661"/>
    <w:rsid w:val="45336CAD"/>
    <w:rsid w:val="4537679D"/>
    <w:rsid w:val="45401AF6"/>
    <w:rsid w:val="4541761C"/>
    <w:rsid w:val="45436F8B"/>
    <w:rsid w:val="45444294"/>
    <w:rsid w:val="45490F07"/>
    <w:rsid w:val="4553015F"/>
    <w:rsid w:val="45543180"/>
    <w:rsid w:val="455434EC"/>
    <w:rsid w:val="455617CB"/>
    <w:rsid w:val="455B692F"/>
    <w:rsid w:val="455E1F7C"/>
    <w:rsid w:val="456015FF"/>
    <w:rsid w:val="45612018"/>
    <w:rsid w:val="4562543D"/>
    <w:rsid w:val="456926CF"/>
    <w:rsid w:val="456F3CCC"/>
    <w:rsid w:val="457E37AB"/>
    <w:rsid w:val="45801129"/>
    <w:rsid w:val="4585575A"/>
    <w:rsid w:val="45886FF9"/>
    <w:rsid w:val="458946E9"/>
    <w:rsid w:val="458F359B"/>
    <w:rsid w:val="458F482B"/>
    <w:rsid w:val="45905269"/>
    <w:rsid w:val="45933E22"/>
    <w:rsid w:val="45992FB4"/>
    <w:rsid w:val="459D5F2E"/>
    <w:rsid w:val="459E32FE"/>
    <w:rsid w:val="45A0223B"/>
    <w:rsid w:val="45A04FB7"/>
    <w:rsid w:val="45A400B9"/>
    <w:rsid w:val="45A47C0E"/>
    <w:rsid w:val="45AB742C"/>
    <w:rsid w:val="45B002FD"/>
    <w:rsid w:val="45B34E88"/>
    <w:rsid w:val="45B53279"/>
    <w:rsid w:val="45B71FEF"/>
    <w:rsid w:val="45C03F05"/>
    <w:rsid w:val="45C41E59"/>
    <w:rsid w:val="45C50D83"/>
    <w:rsid w:val="45C7404E"/>
    <w:rsid w:val="45C86107"/>
    <w:rsid w:val="45C963F2"/>
    <w:rsid w:val="45CF2E79"/>
    <w:rsid w:val="45D34752"/>
    <w:rsid w:val="45DD269C"/>
    <w:rsid w:val="45E27EC8"/>
    <w:rsid w:val="45E52F0B"/>
    <w:rsid w:val="45E615FB"/>
    <w:rsid w:val="45E67817"/>
    <w:rsid w:val="45E701C3"/>
    <w:rsid w:val="45E73677"/>
    <w:rsid w:val="45E842B3"/>
    <w:rsid w:val="45E926A5"/>
    <w:rsid w:val="45EA380F"/>
    <w:rsid w:val="45EF24D9"/>
    <w:rsid w:val="45F26E9C"/>
    <w:rsid w:val="45FA6038"/>
    <w:rsid w:val="460235E0"/>
    <w:rsid w:val="46031B56"/>
    <w:rsid w:val="460344D7"/>
    <w:rsid w:val="46073939"/>
    <w:rsid w:val="46083505"/>
    <w:rsid w:val="460A43E5"/>
    <w:rsid w:val="460B46C9"/>
    <w:rsid w:val="46102059"/>
    <w:rsid w:val="46124D04"/>
    <w:rsid w:val="46175D95"/>
    <w:rsid w:val="461B3C3D"/>
    <w:rsid w:val="461F39FC"/>
    <w:rsid w:val="46202E05"/>
    <w:rsid w:val="46205483"/>
    <w:rsid w:val="46207663"/>
    <w:rsid w:val="462C2DA2"/>
    <w:rsid w:val="462C4D40"/>
    <w:rsid w:val="462D0E63"/>
    <w:rsid w:val="4631143E"/>
    <w:rsid w:val="46322C7A"/>
    <w:rsid w:val="46342C88"/>
    <w:rsid w:val="463902F3"/>
    <w:rsid w:val="463B5117"/>
    <w:rsid w:val="4642350A"/>
    <w:rsid w:val="4644030B"/>
    <w:rsid w:val="46543911"/>
    <w:rsid w:val="46577FD6"/>
    <w:rsid w:val="46583574"/>
    <w:rsid w:val="465D2233"/>
    <w:rsid w:val="46606277"/>
    <w:rsid w:val="4669507C"/>
    <w:rsid w:val="466B6EE8"/>
    <w:rsid w:val="4676240A"/>
    <w:rsid w:val="467B0E74"/>
    <w:rsid w:val="468839D7"/>
    <w:rsid w:val="46983423"/>
    <w:rsid w:val="46A25D80"/>
    <w:rsid w:val="46A377BC"/>
    <w:rsid w:val="46A40106"/>
    <w:rsid w:val="46A606A1"/>
    <w:rsid w:val="46A60B3F"/>
    <w:rsid w:val="46A63136"/>
    <w:rsid w:val="46AC6D17"/>
    <w:rsid w:val="46B21F99"/>
    <w:rsid w:val="46BB638E"/>
    <w:rsid w:val="46BC2073"/>
    <w:rsid w:val="46BF51B8"/>
    <w:rsid w:val="46C82EDB"/>
    <w:rsid w:val="46C87FF5"/>
    <w:rsid w:val="46CB09D2"/>
    <w:rsid w:val="46D13AA3"/>
    <w:rsid w:val="46D955A7"/>
    <w:rsid w:val="46DB2D69"/>
    <w:rsid w:val="46DE0F64"/>
    <w:rsid w:val="46E464B1"/>
    <w:rsid w:val="46E73171"/>
    <w:rsid w:val="46E800EB"/>
    <w:rsid w:val="46EA28B3"/>
    <w:rsid w:val="46EE10DD"/>
    <w:rsid w:val="46F661E4"/>
    <w:rsid w:val="46F820DD"/>
    <w:rsid w:val="46F87ED9"/>
    <w:rsid w:val="46FA61CA"/>
    <w:rsid w:val="46FD0129"/>
    <w:rsid w:val="46FD7572"/>
    <w:rsid w:val="47000646"/>
    <w:rsid w:val="470376D4"/>
    <w:rsid w:val="47091C56"/>
    <w:rsid w:val="470947AD"/>
    <w:rsid w:val="470A6855"/>
    <w:rsid w:val="470C1154"/>
    <w:rsid w:val="470C4453"/>
    <w:rsid w:val="470D5B41"/>
    <w:rsid w:val="470D6BD3"/>
    <w:rsid w:val="471000B3"/>
    <w:rsid w:val="47133401"/>
    <w:rsid w:val="47133957"/>
    <w:rsid w:val="47136D96"/>
    <w:rsid w:val="471A0124"/>
    <w:rsid w:val="471C55A7"/>
    <w:rsid w:val="472114B3"/>
    <w:rsid w:val="47215C1E"/>
    <w:rsid w:val="47224B4B"/>
    <w:rsid w:val="47262F6D"/>
    <w:rsid w:val="472D1396"/>
    <w:rsid w:val="4732546E"/>
    <w:rsid w:val="47376F28"/>
    <w:rsid w:val="47414AE1"/>
    <w:rsid w:val="47431803"/>
    <w:rsid w:val="47484C91"/>
    <w:rsid w:val="47485770"/>
    <w:rsid w:val="474D674C"/>
    <w:rsid w:val="474F0135"/>
    <w:rsid w:val="474F6536"/>
    <w:rsid w:val="475064D9"/>
    <w:rsid w:val="47520E5E"/>
    <w:rsid w:val="47556B7D"/>
    <w:rsid w:val="475D0E73"/>
    <w:rsid w:val="475D2C64"/>
    <w:rsid w:val="475E4869"/>
    <w:rsid w:val="475E57EF"/>
    <w:rsid w:val="475F71FF"/>
    <w:rsid w:val="47633879"/>
    <w:rsid w:val="47637D1D"/>
    <w:rsid w:val="47671959"/>
    <w:rsid w:val="47673926"/>
    <w:rsid w:val="477474B8"/>
    <w:rsid w:val="47783078"/>
    <w:rsid w:val="47792B5E"/>
    <w:rsid w:val="477F15A5"/>
    <w:rsid w:val="47847BCC"/>
    <w:rsid w:val="47877EA2"/>
    <w:rsid w:val="47897E48"/>
    <w:rsid w:val="478A67E0"/>
    <w:rsid w:val="478B4B7E"/>
    <w:rsid w:val="479636F9"/>
    <w:rsid w:val="479D7445"/>
    <w:rsid w:val="47A00979"/>
    <w:rsid w:val="47A07E0C"/>
    <w:rsid w:val="47A3011A"/>
    <w:rsid w:val="47A50D6A"/>
    <w:rsid w:val="47A51B9F"/>
    <w:rsid w:val="47A53406"/>
    <w:rsid w:val="47A81FAC"/>
    <w:rsid w:val="47AA14A8"/>
    <w:rsid w:val="47AC3472"/>
    <w:rsid w:val="47AC7A64"/>
    <w:rsid w:val="47B37D01"/>
    <w:rsid w:val="47B83827"/>
    <w:rsid w:val="47B8638B"/>
    <w:rsid w:val="47B96332"/>
    <w:rsid w:val="47BB2D68"/>
    <w:rsid w:val="47BD435E"/>
    <w:rsid w:val="47C344EE"/>
    <w:rsid w:val="47C55E99"/>
    <w:rsid w:val="47CE66CA"/>
    <w:rsid w:val="47D509D1"/>
    <w:rsid w:val="47D613CB"/>
    <w:rsid w:val="47D92D0A"/>
    <w:rsid w:val="47DA19E3"/>
    <w:rsid w:val="47DB51AF"/>
    <w:rsid w:val="47DE4A66"/>
    <w:rsid w:val="47E839C0"/>
    <w:rsid w:val="47E86474"/>
    <w:rsid w:val="47EA7AF7"/>
    <w:rsid w:val="47EB6E68"/>
    <w:rsid w:val="47F17FBF"/>
    <w:rsid w:val="47FB5F1C"/>
    <w:rsid w:val="47FD2693"/>
    <w:rsid w:val="48032477"/>
    <w:rsid w:val="48065705"/>
    <w:rsid w:val="48074B4D"/>
    <w:rsid w:val="480D386D"/>
    <w:rsid w:val="48111527"/>
    <w:rsid w:val="48154777"/>
    <w:rsid w:val="48177A54"/>
    <w:rsid w:val="481F7FDD"/>
    <w:rsid w:val="48205C0E"/>
    <w:rsid w:val="48217291"/>
    <w:rsid w:val="482F51A3"/>
    <w:rsid w:val="48311BC9"/>
    <w:rsid w:val="48314149"/>
    <w:rsid w:val="4833261F"/>
    <w:rsid w:val="483925C3"/>
    <w:rsid w:val="48410F19"/>
    <w:rsid w:val="48412183"/>
    <w:rsid w:val="484336AB"/>
    <w:rsid w:val="4844016C"/>
    <w:rsid w:val="484A0864"/>
    <w:rsid w:val="484A6507"/>
    <w:rsid w:val="484D0545"/>
    <w:rsid w:val="484E4529"/>
    <w:rsid w:val="48512462"/>
    <w:rsid w:val="485375B9"/>
    <w:rsid w:val="485C3F8A"/>
    <w:rsid w:val="485D651B"/>
    <w:rsid w:val="4860600B"/>
    <w:rsid w:val="48675DDE"/>
    <w:rsid w:val="4868160C"/>
    <w:rsid w:val="4868240F"/>
    <w:rsid w:val="486E4763"/>
    <w:rsid w:val="4870272E"/>
    <w:rsid w:val="487230B9"/>
    <w:rsid w:val="48737A80"/>
    <w:rsid w:val="48746982"/>
    <w:rsid w:val="48767174"/>
    <w:rsid w:val="487750EE"/>
    <w:rsid w:val="48777B4E"/>
    <w:rsid w:val="4879119C"/>
    <w:rsid w:val="487E4AE0"/>
    <w:rsid w:val="48816F4A"/>
    <w:rsid w:val="48850C55"/>
    <w:rsid w:val="48895562"/>
    <w:rsid w:val="489108BA"/>
    <w:rsid w:val="489932CB"/>
    <w:rsid w:val="489C2843"/>
    <w:rsid w:val="48A00AFD"/>
    <w:rsid w:val="48A20DB0"/>
    <w:rsid w:val="48A26623"/>
    <w:rsid w:val="48A2794F"/>
    <w:rsid w:val="48A61EB8"/>
    <w:rsid w:val="48A7658F"/>
    <w:rsid w:val="48AC1250"/>
    <w:rsid w:val="48B30830"/>
    <w:rsid w:val="48B32691"/>
    <w:rsid w:val="48B40105"/>
    <w:rsid w:val="48B628D9"/>
    <w:rsid w:val="48BC749A"/>
    <w:rsid w:val="48C521D3"/>
    <w:rsid w:val="48C540C0"/>
    <w:rsid w:val="48C65642"/>
    <w:rsid w:val="48C67C58"/>
    <w:rsid w:val="48D04F69"/>
    <w:rsid w:val="48D27FF8"/>
    <w:rsid w:val="48D44533"/>
    <w:rsid w:val="48D4671F"/>
    <w:rsid w:val="48D5279B"/>
    <w:rsid w:val="48D569F9"/>
    <w:rsid w:val="48DD4502"/>
    <w:rsid w:val="48DF3891"/>
    <w:rsid w:val="48E40097"/>
    <w:rsid w:val="48E8335D"/>
    <w:rsid w:val="48ED2FC1"/>
    <w:rsid w:val="48EF4379"/>
    <w:rsid w:val="48F44ACA"/>
    <w:rsid w:val="48F549A5"/>
    <w:rsid w:val="48F86243"/>
    <w:rsid w:val="48FB79BB"/>
    <w:rsid w:val="48FD0330"/>
    <w:rsid w:val="49035625"/>
    <w:rsid w:val="49084370"/>
    <w:rsid w:val="490E4486"/>
    <w:rsid w:val="491205FE"/>
    <w:rsid w:val="491505D8"/>
    <w:rsid w:val="49153233"/>
    <w:rsid w:val="49157C69"/>
    <w:rsid w:val="491749EF"/>
    <w:rsid w:val="491C16FE"/>
    <w:rsid w:val="492A682D"/>
    <w:rsid w:val="492B6619"/>
    <w:rsid w:val="492D6ABB"/>
    <w:rsid w:val="493409D4"/>
    <w:rsid w:val="49375232"/>
    <w:rsid w:val="493A1F1D"/>
    <w:rsid w:val="493C0826"/>
    <w:rsid w:val="49441489"/>
    <w:rsid w:val="494437A0"/>
    <w:rsid w:val="49492FFF"/>
    <w:rsid w:val="494B470E"/>
    <w:rsid w:val="495C4B94"/>
    <w:rsid w:val="495E1DF2"/>
    <w:rsid w:val="495F62AE"/>
    <w:rsid w:val="495F62C2"/>
    <w:rsid w:val="496C598B"/>
    <w:rsid w:val="49720E67"/>
    <w:rsid w:val="497B64B8"/>
    <w:rsid w:val="497C1F9B"/>
    <w:rsid w:val="497C50C6"/>
    <w:rsid w:val="49831FB1"/>
    <w:rsid w:val="4984491F"/>
    <w:rsid w:val="498B2D66"/>
    <w:rsid w:val="498E41A9"/>
    <w:rsid w:val="49973CAE"/>
    <w:rsid w:val="499E2308"/>
    <w:rsid w:val="49A10689"/>
    <w:rsid w:val="49A75E76"/>
    <w:rsid w:val="49AA0EE7"/>
    <w:rsid w:val="49B06B1E"/>
    <w:rsid w:val="49B4602B"/>
    <w:rsid w:val="49B77EAC"/>
    <w:rsid w:val="49B847ED"/>
    <w:rsid w:val="49C44379"/>
    <w:rsid w:val="49D505F8"/>
    <w:rsid w:val="49D51ED2"/>
    <w:rsid w:val="49D90C10"/>
    <w:rsid w:val="49DC7715"/>
    <w:rsid w:val="49DD6CEF"/>
    <w:rsid w:val="49DE656F"/>
    <w:rsid w:val="49E0372A"/>
    <w:rsid w:val="49E44725"/>
    <w:rsid w:val="49F15899"/>
    <w:rsid w:val="49F40639"/>
    <w:rsid w:val="49F756EE"/>
    <w:rsid w:val="49FA5FEB"/>
    <w:rsid w:val="49FC25C6"/>
    <w:rsid w:val="49FD0C23"/>
    <w:rsid w:val="49FE6EE1"/>
    <w:rsid w:val="4A023139"/>
    <w:rsid w:val="4A03446C"/>
    <w:rsid w:val="4A0B01F8"/>
    <w:rsid w:val="4A0C49B0"/>
    <w:rsid w:val="4A0D21C2"/>
    <w:rsid w:val="4A100B71"/>
    <w:rsid w:val="4A1368CA"/>
    <w:rsid w:val="4A1A33F7"/>
    <w:rsid w:val="4A205F2C"/>
    <w:rsid w:val="4A221FC8"/>
    <w:rsid w:val="4A29225B"/>
    <w:rsid w:val="4A297B2E"/>
    <w:rsid w:val="4A2B43F6"/>
    <w:rsid w:val="4A2F6E60"/>
    <w:rsid w:val="4A3724C0"/>
    <w:rsid w:val="4A3F2F5D"/>
    <w:rsid w:val="4A435DCC"/>
    <w:rsid w:val="4A437910"/>
    <w:rsid w:val="4A463EF1"/>
    <w:rsid w:val="4A471230"/>
    <w:rsid w:val="4A4E1AF5"/>
    <w:rsid w:val="4A5120AF"/>
    <w:rsid w:val="4A5B33E3"/>
    <w:rsid w:val="4A5D0A54"/>
    <w:rsid w:val="4A621E0D"/>
    <w:rsid w:val="4A626B1C"/>
    <w:rsid w:val="4A6A4F1F"/>
    <w:rsid w:val="4A735A25"/>
    <w:rsid w:val="4A7B576F"/>
    <w:rsid w:val="4A7D208B"/>
    <w:rsid w:val="4A8D7157"/>
    <w:rsid w:val="4A8E02D7"/>
    <w:rsid w:val="4A90145A"/>
    <w:rsid w:val="4A934B1F"/>
    <w:rsid w:val="4A9735F5"/>
    <w:rsid w:val="4AA5390E"/>
    <w:rsid w:val="4AA80442"/>
    <w:rsid w:val="4AA95536"/>
    <w:rsid w:val="4AAA74A3"/>
    <w:rsid w:val="4AAC19DB"/>
    <w:rsid w:val="4AB10583"/>
    <w:rsid w:val="4AB34B18"/>
    <w:rsid w:val="4AB80EF1"/>
    <w:rsid w:val="4AB83EDC"/>
    <w:rsid w:val="4AB90665"/>
    <w:rsid w:val="4ABC3301"/>
    <w:rsid w:val="4ABD479D"/>
    <w:rsid w:val="4ABF7000"/>
    <w:rsid w:val="4AC408E4"/>
    <w:rsid w:val="4ACA0303"/>
    <w:rsid w:val="4ACD3918"/>
    <w:rsid w:val="4AD12E5A"/>
    <w:rsid w:val="4AD46EF8"/>
    <w:rsid w:val="4AD60CB4"/>
    <w:rsid w:val="4AD664EA"/>
    <w:rsid w:val="4ADB406F"/>
    <w:rsid w:val="4AE02074"/>
    <w:rsid w:val="4AF561A9"/>
    <w:rsid w:val="4AF60A83"/>
    <w:rsid w:val="4AF647AE"/>
    <w:rsid w:val="4B047AC1"/>
    <w:rsid w:val="4B080E7F"/>
    <w:rsid w:val="4B0860D4"/>
    <w:rsid w:val="4B0A4A82"/>
    <w:rsid w:val="4B0A564D"/>
    <w:rsid w:val="4B11376E"/>
    <w:rsid w:val="4B1343FD"/>
    <w:rsid w:val="4B145895"/>
    <w:rsid w:val="4B17589E"/>
    <w:rsid w:val="4B183796"/>
    <w:rsid w:val="4B1B3D8B"/>
    <w:rsid w:val="4B241E7C"/>
    <w:rsid w:val="4B2C579D"/>
    <w:rsid w:val="4B3774F7"/>
    <w:rsid w:val="4B380701"/>
    <w:rsid w:val="4B413FBD"/>
    <w:rsid w:val="4B481704"/>
    <w:rsid w:val="4B4B4D7A"/>
    <w:rsid w:val="4B4B7123"/>
    <w:rsid w:val="4B4E6E91"/>
    <w:rsid w:val="4B4F7A8B"/>
    <w:rsid w:val="4B516FDD"/>
    <w:rsid w:val="4B582A18"/>
    <w:rsid w:val="4B5B5D80"/>
    <w:rsid w:val="4B5C35A7"/>
    <w:rsid w:val="4B5D5C8F"/>
    <w:rsid w:val="4B67397E"/>
    <w:rsid w:val="4B6F0AAF"/>
    <w:rsid w:val="4B6F7DE3"/>
    <w:rsid w:val="4B766A70"/>
    <w:rsid w:val="4B7818BD"/>
    <w:rsid w:val="4B7A5635"/>
    <w:rsid w:val="4B7D0A36"/>
    <w:rsid w:val="4B846D0D"/>
    <w:rsid w:val="4B871B00"/>
    <w:rsid w:val="4B8B7843"/>
    <w:rsid w:val="4B8C794C"/>
    <w:rsid w:val="4B8E230A"/>
    <w:rsid w:val="4B905E28"/>
    <w:rsid w:val="4B952E6B"/>
    <w:rsid w:val="4B9E0EC3"/>
    <w:rsid w:val="4B9F509C"/>
    <w:rsid w:val="4BA027AD"/>
    <w:rsid w:val="4BA17958"/>
    <w:rsid w:val="4BA72908"/>
    <w:rsid w:val="4BA77ED2"/>
    <w:rsid w:val="4BAF6BCC"/>
    <w:rsid w:val="4BB15C51"/>
    <w:rsid w:val="4BB84560"/>
    <w:rsid w:val="4BBD76FF"/>
    <w:rsid w:val="4BBE5591"/>
    <w:rsid w:val="4BC012FC"/>
    <w:rsid w:val="4BC47A12"/>
    <w:rsid w:val="4BD016F9"/>
    <w:rsid w:val="4BD226F9"/>
    <w:rsid w:val="4BD411EA"/>
    <w:rsid w:val="4BD41A75"/>
    <w:rsid w:val="4BD74836"/>
    <w:rsid w:val="4BE66A8D"/>
    <w:rsid w:val="4BEB5322"/>
    <w:rsid w:val="4BEE04FE"/>
    <w:rsid w:val="4BF71BC1"/>
    <w:rsid w:val="4BF92D50"/>
    <w:rsid w:val="4BF93947"/>
    <w:rsid w:val="4BFC0C2C"/>
    <w:rsid w:val="4C067B96"/>
    <w:rsid w:val="4C0D25A1"/>
    <w:rsid w:val="4C0F0BB9"/>
    <w:rsid w:val="4C150C6C"/>
    <w:rsid w:val="4C177113"/>
    <w:rsid w:val="4C18542D"/>
    <w:rsid w:val="4C1B410A"/>
    <w:rsid w:val="4C1C40A9"/>
    <w:rsid w:val="4C251FC6"/>
    <w:rsid w:val="4C260CF9"/>
    <w:rsid w:val="4C272752"/>
    <w:rsid w:val="4C2767EC"/>
    <w:rsid w:val="4C285091"/>
    <w:rsid w:val="4C2F5118"/>
    <w:rsid w:val="4C332B37"/>
    <w:rsid w:val="4C334959"/>
    <w:rsid w:val="4C353FA2"/>
    <w:rsid w:val="4C35439D"/>
    <w:rsid w:val="4C3B4DC5"/>
    <w:rsid w:val="4C4A0649"/>
    <w:rsid w:val="4C545E87"/>
    <w:rsid w:val="4C592B7E"/>
    <w:rsid w:val="4C602A7D"/>
    <w:rsid w:val="4C643227"/>
    <w:rsid w:val="4C660AF1"/>
    <w:rsid w:val="4C672D73"/>
    <w:rsid w:val="4C6E57B5"/>
    <w:rsid w:val="4C7010CA"/>
    <w:rsid w:val="4C757967"/>
    <w:rsid w:val="4C7A2FF8"/>
    <w:rsid w:val="4C7E5ECA"/>
    <w:rsid w:val="4C855C49"/>
    <w:rsid w:val="4C876AA5"/>
    <w:rsid w:val="4C92075D"/>
    <w:rsid w:val="4C9444D5"/>
    <w:rsid w:val="4C9B323D"/>
    <w:rsid w:val="4C9C42C9"/>
    <w:rsid w:val="4CA159E4"/>
    <w:rsid w:val="4CA43468"/>
    <w:rsid w:val="4CB80E4F"/>
    <w:rsid w:val="4CB86188"/>
    <w:rsid w:val="4CBD1C7E"/>
    <w:rsid w:val="4CC01EE8"/>
    <w:rsid w:val="4CC34DBA"/>
    <w:rsid w:val="4CC4242F"/>
    <w:rsid w:val="4CC50B32"/>
    <w:rsid w:val="4CC535CC"/>
    <w:rsid w:val="4CC96874"/>
    <w:rsid w:val="4CCA6149"/>
    <w:rsid w:val="4CCC3C6F"/>
    <w:rsid w:val="4CD1681E"/>
    <w:rsid w:val="4CD24250"/>
    <w:rsid w:val="4CDB78E8"/>
    <w:rsid w:val="4CE30D1F"/>
    <w:rsid w:val="4CE83CD9"/>
    <w:rsid w:val="4CEC75AB"/>
    <w:rsid w:val="4CEE7FC3"/>
    <w:rsid w:val="4CF02F19"/>
    <w:rsid w:val="4CFA690C"/>
    <w:rsid w:val="4CFF4044"/>
    <w:rsid w:val="4D003F07"/>
    <w:rsid w:val="4D0553D3"/>
    <w:rsid w:val="4D0D3A97"/>
    <w:rsid w:val="4D0D79B2"/>
    <w:rsid w:val="4D0E00FB"/>
    <w:rsid w:val="4D0E3BC6"/>
    <w:rsid w:val="4D176606"/>
    <w:rsid w:val="4D1B2721"/>
    <w:rsid w:val="4D2633F8"/>
    <w:rsid w:val="4D295DC1"/>
    <w:rsid w:val="4D2A124B"/>
    <w:rsid w:val="4D2F202D"/>
    <w:rsid w:val="4D317ED1"/>
    <w:rsid w:val="4D33398D"/>
    <w:rsid w:val="4D3A4ADB"/>
    <w:rsid w:val="4D3B7679"/>
    <w:rsid w:val="4D3F6096"/>
    <w:rsid w:val="4D3F714C"/>
    <w:rsid w:val="4D44414D"/>
    <w:rsid w:val="4D477799"/>
    <w:rsid w:val="4D48507D"/>
    <w:rsid w:val="4D4E28D6"/>
    <w:rsid w:val="4D514B89"/>
    <w:rsid w:val="4D571ED4"/>
    <w:rsid w:val="4D5B5038"/>
    <w:rsid w:val="4D5C1A47"/>
    <w:rsid w:val="4D616AAD"/>
    <w:rsid w:val="4D623100"/>
    <w:rsid w:val="4D664C92"/>
    <w:rsid w:val="4D7467B7"/>
    <w:rsid w:val="4D7D19FF"/>
    <w:rsid w:val="4D7D5A97"/>
    <w:rsid w:val="4D8207D1"/>
    <w:rsid w:val="4D826853"/>
    <w:rsid w:val="4D84279B"/>
    <w:rsid w:val="4D8C1650"/>
    <w:rsid w:val="4D8F1CC7"/>
    <w:rsid w:val="4D99279A"/>
    <w:rsid w:val="4D9A7089"/>
    <w:rsid w:val="4D9F75D5"/>
    <w:rsid w:val="4DA16EA9"/>
    <w:rsid w:val="4DA361BB"/>
    <w:rsid w:val="4DA44F26"/>
    <w:rsid w:val="4DA8001F"/>
    <w:rsid w:val="4DA80AF1"/>
    <w:rsid w:val="4DA92202"/>
    <w:rsid w:val="4DAA019C"/>
    <w:rsid w:val="4DC40B57"/>
    <w:rsid w:val="4DC45D61"/>
    <w:rsid w:val="4DC76375"/>
    <w:rsid w:val="4DCB2178"/>
    <w:rsid w:val="4DCC5FB0"/>
    <w:rsid w:val="4DCE41E9"/>
    <w:rsid w:val="4DD03C33"/>
    <w:rsid w:val="4DD51249"/>
    <w:rsid w:val="4DE461D2"/>
    <w:rsid w:val="4DE46758"/>
    <w:rsid w:val="4DE72F2C"/>
    <w:rsid w:val="4DEC4FB0"/>
    <w:rsid w:val="4DED7C58"/>
    <w:rsid w:val="4DEE0F3C"/>
    <w:rsid w:val="4DF55AA8"/>
    <w:rsid w:val="4DF739FA"/>
    <w:rsid w:val="4DF76629"/>
    <w:rsid w:val="4DF842F9"/>
    <w:rsid w:val="4DFB253E"/>
    <w:rsid w:val="4DFC67D6"/>
    <w:rsid w:val="4E022800"/>
    <w:rsid w:val="4E075D8A"/>
    <w:rsid w:val="4E094A4F"/>
    <w:rsid w:val="4E096AB3"/>
    <w:rsid w:val="4E0B21FC"/>
    <w:rsid w:val="4E0D250D"/>
    <w:rsid w:val="4E12669E"/>
    <w:rsid w:val="4E1409B4"/>
    <w:rsid w:val="4E145678"/>
    <w:rsid w:val="4E147F73"/>
    <w:rsid w:val="4E1C29D4"/>
    <w:rsid w:val="4E1F1791"/>
    <w:rsid w:val="4E233D62"/>
    <w:rsid w:val="4E273DF4"/>
    <w:rsid w:val="4E293077"/>
    <w:rsid w:val="4E2A4C8D"/>
    <w:rsid w:val="4E2D7F83"/>
    <w:rsid w:val="4E2F4B6D"/>
    <w:rsid w:val="4E3060AB"/>
    <w:rsid w:val="4E3907E2"/>
    <w:rsid w:val="4E39384E"/>
    <w:rsid w:val="4E3D3451"/>
    <w:rsid w:val="4E3D4BE8"/>
    <w:rsid w:val="4E3D7DFD"/>
    <w:rsid w:val="4E3F0301"/>
    <w:rsid w:val="4E3F7DE0"/>
    <w:rsid w:val="4E486DD6"/>
    <w:rsid w:val="4E4E748A"/>
    <w:rsid w:val="4E595934"/>
    <w:rsid w:val="4E5C64FB"/>
    <w:rsid w:val="4E5E3241"/>
    <w:rsid w:val="4E6011B1"/>
    <w:rsid w:val="4E630603"/>
    <w:rsid w:val="4E66019E"/>
    <w:rsid w:val="4E6D398F"/>
    <w:rsid w:val="4E6E6A52"/>
    <w:rsid w:val="4E700CCD"/>
    <w:rsid w:val="4E730444"/>
    <w:rsid w:val="4E7919E9"/>
    <w:rsid w:val="4E7B35FC"/>
    <w:rsid w:val="4E7C3317"/>
    <w:rsid w:val="4E7D7917"/>
    <w:rsid w:val="4E861E27"/>
    <w:rsid w:val="4E875F36"/>
    <w:rsid w:val="4E881E17"/>
    <w:rsid w:val="4E8A5B90"/>
    <w:rsid w:val="4E8F6622"/>
    <w:rsid w:val="4E94156B"/>
    <w:rsid w:val="4E9C3070"/>
    <w:rsid w:val="4EA01857"/>
    <w:rsid w:val="4EA36D43"/>
    <w:rsid w:val="4EA50E1A"/>
    <w:rsid w:val="4EA62388"/>
    <w:rsid w:val="4EA82E08"/>
    <w:rsid w:val="4EA83BE7"/>
    <w:rsid w:val="4EB73CD2"/>
    <w:rsid w:val="4EBB3F9B"/>
    <w:rsid w:val="4EBD2555"/>
    <w:rsid w:val="4EC00FAD"/>
    <w:rsid w:val="4EC57DEF"/>
    <w:rsid w:val="4ED908B3"/>
    <w:rsid w:val="4EE06743"/>
    <w:rsid w:val="4EE72FE2"/>
    <w:rsid w:val="4EE74AB1"/>
    <w:rsid w:val="4EF04980"/>
    <w:rsid w:val="4EF434E8"/>
    <w:rsid w:val="4EF66698"/>
    <w:rsid w:val="4EFD543E"/>
    <w:rsid w:val="4F087D42"/>
    <w:rsid w:val="4F0B02F1"/>
    <w:rsid w:val="4F0C738F"/>
    <w:rsid w:val="4F116F9A"/>
    <w:rsid w:val="4F145898"/>
    <w:rsid w:val="4F156E2D"/>
    <w:rsid w:val="4F1A1DB2"/>
    <w:rsid w:val="4F1A25AD"/>
    <w:rsid w:val="4F1E300F"/>
    <w:rsid w:val="4F1E5158"/>
    <w:rsid w:val="4F22553E"/>
    <w:rsid w:val="4F237906"/>
    <w:rsid w:val="4F247D92"/>
    <w:rsid w:val="4F260972"/>
    <w:rsid w:val="4F2648A7"/>
    <w:rsid w:val="4F2A29BF"/>
    <w:rsid w:val="4F2C00D1"/>
    <w:rsid w:val="4F2E04D0"/>
    <w:rsid w:val="4F31787E"/>
    <w:rsid w:val="4F334112"/>
    <w:rsid w:val="4F3B1CAD"/>
    <w:rsid w:val="4F3F510F"/>
    <w:rsid w:val="4F3F6CBC"/>
    <w:rsid w:val="4F534BF8"/>
    <w:rsid w:val="4F54128E"/>
    <w:rsid w:val="4F582894"/>
    <w:rsid w:val="4F5C3AAD"/>
    <w:rsid w:val="4F602D94"/>
    <w:rsid w:val="4F610ECE"/>
    <w:rsid w:val="4F642AEF"/>
    <w:rsid w:val="4F6573C9"/>
    <w:rsid w:val="4F6E0FA4"/>
    <w:rsid w:val="4F6E54B1"/>
    <w:rsid w:val="4F7431C1"/>
    <w:rsid w:val="4F754A92"/>
    <w:rsid w:val="4F754C20"/>
    <w:rsid w:val="4F76547D"/>
    <w:rsid w:val="4F7C6731"/>
    <w:rsid w:val="4F7E6D65"/>
    <w:rsid w:val="4F824AB9"/>
    <w:rsid w:val="4F836FD1"/>
    <w:rsid w:val="4F850B59"/>
    <w:rsid w:val="4F8646AF"/>
    <w:rsid w:val="4F8B54DC"/>
    <w:rsid w:val="4F8B6063"/>
    <w:rsid w:val="4F8B7E11"/>
    <w:rsid w:val="4F95796D"/>
    <w:rsid w:val="4F9626E9"/>
    <w:rsid w:val="4F9843DC"/>
    <w:rsid w:val="4F9D6BF9"/>
    <w:rsid w:val="4F9E448C"/>
    <w:rsid w:val="4FA07282"/>
    <w:rsid w:val="4FA33C1E"/>
    <w:rsid w:val="4FA77DB0"/>
    <w:rsid w:val="4FAB7E42"/>
    <w:rsid w:val="4FAC106B"/>
    <w:rsid w:val="4FAC11CC"/>
    <w:rsid w:val="4FB05ACA"/>
    <w:rsid w:val="4FB214FE"/>
    <w:rsid w:val="4FB54E8E"/>
    <w:rsid w:val="4FBB7FCB"/>
    <w:rsid w:val="4FBF1DA1"/>
    <w:rsid w:val="4FC30FBB"/>
    <w:rsid w:val="4FC57484"/>
    <w:rsid w:val="4FC61AEE"/>
    <w:rsid w:val="4FC62A8C"/>
    <w:rsid w:val="4FC72929"/>
    <w:rsid w:val="4FD749A5"/>
    <w:rsid w:val="4FDD0D75"/>
    <w:rsid w:val="4FE20F0D"/>
    <w:rsid w:val="4FE51552"/>
    <w:rsid w:val="4FE53500"/>
    <w:rsid w:val="4FE62559"/>
    <w:rsid w:val="4FE75F7B"/>
    <w:rsid w:val="4FE82DD1"/>
    <w:rsid w:val="4FEA5B24"/>
    <w:rsid w:val="4FEC1657"/>
    <w:rsid w:val="4FF47E69"/>
    <w:rsid w:val="4FF5172F"/>
    <w:rsid w:val="4FF534DD"/>
    <w:rsid w:val="4FF546A4"/>
    <w:rsid w:val="4FF742E8"/>
    <w:rsid w:val="4FFD05E3"/>
    <w:rsid w:val="4FFE6835"/>
    <w:rsid w:val="4FFF6A4F"/>
    <w:rsid w:val="5006393C"/>
    <w:rsid w:val="50083210"/>
    <w:rsid w:val="50096F88"/>
    <w:rsid w:val="501469A5"/>
    <w:rsid w:val="50151DD1"/>
    <w:rsid w:val="5019366F"/>
    <w:rsid w:val="501A0388"/>
    <w:rsid w:val="501E30FF"/>
    <w:rsid w:val="50232AED"/>
    <w:rsid w:val="502D3DF8"/>
    <w:rsid w:val="502F7B80"/>
    <w:rsid w:val="503C1161"/>
    <w:rsid w:val="50442BA7"/>
    <w:rsid w:val="50446212"/>
    <w:rsid w:val="504A3442"/>
    <w:rsid w:val="50504C4B"/>
    <w:rsid w:val="505508BC"/>
    <w:rsid w:val="50592FC2"/>
    <w:rsid w:val="505B4290"/>
    <w:rsid w:val="505B6CFB"/>
    <w:rsid w:val="505C569C"/>
    <w:rsid w:val="505D09B3"/>
    <w:rsid w:val="505E043D"/>
    <w:rsid w:val="505E1332"/>
    <w:rsid w:val="5060129E"/>
    <w:rsid w:val="50672CDB"/>
    <w:rsid w:val="506D261A"/>
    <w:rsid w:val="506D3551"/>
    <w:rsid w:val="50722D7F"/>
    <w:rsid w:val="50750766"/>
    <w:rsid w:val="50760AC1"/>
    <w:rsid w:val="50772144"/>
    <w:rsid w:val="50792360"/>
    <w:rsid w:val="507D0BD3"/>
    <w:rsid w:val="507E34D2"/>
    <w:rsid w:val="507F6C16"/>
    <w:rsid w:val="50801AEF"/>
    <w:rsid w:val="508C7002"/>
    <w:rsid w:val="508F454E"/>
    <w:rsid w:val="509019AE"/>
    <w:rsid w:val="509203FA"/>
    <w:rsid w:val="50942CF5"/>
    <w:rsid w:val="509443E1"/>
    <w:rsid w:val="50954D68"/>
    <w:rsid w:val="50970679"/>
    <w:rsid w:val="50977530"/>
    <w:rsid w:val="509C6E7C"/>
    <w:rsid w:val="50A05B3E"/>
    <w:rsid w:val="50A078EC"/>
    <w:rsid w:val="50A33193"/>
    <w:rsid w:val="50AC3A25"/>
    <w:rsid w:val="50AD5EBE"/>
    <w:rsid w:val="50B040E7"/>
    <w:rsid w:val="50B2102C"/>
    <w:rsid w:val="50B25FB2"/>
    <w:rsid w:val="50B40FE2"/>
    <w:rsid w:val="50B43398"/>
    <w:rsid w:val="50B6598C"/>
    <w:rsid w:val="50B92BBB"/>
    <w:rsid w:val="50BD2F30"/>
    <w:rsid w:val="50C04D6B"/>
    <w:rsid w:val="50CD0815"/>
    <w:rsid w:val="50D1053D"/>
    <w:rsid w:val="50D8235D"/>
    <w:rsid w:val="50DC644B"/>
    <w:rsid w:val="50E5328E"/>
    <w:rsid w:val="50EC2B32"/>
    <w:rsid w:val="50EC48E0"/>
    <w:rsid w:val="50ED5CB3"/>
    <w:rsid w:val="50EE4E28"/>
    <w:rsid w:val="50F32D38"/>
    <w:rsid w:val="50F42958"/>
    <w:rsid w:val="50FC29A8"/>
    <w:rsid w:val="50FC2E49"/>
    <w:rsid w:val="51033693"/>
    <w:rsid w:val="510734C7"/>
    <w:rsid w:val="51092E36"/>
    <w:rsid w:val="51157EAF"/>
    <w:rsid w:val="5117687F"/>
    <w:rsid w:val="51181B78"/>
    <w:rsid w:val="511928CA"/>
    <w:rsid w:val="51206ED5"/>
    <w:rsid w:val="51273B6A"/>
    <w:rsid w:val="51273CB7"/>
    <w:rsid w:val="513005C6"/>
    <w:rsid w:val="51375C9E"/>
    <w:rsid w:val="514209A3"/>
    <w:rsid w:val="51425097"/>
    <w:rsid w:val="51484027"/>
    <w:rsid w:val="514A4DFE"/>
    <w:rsid w:val="514B42EC"/>
    <w:rsid w:val="514B7693"/>
    <w:rsid w:val="514F6499"/>
    <w:rsid w:val="515058A2"/>
    <w:rsid w:val="51573D6E"/>
    <w:rsid w:val="515D3A2F"/>
    <w:rsid w:val="51605D7F"/>
    <w:rsid w:val="5162104E"/>
    <w:rsid w:val="516241D1"/>
    <w:rsid w:val="51627BA7"/>
    <w:rsid w:val="51652EA7"/>
    <w:rsid w:val="516F13BA"/>
    <w:rsid w:val="51735001"/>
    <w:rsid w:val="517B21F2"/>
    <w:rsid w:val="518560FC"/>
    <w:rsid w:val="518B4751"/>
    <w:rsid w:val="518B7018"/>
    <w:rsid w:val="518E1E3B"/>
    <w:rsid w:val="518F1B39"/>
    <w:rsid w:val="51927A2D"/>
    <w:rsid w:val="519805C3"/>
    <w:rsid w:val="51A85CDE"/>
    <w:rsid w:val="51A923EB"/>
    <w:rsid w:val="51A94B44"/>
    <w:rsid w:val="51A95109"/>
    <w:rsid w:val="51B00003"/>
    <w:rsid w:val="51B353FD"/>
    <w:rsid w:val="51B47AA9"/>
    <w:rsid w:val="51B55037"/>
    <w:rsid w:val="51BD3634"/>
    <w:rsid w:val="51C82784"/>
    <w:rsid w:val="51CF7D67"/>
    <w:rsid w:val="51D00DA9"/>
    <w:rsid w:val="51D32AE5"/>
    <w:rsid w:val="51D62BE3"/>
    <w:rsid w:val="51DA6E2E"/>
    <w:rsid w:val="51DC0DF8"/>
    <w:rsid w:val="51DE74B4"/>
    <w:rsid w:val="51E15998"/>
    <w:rsid w:val="51EC5CAA"/>
    <w:rsid w:val="51F00413"/>
    <w:rsid w:val="51F10048"/>
    <w:rsid w:val="51F34B83"/>
    <w:rsid w:val="51F872B4"/>
    <w:rsid w:val="51FB2B83"/>
    <w:rsid w:val="51FC6DA4"/>
    <w:rsid w:val="52040FFC"/>
    <w:rsid w:val="52054E3C"/>
    <w:rsid w:val="520A7877"/>
    <w:rsid w:val="520C0A8F"/>
    <w:rsid w:val="520D05A6"/>
    <w:rsid w:val="520F4496"/>
    <w:rsid w:val="521703C8"/>
    <w:rsid w:val="521836DD"/>
    <w:rsid w:val="521D75D9"/>
    <w:rsid w:val="52263E21"/>
    <w:rsid w:val="522919DD"/>
    <w:rsid w:val="522A0FD2"/>
    <w:rsid w:val="522B006F"/>
    <w:rsid w:val="522D084A"/>
    <w:rsid w:val="52307CA0"/>
    <w:rsid w:val="5231337A"/>
    <w:rsid w:val="52385F6B"/>
    <w:rsid w:val="523A79B4"/>
    <w:rsid w:val="523C1897"/>
    <w:rsid w:val="524035C2"/>
    <w:rsid w:val="52413461"/>
    <w:rsid w:val="52456535"/>
    <w:rsid w:val="5246001F"/>
    <w:rsid w:val="52471AAF"/>
    <w:rsid w:val="52477705"/>
    <w:rsid w:val="52483DF6"/>
    <w:rsid w:val="525210BA"/>
    <w:rsid w:val="52557D27"/>
    <w:rsid w:val="525679BC"/>
    <w:rsid w:val="525E180D"/>
    <w:rsid w:val="52635075"/>
    <w:rsid w:val="526609AB"/>
    <w:rsid w:val="52666914"/>
    <w:rsid w:val="526D3A26"/>
    <w:rsid w:val="52712B9C"/>
    <w:rsid w:val="52736F24"/>
    <w:rsid w:val="52742FD2"/>
    <w:rsid w:val="527B7C59"/>
    <w:rsid w:val="527C5ECB"/>
    <w:rsid w:val="527E021F"/>
    <w:rsid w:val="52873195"/>
    <w:rsid w:val="528B16EF"/>
    <w:rsid w:val="529337E5"/>
    <w:rsid w:val="52997828"/>
    <w:rsid w:val="529C40E3"/>
    <w:rsid w:val="529C4946"/>
    <w:rsid w:val="529F23FF"/>
    <w:rsid w:val="529F66D1"/>
    <w:rsid w:val="52A10010"/>
    <w:rsid w:val="52A10718"/>
    <w:rsid w:val="52A23D33"/>
    <w:rsid w:val="52A54BF6"/>
    <w:rsid w:val="52A7766B"/>
    <w:rsid w:val="52AB07CA"/>
    <w:rsid w:val="52B315EB"/>
    <w:rsid w:val="52BA6ECC"/>
    <w:rsid w:val="52C06024"/>
    <w:rsid w:val="52C75B2E"/>
    <w:rsid w:val="52C76699"/>
    <w:rsid w:val="52CF0A89"/>
    <w:rsid w:val="52D6360E"/>
    <w:rsid w:val="52D67E44"/>
    <w:rsid w:val="52DA6094"/>
    <w:rsid w:val="52E37F64"/>
    <w:rsid w:val="52E64633"/>
    <w:rsid w:val="52E71F2D"/>
    <w:rsid w:val="52EB05B0"/>
    <w:rsid w:val="52EE27FC"/>
    <w:rsid w:val="52F00D14"/>
    <w:rsid w:val="52F83A10"/>
    <w:rsid w:val="53041A34"/>
    <w:rsid w:val="53043163"/>
    <w:rsid w:val="53147604"/>
    <w:rsid w:val="53165A61"/>
    <w:rsid w:val="531B6708"/>
    <w:rsid w:val="531D033B"/>
    <w:rsid w:val="531E2599"/>
    <w:rsid w:val="53222F8F"/>
    <w:rsid w:val="532277F7"/>
    <w:rsid w:val="53282B3B"/>
    <w:rsid w:val="532C1B24"/>
    <w:rsid w:val="53307BB7"/>
    <w:rsid w:val="53323AA3"/>
    <w:rsid w:val="533D114F"/>
    <w:rsid w:val="5345112F"/>
    <w:rsid w:val="5345477B"/>
    <w:rsid w:val="53487DC7"/>
    <w:rsid w:val="534A1D91"/>
    <w:rsid w:val="534D74AF"/>
    <w:rsid w:val="53515E19"/>
    <w:rsid w:val="53520D4C"/>
    <w:rsid w:val="53582700"/>
    <w:rsid w:val="535B7AFB"/>
    <w:rsid w:val="535D4897"/>
    <w:rsid w:val="535F16D9"/>
    <w:rsid w:val="53605111"/>
    <w:rsid w:val="536410A5"/>
    <w:rsid w:val="536B602B"/>
    <w:rsid w:val="536D3453"/>
    <w:rsid w:val="536E6B3B"/>
    <w:rsid w:val="537245D6"/>
    <w:rsid w:val="537E3472"/>
    <w:rsid w:val="53811CA4"/>
    <w:rsid w:val="53834CF0"/>
    <w:rsid w:val="53850E4F"/>
    <w:rsid w:val="538602E1"/>
    <w:rsid w:val="5388703E"/>
    <w:rsid w:val="53896CD2"/>
    <w:rsid w:val="538C5835"/>
    <w:rsid w:val="538D66B2"/>
    <w:rsid w:val="539E40EB"/>
    <w:rsid w:val="539F032F"/>
    <w:rsid w:val="53A039CC"/>
    <w:rsid w:val="53A1505A"/>
    <w:rsid w:val="53A476F3"/>
    <w:rsid w:val="53A60F81"/>
    <w:rsid w:val="53A63EB0"/>
    <w:rsid w:val="53B12890"/>
    <w:rsid w:val="53B35AEE"/>
    <w:rsid w:val="53B90C7F"/>
    <w:rsid w:val="53BF0089"/>
    <w:rsid w:val="53C214D3"/>
    <w:rsid w:val="53C315F1"/>
    <w:rsid w:val="53D03AFA"/>
    <w:rsid w:val="53D457EE"/>
    <w:rsid w:val="53D50D6B"/>
    <w:rsid w:val="53D61AC2"/>
    <w:rsid w:val="53D621B6"/>
    <w:rsid w:val="53D668AC"/>
    <w:rsid w:val="53D865BE"/>
    <w:rsid w:val="53DE3EE0"/>
    <w:rsid w:val="53DF697E"/>
    <w:rsid w:val="53E15B2F"/>
    <w:rsid w:val="53E723A1"/>
    <w:rsid w:val="53EB52C4"/>
    <w:rsid w:val="53EF29C0"/>
    <w:rsid w:val="53F20208"/>
    <w:rsid w:val="53F61612"/>
    <w:rsid w:val="53F727BF"/>
    <w:rsid w:val="53FC24E5"/>
    <w:rsid w:val="53FF0DCE"/>
    <w:rsid w:val="54023977"/>
    <w:rsid w:val="5405118F"/>
    <w:rsid w:val="54063E08"/>
    <w:rsid w:val="54087FCC"/>
    <w:rsid w:val="54101B38"/>
    <w:rsid w:val="54120B01"/>
    <w:rsid w:val="541251D1"/>
    <w:rsid w:val="54147177"/>
    <w:rsid w:val="54152155"/>
    <w:rsid w:val="54197ED8"/>
    <w:rsid w:val="541B174F"/>
    <w:rsid w:val="541B3C32"/>
    <w:rsid w:val="541E6DA1"/>
    <w:rsid w:val="54204352"/>
    <w:rsid w:val="543437E8"/>
    <w:rsid w:val="54345897"/>
    <w:rsid w:val="54352A41"/>
    <w:rsid w:val="544051B5"/>
    <w:rsid w:val="54417363"/>
    <w:rsid w:val="544A302A"/>
    <w:rsid w:val="5450728F"/>
    <w:rsid w:val="54540146"/>
    <w:rsid w:val="54596AE6"/>
    <w:rsid w:val="545B2183"/>
    <w:rsid w:val="545D2668"/>
    <w:rsid w:val="545E655F"/>
    <w:rsid w:val="54660E4D"/>
    <w:rsid w:val="5467032C"/>
    <w:rsid w:val="546D40DC"/>
    <w:rsid w:val="546D52BE"/>
    <w:rsid w:val="5480645A"/>
    <w:rsid w:val="548303B6"/>
    <w:rsid w:val="548336A8"/>
    <w:rsid w:val="54890697"/>
    <w:rsid w:val="548E4BCF"/>
    <w:rsid w:val="54973DD2"/>
    <w:rsid w:val="54987A8F"/>
    <w:rsid w:val="549B4897"/>
    <w:rsid w:val="549D01C5"/>
    <w:rsid w:val="549D3D9B"/>
    <w:rsid w:val="549E2395"/>
    <w:rsid w:val="549E768C"/>
    <w:rsid w:val="54A1614D"/>
    <w:rsid w:val="54A52A84"/>
    <w:rsid w:val="54A74F14"/>
    <w:rsid w:val="54AA3FC2"/>
    <w:rsid w:val="54AB325B"/>
    <w:rsid w:val="54AE20BF"/>
    <w:rsid w:val="54B61D92"/>
    <w:rsid w:val="54B90F7D"/>
    <w:rsid w:val="54BB0198"/>
    <w:rsid w:val="54BC6A3F"/>
    <w:rsid w:val="54C47921"/>
    <w:rsid w:val="54C610E4"/>
    <w:rsid w:val="54C97D53"/>
    <w:rsid w:val="54CB518A"/>
    <w:rsid w:val="54CC2116"/>
    <w:rsid w:val="54D275B3"/>
    <w:rsid w:val="54D44D31"/>
    <w:rsid w:val="54D7298C"/>
    <w:rsid w:val="54D83366"/>
    <w:rsid w:val="54D874A6"/>
    <w:rsid w:val="54E26F02"/>
    <w:rsid w:val="54E81DD3"/>
    <w:rsid w:val="54EA1DBC"/>
    <w:rsid w:val="54F31FD7"/>
    <w:rsid w:val="54F46D90"/>
    <w:rsid w:val="54F64C74"/>
    <w:rsid w:val="54F73313"/>
    <w:rsid w:val="54F759B3"/>
    <w:rsid w:val="54F80955"/>
    <w:rsid w:val="54FB1595"/>
    <w:rsid w:val="54FB5435"/>
    <w:rsid w:val="55013D6C"/>
    <w:rsid w:val="550559F2"/>
    <w:rsid w:val="55087F89"/>
    <w:rsid w:val="550A73A5"/>
    <w:rsid w:val="550F75E9"/>
    <w:rsid w:val="551307AE"/>
    <w:rsid w:val="5516757E"/>
    <w:rsid w:val="551E652F"/>
    <w:rsid w:val="551E7EDE"/>
    <w:rsid w:val="551F0EE2"/>
    <w:rsid w:val="55254864"/>
    <w:rsid w:val="552E2FE9"/>
    <w:rsid w:val="55346855"/>
    <w:rsid w:val="553B4087"/>
    <w:rsid w:val="553D5DCD"/>
    <w:rsid w:val="5545670B"/>
    <w:rsid w:val="554C37F3"/>
    <w:rsid w:val="554F368F"/>
    <w:rsid w:val="555170A7"/>
    <w:rsid w:val="55557E1D"/>
    <w:rsid w:val="55564302"/>
    <w:rsid w:val="55566D68"/>
    <w:rsid w:val="555714B5"/>
    <w:rsid w:val="555E2D16"/>
    <w:rsid w:val="55654C60"/>
    <w:rsid w:val="55684EB0"/>
    <w:rsid w:val="556C5C7F"/>
    <w:rsid w:val="55780E2B"/>
    <w:rsid w:val="557A7FD8"/>
    <w:rsid w:val="557C1FAA"/>
    <w:rsid w:val="5587536D"/>
    <w:rsid w:val="558A7D50"/>
    <w:rsid w:val="558C42E5"/>
    <w:rsid w:val="55943798"/>
    <w:rsid w:val="559A6F9A"/>
    <w:rsid w:val="559B174B"/>
    <w:rsid w:val="55A256E3"/>
    <w:rsid w:val="55A72EF0"/>
    <w:rsid w:val="55A82D9F"/>
    <w:rsid w:val="55A91D97"/>
    <w:rsid w:val="55AB1372"/>
    <w:rsid w:val="55AC7BC9"/>
    <w:rsid w:val="55AC7DAC"/>
    <w:rsid w:val="55B41D2B"/>
    <w:rsid w:val="55B51296"/>
    <w:rsid w:val="55B6153F"/>
    <w:rsid w:val="55BE25C3"/>
    <w:rsid w:val="55C54DBB"/>
    <w:rsid w:val="55C636E4"/>
    <w:rsid w:val="55C6456F"/>
    <w:rsid w:val="55CC1AA7"/>
    <w:rsid w:val="55CE0CF4"/>
    <w:rsid w:val="55CF797A"/>
    <w:rsid w:val="55D33BEB"/>
    <w:rsid w:val="55DB79C3"/>
    <w:rsid w:val="55DF0EB7"/>
    <w:rsid w:val="55E00F94"/>
    <w:rsid w:val="55E107EE"/>
    <w:rsid w:val="55E327A6"/>
    <w:rsid w:val="55E40E17"/>
    <w:rsid w:val="55F06C20"/>
    <w:rsid w:val="55F34A4C"/>
    <w:rsid w:val="55F634AF"/>
    <w:rsid w:val="55F65CBA"/>
    <w:rsid w:val="55F76A1D"/>
    <w:rsid w:val="55FD45EF"/>
    <w:rsid w:val="55FE3424"/>
    <w:rsid w:val="560C5D5A"/>
    <w:rsid w:val="561609D5"/>
    <w:rsid w:val="561F12B3"/>
    <w:rsid w:val="562246F5"/>
    <w:rsid w:val="56226294"/>
    <w:rsid w:val="56261658"/>
    <w:rsid w:val="56262642"/>
    <w:rsid w:val="562D42F8"/>
    <w:rsid w:val="562D7F11"/>
    <w:rsid w:val="562E4E66"/>
    <w:rsid w:val="563C777D"/>
    <w:rsid w:val="564104D7"/>
    <w:rsid w:val="5641068D"/>
    <w:rsid w:val="564B43CE"/>
    <w:rsid w:val="565108CF"/>
    <w:rsid w:val="56510C3A"/>
    <w:rsid w:val="56514BD3"/>
    <w:rsid w:val="565B60AB"/>
    <w:rsid w:val="565D1E21"/>
    <w:rsid w:val="56603816"/>
    <w:rsid w:val="56644DE9"/>
    <w:rsid w:val="566C0947"/>
    <w:rsid w:val="566E3FE9"/>
    <w:rsid w:val="56726F76"/>
    <w:rsid w:val="567333AD"/>
    <w:rsid w:val="5676031D"/>
    <w:rsid w:val="56776D69"/>
    <w:rsid w:val="567B66C0"/>
    <w:rsid w:val="567D13ED"/>
    <w:rsid w:val="568367B8"/>
    <w:rsid w:val="568630E0"/>
    <w:rsid w:val="56891B4D"/>
    <w:rsid w:val="568C627F"/>
    <w:rsid w:val="568F6618"/>
    <w:rsid w:val="56934D04"/>
    <w:rsid w:val="56945837"/>
    <w:rsid w:val="569706EB"/>
    <w:rsid w:val="56A143BE"/>
    <w:rsid w:val="56AC770D"/>
    <w:rsid w:val="56B22A9C"/>
    <w:rsid w:val="56B57E6D"/>
    <w:rsid w:val="56BA7E03"/>
    <w:rsid w:val="56C52ECE"/>
    <w:rsid w:val="56C65BD3"/>
    <w:rsid w:val="56D25CB2"/>
    <w:rsid w:val="56D30F4E"/>
    <w:rsid w:val="56D402F0"/>
    <w:rsid w:val="56DA5407"/>
    <w:rsid w:val="56DB235D"/>
    <w:rsid w:val="56DC53F6"/>
    <w:rsid w:val="56E11C93"/>
    <w:rsid w:val="56E21670"/>
    <w:rsid w:val="56E30449"/>
    <w:rsid w:val="56E801F8"/>
    <w:rsid w:val="56F1398C"/>
    <w:rsid w:val="56F7330C"/>
    <w:rsid w:val="56FC699D"/>
    <w:rsid w:val="570009A8"/>
    <w:rsid w:val="570021F2"/>
    <w:rsid w:val="57055CE2"/>
    <w:rsid w:val="57127095"/>
    <w:rsid w:val="571407D2"/>
    <w:rsid w:val="571701DC"/>
    <w:rsid w:val="57201009"/>
    <w:rsid w:val="57236B81"/>
    <w:rsid w:val="57274675"/>
    <w:rsid w:val="572A6162"/>
    <w:rsid w:val="572B4C9A"/>
    <w:rsid w:val="572D3C16"/>
    <w:rsid w:val="572E3C79"/>
    <w:rsid w:val="57304F35"/>
    <w:rsid w:val="57330F18"/>
    <w:rsid w:val="5734016F"/>
    <w:rsid w:val="57340D8E"/>
    <w:rsid w:val="57341DFD"/>
    <w:rsid w:val="5737262D"/>
    <w:rsid w:val="573C6745"/>
    <w:rsid w:val="5748483A"/>
    <w:rsid w:val="574865E8"/>
    <w:rsid w:val="574A0767"/>
    <w:rsid w:val="574D15AB"/>
    <w:rsid w:val="574D2FBA"/>
    <w:rsid w:val="57522DA7"/>
    <w:rsid w:val="5752394A"/>
    <w:rsid w:val="57525C4F"/>
    <w:rsid w:val="57556F8D"/>
    <w:rsid w:val="575C2403"/>
    <w:rsid w:val="57620C73"/>
    <w:rsid w:val="57662BCF"/>
    <w:rsid w:val="57713D91"/>
    <w:rsid w:val="577152B8"/>
    <w:rsid w:val="577711D2"/>
    <w:rsid w:val="577D5EA0"/>
    <w:rsid w:val="57821FCB"/>
    <w:rsid w:val="5789732C"/>
    <w:rsid w:val="57913F1C"/>
    <w:rsid w:val="579F086D"/>
    <w:rsid w:val="57A3611E"/>
    <w:rsid w:val="57A4224B"/>
    <w:rsid w:val="57A52C26"/>
    <w:rsid w:val="57A64C20"/>
    <w:rsid w:val="57A852D8"/>
    <w:rsid w:val="57A86660"/>
    <w:rsid w:val="57AC0592"/>
    <w:rsid w:val="57AC0713"/>
    <w:rsid w:val="57AD28EF"/>
    <w:rsid w:val="57AE0ED6"/>
    <w:rsid w:val="57B72A76"/>
    <w:rsid w:val="57C33EC0"/>
    <w:rsid w:val="57C3426C"/>
    <w:rsid w:val="57C715AD"/>
    <w:rsid w:val="57CE1F93"/>
    <w:rsid w:val="57CF2865"/>
    <w:rsid w:val="57D13BDA"/>
    <w:rsid w:val="57D40BC6"/>
    <w:rsid w:val="57DD72A8"/>
    <w:rsid w:val="57E12EEB"/>
    <w:rsid w:val="57E1375F"/>
    <w:rsid w:val="57E417E0"/>
    <w:rsid w:val="57E427B4"/>
    <w:rsid w:val="57EC2BC6"/>
    <w:rsid w:val="57F833E4"/>
    <w:rsid w:val="57FA0643"/>
    <w:rsid w:val="57FD00AB"/>
    <w:rsid w:val="57FE15CB"/>
    <w:rsid w:val="57FF0273"/>
    <w:rsid w:val="580060EA"/>
    <w:rsid w:val="58025668"/>
    <w:rsid w:val="58056981"/>
    <w:rsid w:val="58056EA2"/>
    <w:rsid w:val="58057058"/>
    <w:rsid w:val="580D4D06"/>
    <w:rsid w:val="5813136B"/>
    <w:rsid w:val="58141314"/>
    <w:rsid w:val="58157023"/>
    <w:rsid w:val="5818257B"/>
    <w:rsid w:val="58187CAC"/>
    <w:rsid w:val="581A4428"/>
    <w:rsid w:val="582810F4"/>
    <w:rsid w:val="58294405"/>
    <w:rsid w:val="5832685C"/>
    <w:rsid w:val="5834660D"/>
    <w:rsid w:val="5835523D"/>
    <w:rsid w:val="583A48D1"/>
    <w:rsid w:val="583C619A"/>
    <w:rsid w:val="583D254C"/>
    <w:rsid w:val="58431E30"/>
    <w:rsid w:val="584414A5"/>
    <w:rsid w:val="58451850"/>
    <w:rsid w:val="58485292"/>
    <w:rsid w:val="584E24DB"/>
    <w:rsid w:val="58512B7F"/>
    <w:rsid w:val="5852026A"/>
    <w:rsid w:val="58564D34"/>
    <w:rsid w:val="5858676E"/>
    <w:rsid w:val="585B58E9"/>
    <w:rsid w:val="585D0036"/>
    <w:rsid w:val="58610D81"/>
    <w:rsid w:val="58690C84"/>
    <w:rsid w:val="586F1196"/>
    <w:rsid w:val="587656B2"/>
    <w:rsid w:val="58800BDF"/>
    <w:rsid w:val="58853512"/>
    <w:rsid w:val="5887032B"/>
    <w:rsid w:val="588743D1"/>
    <w:rsid w:val="5887701A"/>
    <w:rsid w:val="588875E4"/>
    <w:rsid w:val="588E4E72"/>
    <w:rsid w:val="58934458"/>
    <w:rsid w:val="58952AA4"/>
    <w:rsid w:val="589579DA"/>
    <w:rsid w:val="58975CCB"/>
    <w:rsid w:val="5898534D"/>
    <w:rsid w:val="589A7317"/>
    <w:rsid w:val="589E2212"/>
    <w:rsid w:val="589E5102"/>
    <w:rsid w:val="58A23457"/>
    <w:rsid w:val="58A509C8"/>
    <w:rsid w:val="58A9755A"/>
    <w:rsid w:val="58AE009C"/>
    <w:rsid w:val="58AE6BC3"/>
    <w:rsid w:val="58B24994"/>
    <w:rsid w:val="58B66F88"/>
    <w:rsid w:val="58BA05BA"/>
    <w:rsid w:val="58BF2A88"/>
    <w:rsid w:val="58C40E8E"/>
    <w:rsid w:val="58C9585E"/>
    <w:rsid w:val="58CA6138"/>
    <w:rsid w:val="58D03EBC"/>
    <w:rsid w:val="58D72319"/>
    <w:rsid w:val="58D85297"/>
    <w:rsid w:val="58DC16C2"/>
    <w:rsid w:val="58DF05C4"/>
    <w:rsid w:val="58E30058"/>
    <w:rsid w:val="58E835D5"/>
    <w:rsid w:val="58EC2620"/>
    <w:rsid w:val="58EF3BED"/>
    <w:rsid w:val="58F079EC"/>
    <w:rsid w:val="58F1356E"/>
    <w:rsid w:val="58F20481"/>
    <w:rsid w:val="58F3318A"/>
    <w:rsid w:val="58F94684"/>
    <w:rsid w:val="58FA6008"/>
    <w:rsid w:val="58FC753F"/>
    <w:rsid w:val="59023F51"/>
    <w:rsid w:val="59113C10"/>
    <w:rsid w:val="59131EC1"/>
    <w:rsid w:val="591946E0"/>
    <w:rsid w:val="59194D7E"/>
    <w:rsid w:val="591B7FAA"/>
    <w:rsid w:val="59204761"/>
    <w:rsid w:val="59211D64"/>
    <w:rsid w:val="59266DFD"/>
    <w:rsid w:val="592B61C1"/>
    <w:rsid w:val="592E5DFC"/>
    <w:rsid w:val="593155B4"/>
    <w:rsid w:val="593603E8"/>
    <w:rsid w:val="59362CEA"/>
    <w:rsid w:val="59442F30"/>
    <w:rsid w:val="594430E6"/>
    <w:rsid w:val="594D4964"/>
    <w:rsid w:val="594E3FF0"/>
    <w:rsid w:val="594E692C"/>
    <w:rsid w:val="594F0101"/>
    <w:rsid w:val="59544440"/>
    <w:rsid w:val="595E39C4"/>
    <w:rsid w:val="596100D8"/>
    <w:rsid w:val="596361DB"/>
    <w:rsid w:val="59651C07"/>
    <w:rsid w:val="59663326"/>
    <w:rsid w:val="59684D1F"/>
    <w:rsid w:val="596F2512"/>
    <w:rsid w:val="596F2552"/>
    <w:rsid w:val="59701244"/>
    <w:rsid w:val="597015B0"/>
    <w:rsid w:val="597102E2"/>
    <w:rsid w:val="597132A7"/>
    <w:rsid w:val="597307DF"/>
    <w:rsid w:val="59752416"/>
    <w:rsid w:val="597C5386"/>
    <w:rsid w:val="597D3EA4"/>
    <w:rsid w:val="59860DCF"/>
    <w:rsid w:val="598633F7"/>
    <w:rsid w:val="59873495"/>
    <w:rsid w:val="598B0EB0"/>
    <w:rsid w:val="598B3164"/>
    <w:rsid w:val="598D2235"/>
    <w:rsid w:val="598D29D8"/>
    <w:rsid w:val="598F52BB"/>
    <w:rsid w:val="59946F61"/>
    <w:rsid w:val="599C6AA0"/>
    <w:rsid w:val="599F19E5"/>
    <w:rsid w:val="59A33FA9"/>
    <w:rsid w:val="59A744A3"/>
    <w:rsid w:val="59A75706"/>
    <w:rsid w:val="59AA4651"/>
    <w:rsid w:val="59B05DB3"/>
    <w:rsid w:val="59B150E4"/>
    <w:rsid w:val="59B7384D"/>
    <w:rsid w:val="59B75323"/>
    <w:rsid w:val="59B81BCF"/>
    <w:rsid w:val="59C0439F"/>
    <w:rsid w:val="59CD6270"/>
    <w:rsid w:val="59CE7FAE"/>
    <w:rsid w:val="59D24EE7"/>
    <w:rsid w:val="59D60988"/>
    <w:rsid w:val="59D7056A"/>
    <w:rsid w:val="59DF18EB"/>
    <w:rsid w:val="59DF76D7"/>
    <w:rsid w:val="59E413B1"/>
    <w:rsid w:val="59E46867"/>
    <w:rsid w:val="59E7658C"/>
    <w:rsid w:val="59E80F44"/>
    <w:rsid w:val="59E900B2"/>
    <w:rsid w:val="59F3611C"/>
    <w:rsid w:val="59F40CA9"/>
    <w:rsid w:val="5A005E77"/>
    <w:rsid w:val="5A0174AA"/>
    <w:rsid w:val="5A044E81"/>
    <w:rsid w:val="5A0802B0"/>
    <w:rsid w:val="5A083DCA"/>
    <w:rsid w:val="5A0A3C4C"/>
    <w:rsid w:val="5A0E0CBD"/>
    <w:rsid w:val="5A0E3B19"/>
    <w:rsid w:val="5A0E556C"/>
    <w:rsid w:val="5A1143EE"/>
    <w:rsid w:val="5A122653"/>
    <w:rsid w:val="5A13112F"/>
    <w:rsid w:val="5A1420DB"/>
    <w:rsid w:val="5A1629CD"/>
    <w:rsid w:val="5A1E0FAA"/>
    <w:rsid w:val="5A2B3695"/>
    <w:rsid w:val="5A2F72AF"/>
    <w:rsid w:val="5A31249D"/>
    <w:rsid w:val="5A317807"/>
    <w:rsid w:val="5A344318"/>
    <w:rsid w:val="5A346EF9"/>
    <w:rsid w:val="5A3908C4"/>
    <w:rsid w:val="5A391297"/>
    <w:rsid w:val="5A44034B"/>
    <w:rsid w:val="5A4507BC"/>
    <w:rsid w:val="5A4C2FB3"/>
    <w:rsid w:val="5A551748"/>
    <w:rsid w:val="5A59655A"/>
    <w:rsid w:val="5A5A4FB0"/>
    <w:rsid w:val="5A601AD1"/>
    <w:rsid w:val="5A67147B"/>
    <w:rsid w:val="5A672A61"/>
    <w:rsid w:val="5A680140"/>
    <w:rsid w:val="5A6A0275"/>
    <w:rsid w:val="5A6D679C"/>
    <w:rsid w:val="5A734160"/>
    <w:rsid w:val="5A736072"/>
    <w:rsid w:val="5A7A2F5C"/>
    <w:rsid w:val="5A807331"/>
    <w:rsid w:val="5A881C02"/>
    <w:rsid w:val="5A8B1072"/>
    <w:rsid w:val="5A912B8D"/>
    <w:rsid w:val="5A951B44"/>
    <w:rsid w:val="5A965E9D"/>
    <w:rsid w:val="5A9866CB"/>
    <w:rsid w:val="5A9D48F3"/>
    <w:rsid w:val="5AA03382"/>
    <w:rsid w:val="5AA12BDF"/>
    <w:rsid w:val="5AA369E3"/>
    <w:rsid w:val="5AAF13F6"/>
    <w:rsid w:val="5AB04526"/>
    <w:rsid w:val="5AB13C9A"/>
    <w:rsid w:val="5AB5456B"/>
    <w:rsid w:val="5ABE2233"/>
    <w:rsid w:val="5AC0059A"/>
    <w:rsid w:val="5AC17303"/>
    <w:rsid w:val="5AC629E6"/>
    <w:rsid w:val="5AC74C4F"/>
    <w:rsid w:val="5ACB3AF4"/>
    <w:rsid w:val="5ACC6324"/>
    <w:rsid w:val="5AD0636B"/>
    <w:rsid w:val="5AD848CB"/>
    <w:rsid w:val="5ADC6A2B"/>
    <w:rsid w:val="5AE604B3"/>
    <w:rsid w:val="5AEC1DC7"/>
    <w:rsid w:val="5AEC2525"/>
    <w:rsid w:val="5AED4C1B"/>
    <w:rsid w:val="5AEE169F"/>
    <w:rsid w:val="5AF6397B"/>
    <w:rsid w:val="5AF80757"/>
    <w:rsid w:val="5AF92D63"/>
    <w:rsid w:val="5AFA7329"/>
    <w:rsid w:val="5AFE0452"/>
    <w:rsid w:val="5B022F52"/>
    <w:rsid w:val="5B031129"/>
    <w:rsid w:val="5B033BA4"/>
    <w:rsid w:val="5B062C80"/>
    <w:rsid w:val="5B067DCE"/>
    <w:rsid w:val="5B081706"/>
    <w:rsid w:val="5B09170B"/>
    <w:rsid w:val="5B092AA8"/>
    <w:rsid w:val="5B114FC9"/>
    <w:rsid w:val="5B1219A5"/>
    <w:rsid w:val="5B1433B1"/>
    <w:rsid w:val="5B18349B"/>
    <w:rsid w:val="5B1909C7"/>
    <w:rsid w:val="5B1C06DB"/>
    <w:rsid w:val="5B1E1D56"/>
    <w:rsid w:val="5B24041A"/>
    <w:rsid w:val="5B243E3B"/>
    <w:rsid w:val="5B270145"/>
    <w:rsid w:val="5B271B8B"/>
    <w:rsid w:val="5B2829B8"/>
    <w:rsid w:val="5B2C1A6E"/>
    <w:rsid w:val="5B323837"/>
    <w:rsid w:val="5B340D27"/>
    <w:rsid w:val="5B395234"/>
    <w:rsid w:val="5B3E7687"/>
    <w:rsid w:val="5B423ECD"/>
    <w:rsid w:val="5B444178"/>
    <w:rsid w:val="5B484321"/>
    <w:rsid w:val="5B4E21EF"/>
    <w:rsid w:val="5B514734"/>
    <w:rsid w:val="5B5716F3"/>
    <w:rsid w:val="5B60111B"/>
    <w:rsid w:val="5B637D56"/>
    <w:rsid w:val="5B660556"/>
    <w:rsid w:val="5B6668F2"/>
    <w:rsid w:val="5B6D2C9B"/>
    <w:rsid w:val="5B6F05E7"/>
    <w:rsid w:val="5B7503A6"/>
    <w:rsid w:val="5B7D3FF5"/>
    <w:rsid w:val="5B84021A"/>
    <w:rsid w:val="5B853694"/>
    <w:rsid w:val="5B8C5C51"/>
    <w:rsid w:val="5B8E3714"/>
    <w:rsid w:val="5B904A5E"/>
    <w:rsid w:val="5B955B74"/>
    <w:rsid w:val="5B9D329D"/>
    <w:rsid w:val="5B9E711E"/>
    <w:rsid w:val="5BA069F2"/>
    <w:rsid w:val="5BB0752C"/>
    <w:rsid w:val="5BB44248"/>
    <w:rsid w:val="5BB57CD6"/>
    <w:rsid w:val="5BB778FD"/>
    <w:rsid w:val="5BBA79E8"/>
    <w:rsid w:val="5BC01E31"/>
    <w:rsid w:val="5BC3570F"/>
    <w:rsid w:val="5BC823A1"/>
    <w:rsid w:val="5BC90647"/>
    <w:rsid w:val="5BD23E86"/>
    <w:rsid w:val="5BD25782"/>
    <w:rsid w:val="5BD36453"/>
    <w:rsid w:val="5BD50B7A"/>
    <w:rsid w:val="5BD50F7F"/>
    <w:rsid w:val="5BD51E51"/>
    <w:rsid w:val="5BD60666"/>
    <w:rsid w:val="5BDC0B51"/>
    <w:rsid w:val="5BDC6869"/>
    <w:rsid w:val="5BDF39A0"/>
    <w:rsid w:val="5BDF5D95"/>
    <w:rsid w:val="5BE07CF7"/>
    <w:rsid w:val="5BE12069"/>
    <w:rsid w:val="5BE72873"/>
    <w:rsid w:val="5BE80B87"/>
    <w:rsid w:val="5BEC79C4"/>
    <w:rsid w:val="5BEF076A"/>
    <w:rsid w:val="5BEF7175"/>
    <w:rsid w:val="5BF22803"/>
    <w:rsid w:val="5BF3516C"/>
    <w:rsid w:val="5BF4415A"/>
    <w:rsid w:val="5BF65F66"/>
    <w:rsid w:val="5BF77D78"/>
    <w:rsid w:val="5BF90E22"/>
    <w:rsid w:val="5BF90F94"/>
    <w:rsid w:val="5BFB1E7B"/>
    <w:rsid w:val="5BFD3E45"/>
    <w:rsid w:val="5BFE2A26"/>
    <w:rsid w:val="5BFE2D91"/>
    <w:rsid w:val="5BFE7528"/>
    <w:rsid w:val="5BFF6736"/>
    <w:rsid w:val="5C021D2D"/>
    <w:rsid w:val="5C030BB0"/>
    <w:rsid w:val="5C0351D3"/>
    <w:rsid w:val="5C043425"/>
    <w:rsid w:val="5C0F0083"/>
    <w:rsid w:val="5C11169E"/>
    <w:rsid w:val="5C11433C"/>
    <w:rsid w:val="5C19387D"/>
    <w:rsid w:val="5C217546"/>
    <w:rsid w:val="5C2634D8"/>
    <w:rsid w:val="5C265620"/>
    <w:rsid w:val="5C272FB3"/>
    <w:rsid w:val="5C291AE7"/>
    <w:rsid w:val="5C2A177C"/>
    <w:rsid w:val="5C2D5415"/>
    <w:rsid w:val="5C2E04A2"/>
    <w:rsid w:val="5C312763"/>
    <w:rsid w:val="5C372AF8"/>
    <w:rsid w:val="5C4054CC"/>
    <w:rsid w:val="5C4057C2"/>
    <w:rsid w:val="5C556587"/>
    <w:rsid w:val="5C5B6F57"/>
    <w:rsid w:val="5C641246"/>
    <w:rsid w:val="5C687D67"/>
    <w:rsid w:val="5C6C4EE1"/>
    <w:rsid w:val="5C7610EB"/>
    <w:rsid w:val="5C766431"/>
    <w:rsid w:val="5C7D621B"/>
    <w:rsid w:val="5C7E11F6"/>
    <w:rsid w:val="5C80710E"/>
    <w:rsid w:val="5C86202D"/>
    <w:rsid w:val="5C863C00"/>
    <w:rsid w:val="5C89464D"/>
    <w:rsid w:val="5C912291"/>
    <w:rsid w:val="5C922697"/>
    <w:rsid w:val="5C932C77"/>
    <w:rsid w:val="5C973AC8"/>
    <w:rsid w:val="5C9876F3"/>
    <w:rsid w:val="5C9D2F32"/>
    <w:rsid w:val="5C9D308E"/>
    <w:rsid w:val="5C9E3B0B"/>
    <w:rsid w:val="5C9F4678"/>
    <w:rsid w:val="5CA03352"/>
    <w:rsid w:val="5CA4769A"/>
    <w:rsid w:val="5CA93FCD"/>
    <w:rsid w:val="5CAD1F74"/>
    <w:rsid w:val="5CAE56F1"/>
    <w:rsid w:val="5CB32755"/>
    <w:rsid w:val="5CB70AE9"/>
    <w:rsid w:val="5CB872EB"/>
    <w:rsid w:val="5CC63669"/>
    <w:rsid w:val="5CCA16C8"/>
    <w:rsid w:val="5CCC5468"/>
    <w:rsid w:val="5CD617F2"/>
    <w:rsid w:val="5CD8361A"/>
    <w:rsid w:val="5CDB5515"/>
    <w:rsid w:val="5CDD1BE1"/>
    <w:rsid w:val="5CDD5A24"/>
    <w:rsid w:val="5CDE3232"/>
    <w:rsid w:val="5CF05758"/>
    <w:rsid w:val="5CF97557"/>
    <w:rsid w:val="5CFB3EA6"/>
    <w:rsid w:val="5CFF3025"/>
    <w:rsid w:val="5D04766B"/>
    <w:rsid w:val="5D0C4EFC"/>
    <w:rsid w:val="5D0C55F2"/>
    <w:rsid w:val="5D0F165E"/>
    <w:rsid w:val="5D137698"/>
    <w:rsid w:val="5D1808B8"/>
    <w:rsid w:val="5D181A08"/>
    <w:rsid w:val="5D210B98"/>
    <w:rsid w:val="5D23755F"/>
    <w:rsid w:val="5D243653"/>
    <w:rsid w:val="5D284EF1"/>
    <w:rsid w:val="5D2A2A61"/>
    <w:rsid w:val="5D3C0F7F"/>
    <w:rsid w:val="5D3D1041"/>
    <w:rsid w:val="5D3E6469"/>
    <w:rsid w:val="5D403922"/>
    <w:rsid w:val="5D421AAD"/>
    <w:rsid w:val="5D426DFA"/>
    <w:rsid w:val="5D4448B9"/>
    <w:rsid w:val="5D497C27"/>
    <w:rsid w:val="5D4A3A83"/>
    <w:rsid w:val="5D4B0BE0"/>
    <w:rsid w:val="5D4C7FC4"/>
    <w:rsid w:val="5D595CDE"/>
    <w:rsid w:val="5D5F28DD"/>
    <w:rsid w:val="5D6C33D6"/>
    <w:rsid w:val="5D7013EE"/>
    <w:rsid w:val="5D757DC0"/>
    <w:rsid w:val="5D765031"/>
    <w:rsid w:val="5D777911"/>
    <w:rsid w:val="5D7D733E"/>
    <w:rsid w:val="5D7F0889"/>
    <w:rsid w:val="5D82650C"/>
    <w:rsid w:val="5D85206D"/>
    <w:rsid w:val="5D870E20"/>
    <w:rsid w:val="5D871341"/>
    <w:rsid w:val="5D883BE2"/>
    <w:rsid w:val="5D8B2523"/>
    <w:rsid w:val="5D900CE9"/>
    <w:rsid w:val="5D9541F5"/>
    <w:rsid w:val="5D96240B"/>
    <w:rsid w:val="5D964551"/>
    <w:rsid w:val="5D99777E"/>
    <w:rsid w:val="5DA13122"/>
    <w:rsid w:val="5DA3681C"/>
    <w:rsid w:val="5DA36C6E"/>
    <w:rsid w:val="5DA436F5"/>
    <w:rsid w:val="5DA64C7D"/>
    <w:rsid w:val="5DA822F9"/>
    <w:rsid w:val="5DA9018E"/>
    <w:rsid w:val="5DAD0C6A"/>
    <w:rsid w:val="5DAF6A83"/>
    <w:rsid w:val="5DB16193"/>
    <w:rsid w:val="5DBB3FB7"/>
    <w:rsid w:val="5DBC65F2"/>
    <w:rsid w:val="5DBE0636"/>
    <w:rsid w:val="5DC042A3"/>
    <w:rsid w:val="5DC21C62"/>
    <w:rsid w:val="5DC91606"/>
    <w:rsid w:val="5DC955E3"/>
    <w:rsid w:val="5DCB0835"/>
    <w:rsid w:val="5DCD7E86"/>
    <w:rsid w:val="5DD22C6C"/>
    <w:rsid w:val="5DD9074C"/>
    <w:rsid w:val="5DD95BF5"/>
    <w:rsid w:val="5DD961EC"/>
    <w:rsid w:val="5DDE7679"/>
    <w:rsid w:val="5DE11C39"/>
    <w:rsid w:val="5DE83BCA"/>
    <w:rsid w:val="5DEA17FA"/>
    <w:rsid w:val="5DEA76F2"/>
    <w:rsid w:val="5DEC200B"/>
    <w:rsid w:val="5DEC23C3"/>
    <w:rsid w:val="5DEC5943"/>
    <w:rsid w:val="5DEF549A"/>
    <w:rsid w:val="5DF125A5"/>
    <w:rsid w:val="5DF23751"/>
    <w:rsid w:val="5DF8318C"/>
    <w:rsid w:val="5DFC1EDA"/>
    <w:rsid w:val="5DFD25B8"/>
    <w:rsid w:val="5E053ECD"/>
    <w:rsid w:val="5E0A6219"/>
    <w:rsid w:val="5E0B5CD7"/>
    <w:rsid w:val="5E0C46C0"/>
    <w:rsid w:val="5E0D2339"/>
    <w:rsid w:val="5E0E1449"/>
    <w:rsid w:val="5E0E79DE"/>
    <w:rsid w:val="5E135CC8"/>
    <w:rsid w:val="5E181582"/>
    <w:rsid w:val="5E1E66E4"/>
    <w:rsid w:val="5E1E7695"/>
    <w:rsid w:val="5E213DA1"/>
    <w:rsid w:val="5E2467F1"/>
    <w:rsid w:val="5E2528F3"/>
    <w:rsid w:val="5E2B24C1"/>
    <w:rsid w:val="5E2E29DB"/>
    <w:rsid w:val="5E345D1B"/>
    <w:rsid w:val="5E3B39DE"/>
    <w:rsid w:val="5E3C268A"/>
    <w:rsid w:val="5E3E55D4"/>
    <w:rsid w:val="5E4F0391"/>
    <w:rsid w:val="5E4F0F8C"/>
    <w:rsid w:val="5E604C26"/>
    <w:rsid w:val="5E683652"/>
    <w:rsid w:val="5E7344CD"/>
    <w:rsid w:val="5E755C1E"/>
    <w:rsid w:val="5E76076A"/>
    <w:rsid w:val="5E7A2598"/>
    <w:rsid w:val="5E807AD1"/>
    <w:rsid w:val="5E810155"/>
    <w:rsid w:val="5E833B9C"/>
    <w:rsid w:val="5E897C12"/>
    <w:rsid w:val="5E8E347A"/>
    <w:rsid w:val="5E8E5228"/>
    <w:rsid w:val="5E9C23F9"/>
    <w:rsid w:val="5EA46731"/>
    <w:rsid w:val="5EA902B4"/>
    <w:rsid w:val="5EA91103"/>
    <w:rsid w:val="5EAD2178"/>
    <w:rsid w:val="5EAE515B"/>
    <w:rsid w:val="5EB237E6"/>
    <w:rsid w:val="5EB45881"/>
    <w:rsid w:val="5EB61237"/>
    <w:rsid w:val="5EBD78BB"/>
    <w:rsid w:val="5EC2436D"/>
    <w:rsid w:val="5EC359D8"/>
    <w:rsid w:val="5EC65064"/>
    <w:rsid w:val="5ED2403C"/>
    <w:rsid w:val="5ED527C2"/>
    <w:rsid w:val="5EDA4977"/>
    <w:rsid w:val="5EE44BC7"/>
    <w:rsid w:val="5EE80A76"/>
    <w:rsid w:val="5EEA7B4E"/>
    <w:rsid w:val="5EF00A9F"/>
    <w:rsid w:val="5EF31307"/>
    <w:rsid w:val="5EF420AB"/>
    <w:rsid w:val="5EF469B1"/>
    <w:rsid w:val="5EF56809"/>
    <w:rsid w:val="5EF604D9"/>
    <w:rsid w:val="5EF77271"/>
    <w:rsid w:val="5EFF075E"/>
    <w:rsid w:val="5EFF6061"/>
    <w:rsid w:val="5F046B1C"/>
    <w:rsid w:val="5F061196"/>
    <w:rsid w:val="5F087B79"/>
    <w:rsid w:val="5F0E5638"/>
    <w:rsid w:val="5F0F7860"/>
    <w:rsid w:val="5F131BD1"/>
    <w:rsid w:val="5F192B5B"/>
    <w:rsid w:val="5F1A2B43"/>
    <w:rsid w:val="5F1B2D5C"/>
    <w:rsid w:val="5F1B7EB3"/>
    <w:rsid w:val="5F1C7F10"/>
    <w:rsid w:val="5F1D43F2"/>
    <w:rsid w:val="5F204932"/>
    <w:rsid w:val="5F21609C"/>
    <w:rsid w:val="5F223378"/>
    <w:rsid w:val="5F265461"/>
    <w:rsid w:val="5F2C16DC"/>
    <w:rsid w:val="5F365777"/>
    <w:rsid w:val="5F3D3ADB"/>
    <w:rsid w:val="5F3D56E4"/>
    <w:rsid w:val="5F547C5D"/>
    <w:rsid w:val="5F581C4B"/>
    <w:rsid w:val="5F586FD9"/>
    <w:rsid w:val="5F597925"/>
    <w:rsid w:val="5F5D456B"/>
    <w:rsid w:val="5F5F534D"/>
    <w:rsid w:val="5F61742A"/>
    <w:rsid w:val="5F630463"/>
    <w:rsid w:val="5F645F89"/>
    <w:rsid w:val="5F6C1555"/>
    <w:rsid w:val="5F71534D"/>
    <w:rsid w:val="5F784D70"/>
    <w:rsid w:val="5F795ED8"/>
    <w:rsid w:val="5F881C77"/>
    <w:rsid w:val="5F8B1768"/>
    <w:rsid w:val="5F942D12"/>
    <w:rsid w:val="5F9969C4"/>
    <w:rsid w:val="5F9C08C7"/>
    <w:rsid w:val="5FA2671A"/>
    <w:rsid w:val="5FA52F14"/>
    <w:rsid w:val="5FAD3EA6"/>
    <w:rsid w:val="5FAD7303"/>
    <w:rsid w:val="5FAF7669"/>
    <w:rsid w:val="5FB009D6"/>
    <w:rsid w:val="5FB011CE"/>
    <w:rsid w:val="5FB07DDE"/>
    <w:rsid w:val="5FB24510"/>
    <w:rsid w:val="5FB52DF9"/>
    <w:rsid w:val="5FB837BB"/>
    <w:rsid w:val="5FB84D8F"/>
    <w:rsid w:val="5FC37153"/>
    <w:rsid w:val="5FCE2249"/>
    <w:rsid w:val="5FCE4357"/>
    <w:rsid w:val="5FCE7050"/>
    <w:rsid w:val="5FD01870"/>
    <w:rsid w:val="5FD47017"/>
    <w:rsid w:val="5FD86577"/>
    <w:rsid w:val="5FDD7713"/>
    <w:rsid w:val="5FDE6692"/>
    <w:rsid w:val="5FE620BB"/>
    <w:rsid w:val="5FE97DAA"/>
    <w:rsid w:val="5FEC6331"/>
    <w:rsid w:val="5FF02BB5"/>
    <w:rsid w:val="5FF26112"/>
    <w:rsid w:val="5FF61782"/>
    <w:rsid w:val="5FF67529"/>
    <w:rsid w:val="5FFA5BE8"/>
    <w:rsid w:val="5FFD4CC1"/>
    <w:rsid w:val="60006CCD"/>
    <w:rsid w:val="600D03CE"/>
    <w:rsid w:val="600F05EB"/>
    <w:rsid w:val="600F4147"/>
    <w:rsid w:val="601008FD"/>
    <w:rsid w:val="6013494C"/>
    <w:rsid w:val="60160E14"/>
    <w:rsid w:val="60161739"/>
    <w:rsid w:val="601C5214"/>
    <w:rsid w:val="601E11D2"/>
    <w:rsid w:val="601E278D"/>
    <w:rsid w:val="6022438E"/>
    <w:rsid w:val="602A5045"/>
    <w:rsid w:val="602B66AB"/>
    <w:rsid w:val="602B6AA7"/>
    <w:rsid w:val="602F2A3B"/>
    <w:rsid w:val="602F3C6D"/>
    <w:rsid w:val="6031230F"/>
    <w:rsid w:val="603218A9"/>
    <w:rsid w:val="603B7746"/>
    <w:rsid w:val="603C4524"/>
    <w:rsid w:val="603E2F0D"/>
    <w:rsid w:val="6042118D"/>
    <w:rsid w:val="60433DF0"/>
    <w:rsid w:val="6047425C"/>
    <w:rsid w:val="604961D0"/>
    <w:rsid w:val="604D1DE8"/>
    <w:rsid w:val="60593855"/>
    <w:rsid w:val="605D1356"/>
    <w:rsid w:val="60693990"/>
    <w:rsid w:val="606D5EAE"/>
    <w:rsid w:val="60713EB7"/>
    <w:rsid w:val="607A7952"/>
    <w:rsid w:val="607C3643"/>
    <w:rsid w:val="607C75A8"/>
    <w:rsid w:val="607E588E"/>
    <w:rsid w:val="607F72A5"/>
    <w:rsid w:val="60887852"/>
    <w:rsid w:val="608A7C71"/>
    <w:rsid w:val="608E4DD3"/>
    <w:rsid w:val="60A23F94"/>
    <w:rsid w:val="60A8472B"/>
    <w:rsid w:val="60AC59C6"/>
    <w:rsid w:val="60AF0894"/>
    <w:rsid w:val="60B028AD"/>
    <w:rsid w:val="60B36D58"/>
    <w:rsid w:val="60B46A9C"/>
    <w:rsid w:val="60BA1A3E"/>
    <w:rsid w:val="60C469BF"/>
    <w:rsid w:val="60C4738C"/>
    <w:rsid w:val="60C51A2C"/>
    <w:rsid w:val="60C7538D"/>
    <w:rsid w:val="60CC405A"/>
    <w:rsid w:val="60CC5050"/>
    <w:rsid w:val="60CE1D0E"/>
    <w:rsid w:val="60D27FCB"/>
    <w:rsid w:val="60D333C6"/>
    <w:rsid w:val="60D44502"/>
    <w:rsid w:val="60D77632"/>
    <w:rsid w:val="60D86C2E"/>
    <w:rsid w:val="60E127A8"/>
    <w:rsid w:val="60E20A99"/>
    <w:rsid w:val="60E2185B"/>
    <w:rsid w:val="60E27AAD"/>
    <w:rsid w:val="60F041D8"/>
    <w:rsid w:val="60F60CF8"/>
    <w:rsid w:val="60F65306"/>
    <w:rsid w:val="610319B3"/>
    <w:rsid w:val="6118527D"/>
    <w:rsid w:val="61186BC7"/>
    <w:rsid w:val="611923AB"/>
    <w:rsid w:val="611C1F57"/>
    <w:rsid w:val="611F660B"/>
    <w:rsid w:val="612B2865"/>
    <w:rsid w:val="612E29D1"/>
    <w:rsid w:val="61383D70"/>
    <w:rsid w:val="613D2F35"/>
    <w:rsid w:val="613E76CA"/>
    <w:rsid w:val="61437BBC"/>
    <w:rsid w:val="614D53B1"/>
    <w:rsid w:val="61531A2F"/>
    <w:rsid w:val="615E238B"/>
    <w:rsid w:val="61603CB9"/>
    <w:rsid w:val="616468D3"/>
    <w:rsid w:val="6164715E"/>
    <w:rsid w:val="617200F3"/>
    <w:rsid w:val="61831D33"/>
    <w:rsid w:val="6189617B"/>
    <w:rsid w:val="61952140"/>
    <w:rsid w:val="619605C3"/>
    <w:rsid w:val="61965EF6"/>
    <w:rsid w:val="61971390"/>
    <w:rsid w:val="61A05ACC"/>
    <w:rsid w:val="61A406B4"/>
    <w:rsid w:val="61A46172"/>
    <w:rsid w:val="61A77FF5"/>
    <w:rsid w:val="61AA5DFC"/>
    <w:rsid w:val="61AB7E9F"/>
    <w:rsid w:val="61AD2277"/>
    <w:rsid w:val="61AE1C41"/>
    <w:rsid w:val="61BE5E24"/>
    <w:rsid w:val="61C4070F"/>
    <w:rsid w:val="61C91EFF"/>
    <w:rsid w:val="61D373F6"/>
    <w:rsid w:val="61D7370C"/>
    <w:rsid w:val="61DB6BD8"/>
    <w:rsid w:val="61DC4BC3"/>
    <w:rsid w:val="61DD0315"/>
    <w:rsid w:val="61DD4A0A"/>
    <w:rsid w:val="61E10ECC"/>
    <w:rsid w:val="61E15FB7"/>
    <w:rsid w:val="61E215D8"/>
    <w:rsid w:val="61E450E3"/>
    <w:rsid w:val="61E52B30"/>
    <w:rsid w:val="61E64C2D"/>
    <w:rsid w:val="61E84C4F"/>
    <w:rsid w:val="61EB26C7"/>
    <w:rsid w:val="61EC5C38"/>
    <w:rsid w:val="61FC4B9F"/>
    <w:rsid w:val="61FC694D"/>
    <w:rsid w:val="61FE0491"/>
    <w:rsid w:val="61FF0E6B"/>
    <w:rsid w:val="620677CB"/>
    <w:rsid w:val="620751F3"/>
    <w:rsid w:val="62095690"/>
    <w:rsid w:val="620D4E5F"/>
    <w:rsid w:val="620E1D73"/>
    <w:rsid w:val="621A6DD3"/>
    <w:rsid w:val="621B3775"/>
    <w:rsid w:val="621F50F4"/>
    <w:rsid w:val="62223F30"/>
    <w:rsid w:val="622F6D22"/>
    <w:rsid w:val="62306A78"/>
    <w:rsid w:val="62351612"/>
    <w:rsid w:val="623600B0"/>
    <w:rsid w:val="62364782"/>
    <w:rsid w:val="62387D32"/>
    <w:rsid w:val="623C31ED"/>
    <w:rsid w:val="623F234F"/>
    <w:rsid w:val="62456545"/>
    <w:rsid w:val="62477485"/>
    <w:rsid w:val="624B554B"/>
    <w:rsid w:val="624D134D"/>
    <w:rsid w:val="625230A7"/>
    <w:rsid w:val="62530D8F"/>
    <w:rsid w:val="62563B78"/>
    <w:rsid w:val="62580348"/>
    <w:rsid w:val="625937AE"/>
    <w:rsid w:val="62594D51"/>
    <w:rsid w:val="625E1FD5"/>
    <w:rsid w:val="62610F56"/>
    <w:rsid w:val="62612477"/>
    <w:rsid w:val="6265060C"/>
    <w:rsid w:val="62743B2E"/>
    <w:rsid w:val="62747372"/>
    <w:rsid w:val="627836EA"/>
    <w:rsid w:val="627B3157"/>
    <w:rsid w:val="627B3D15"/>
    <w:rsid w:val="627E7362"/>
    <w:rsid w:val="628030DA"/>
    <w:rsid w:val="62850549"/>
    <w:rsid w:val="62866233"/>
    <w:rsid w:val="628A7254"/>
    <w:rsid w:val="629245CE"/>
    <w:rsid w:val="62944DD7"/>
    <w:rsid w:val="62944F8D"/>
    <w:rsid w:val="62967221"/>
    <w:rsid w:val="62975D9E"/>
    <w:rsid w:val="62976675"/>
    <w:rsid w:val="62985D17"/>
    <w:rsid w:val="62A163C6"/>
    <w:rsid w:val="62A425F6"/>
    <w:rsid w:val="62A50A9C"/>
    <w:rsid w:val="62A7759F"/>
    <w:rsid w:val="62AA63A9"/>
    <w:rsid w:val="62B15989"/>
    <w:rsid w:val="62B3602B"/>
    <w:rsid w:val="62B53151"/>
    <w:rsid w:val="62B60D59"/>
    <w:rsid w:val="62BB6AAF"/>
    <w:rsid w:val="62C16D24"/>
    <w:rsid w:val="62C24A1F"/>
    <w:rsid w:val="62C70D09"/>
    <w:rsid w:val="62CC27C3"/>
    <w:rsid w:val="62CE02E9"/>
    <w:rsid w:val="62D03065"/>
    <w:rsid w:val="62E064A7"/>
    <w:rsid w:val="62E44637"/>
    <w:rsid w:val="62E70382"/>
    <w:rsid w:val="62E903E1"/>
    <w:rsid w:val="62EC076F"/>
    <w:rsid w:val="62F04F50"/>
    <w:rsid w:val="62F22F65"/>
    <w:rsid w:val="62F24975"/>
    <w:rsid w:val="62F51E47"/>
    <w:rsid w:val="62F73FC4"/>
    <w:rsid w:val="62FD0389"/>
    <w:rsid w:val="63001CC1"/>
    <w:rsid w:val="63066872"/>
    <w:rsid w:val="63091C90"/>
    <w:rsid w:val="630E6937"/>
    <w:rsid w:val="631657EC"/>
    <w:rsid w:val="63291025"/>
    <w:rsid w:val="6329551F"/>
    <w:rsid w:val="632C606F"/>
    <w:rsid w:val="63327BED"/>
    <w:rsid w:val="63330C64"/>
    <w:rsid w:val="63343EC4"/>
    <w:rsid w:val="633555F4"/>
    <w:rsid w:val="633A06EF"/>
    <w:rsid w:val="6349294B"/>
    <w:rsid w:val="634C688B"/>
    <w:rsid w:val="634E1806"/>
    <w:rsid w:val="63525BE4"/>
    <w:rsid w:val="6352619E"/>
    <w:rsid w:val="63537310"/>
    <w:rsid w:val="63554566"/>
    <w:rsid w:val="63604CA7"/>
    <w:rsid w:val="63606206"/>
    <w:rsid w:val="63631D7C"/>
    <w:rsid w:val="636513B7"/>
    <w:rsid w:val="636B3D8A"/>
    <w:rsid w:val="636C7C2B"/>
    <w:rsid w:val="636F2951"/>
    <w:rsid w:val="63717A9C"/>
    <w:rsid w:val="63810A3A"/>
    <w:rsid w:val="63860BC4"/>
    <w:rsid w:val="63882D52"/>
    <w:rsid w:val="63892FA5"/>
    <w:rsid w:val="63894210"/>
    <w:rsid w:val="638A3B44"/>
    <w:rsid w:val="63942E1D"/>
    <w:rsid w:val="6394356A"/>
    <w:rsid w:val="63974B7F"/>
    <w:rsid w:val="639835A6"/>
    <w:rsid w:val="639B14F1"/>
    <w:rsid w:val="639F1C85"/>
    <w:rsid w:val="63A076CD"/>
    <w:rsid w:val="63A45421"/>
    <w:rsid w:val="63A7476C"/>
    <w:rsid w:val="63A9322D"/>
    <w:rsid w:val="63B7528E"/>
    <w:rsid w:val="63B86140"/>
    <w:rsid w:val="63BE5B87"/>
    <w:rsid w:val="63BF3400"/>
    <w:rsid w:val="63C30523"/>
    <w:rsid w:val="63C41C60"/>
    <w:rsid w:val="63C514AD"/>
    <w:rsid w:val="63C61B2C"/>
    <w:rsid w:val="63CB3514"/>
    <w:rsid w:val="63CF09DC"/>
    <w:rsid w:val="63D40BE9"/>
    <w:rsid w:val="63D4270A"/>
    <w:rsid w:val="63DA3D64"/>
    <w:rsid w:val="63DB0061"/>
    <w:rsid w:val="63E50971"/>
    <w:rsid w:val="63E5164E"/>
    <w:rsid w:val="63EA7D51"/>
    <w:rsid w:val="63EB7D33"/>
    <w:rsid w:val="63ED7771"/>
    <w:rsid w:val="63EE7C53"/>
    <w:rsid w:val="63F06720"/>
    <w:rsid w:val="63F27D49"/>
    <w:rsid w:val="63F31B6A"/>
    <w:rsid w:val="63F3443D"/>
    <w:rsid w:val="63F52819"/>
    <w:rsid w:val="63F90E49"/>
    <w:rsid w:val="63FA510E"/>
    <w:rsid w:val="63FE69AC"/>
    <w:rsid w:val="64002A47"/>
    <w:rsid w:val="64027F28"/>
    <w:rsid w:val="6403320D"/>
    <w:rsid w:val="640552E9"/>
    <w:rsid w:val="64075793"/>
    <w:rsid w:val="640A4ED1"/>
    <w:rsid w:val="640C61F7"/>
    <w:rsid w:val="6410048D"/>
    <w:rsid w:val="64102431"/>
    <w:rsid w:val="64123CBB"/>
    <w:rsid w:val="641B598B"/>
    <w:rsid w:val="641F276B"/>
    <w:rsid w:val="64233437"/>
    <w:rsid w:val="642A1C4A"/>
    <w:rsid w:val="642B3664"/>
    <w:rsid w:val="642D40AD"/>
    <w:rsid w:val="642D7291"/>
    <w:rsid w:val="642F125B"/>
    <w:rsid w:val="64337A7C"/>
    <w:rsid w:val="6434096B"/>
    <w:rsid w:val="64350396"/>
    <w:rsid w:val="64370110"/>
    <w:rsid w:val="643842B6"/>
    <w:rsid w:val="643E0066"/>
    <w:rsid w:val="64442593"/>
    <w:rsid w:val="64460181"/>
    <w:rsid w:val="64503DB3"/>
    <w:rsid w:val="64504D2E"/>
    <w:rsid w:val="64517FA3"/>
    <w:rsid w:val="64545399"/>
    <w:rsid w:val="64552344"/>
    <w:rsid w:val="64576C15"/>
    <w:rsid w:val="64583BDF"/>
    <w:rsid w:val="645A62C2"/>
    <w:rsid w:val="645A6478"/>
    <w:rsid w:val="646243A4"/>
    <w:rsid w:val="64664492"/>
    <w:rsid w:val="64676364"/>
    <w:rsid w:val="646E23BA"/>
    <w:rsid w:val="64702502"/>
    <w:rsid w:val="647635E8"/>
    <w:rsid w:val="64772125"/>
    <w:rsid w:val="64786EB7"/>
    <w:rsid w:val="647D5F78"/>
    <w:rsid w:val="647D75A6"/>
    <w:rsid w:val="647E1CF1"/>
    <w:rsid w:val="64803865"/>
    <w:rsid w:val="64855F7A"/>
    <w:rsid w:val="64925A48"/>
    <w:rsid w:val="64927C58"/>
    <w:rsid w:val="64970BAF"/>
    <w:rsid w:val="649C27DD"/>
    <w:rsid w:val="649E6BD8"/>
    <w:rsid w:val="64A22188"/>
    <w:rsid w:val="64A27A8D"/>
    <w:rsid w:val="64A32268"/>
    <w:rsid w:val="64A33827"/>
    <w:rsid w:val="64A5243A"/>
    <w:rsid w:val="64AE40BF"/>
    <w:rsid w:val="64B11C70"/>
    <w:rsid w:val="64B33C54"/>
    <w:rsid w:val="64B57053"/>
    <w:rsid w:val="64BA1747"/>
    <w:rsid w:val="64BE7D39"/>
    <w:rsid w:val="64C03C61"/>
    <w:rsid w:val="64C56820"/>
    <w:rsid w:val="64CD1498"/>
    <w:rsid w:val="64CE5D18"/>
    <w:rsid w:val="64D03483"/>
    <w:rsid w:val="64D253E9"/>
    <w:rsid w:val="64D54FB3"/>
    <w:rsid w:val="64D9468C"/>
    <w:rsid w:val="64DB461D"/>
    <w:rsid w:val="64DC36BB"/>
    <w:rsid w:val="64DF6D0B"/>
    <w:rsid w:val="64E66DF3"/>
    <w:rsid w:val="64E97686"/>
    <w:rsid w:val="64F2623B"/>
    <w:rsid w:val="64F531DE"/>
    <w:rsid w:val="64FB346E"/>
    <w:rsid w:val="64FD2174"/>
    <w:rsid w:val="64FE2095"/>
    <w:rsid w:val="65044496"/>
    <w:rsid w:val="65091AAC"/>
    <w:rsid w:val="65113AC4"/>
    <w:rsid w:val="651A5A67"/>
    <w:rsid w:val="651B7E76"/>
    <w:rsid w:val="65206689"/>
    <w:rsid w:val="65263F5B"/>
    <w:rsid w:val="652B5370"/>
    <w:rsid w:val="652B57DE"/>
    <w:rsid w:val="652C7C34"/>
    <w:rsid w:val="65313E7C"/>
    <w:rsid w:val="65322E75"/>
    <w:rsid w:val="65373578"/>
    <w:rsid w:val="65374E02"/>
    <w:rsid w:val="65393A14"/>
    <w:rsid w:val="653F7468"/>
    <w:rsid w:val="654148A5"/>
    <w:rsid w:val="65492AB6"/>
    <w:rsid w:val="654C7BEB"/>
    <w:rsid w:val="654E3A3B"/>
    <w:rsid w:val="65546448"/>
    <w:rsid w:val="65554CF2"/>
    <w:rsid w:val="655F4AD1"/>
    <w:rsid w:val="655F791E"/>
    <w:rsid w:val="65666F20"/>
    <w:rsid w:val="656B46CF"/>
    <w:rsid w:val="656F19BC"/>
    <w:rsid w:val="656F1A5A"/>
    <w:rsid w:val="65711CFD"/>
    <w:rsid w:val="657B6664"/>
    <w:rsid w:val="65815AE7"/>
    <w:rsid w:val="65834234"/>
    <w:rsid w:val="658E5B0E"/>
    <w:rsid w:val="65907AD8"/>
    <w:rsid w:val="65943DCC"/>
    <w:rsid w:val="65952D0D"/>
    <w:rsid w:val="659838AA"/>
    <w:rsid w:val="6599343B"/>
    <w:rsid w:val="659F1B4C"/>
    <w:rsid w:val="65A260E9"/>
    <w:rsid w:val="65A4383E"/>
    <w:rsid w:val="65A46145"/>
    <w:rsid w:val="65A84457"/>
    <w:rsid w:val="65AC3162"/>
    <w:rsid w:val="65AD7E3B"/>
    <w:rsid w:val="65B03CD6"/>
    <w:rsid w:val="65B107E6"/>
    <w:rsid w:val="65B17A4E"/>
    <w:rsid w:val="65B40423"/>
    <w:rsid w:val="65B66FA0"/>
    <w:rsid w:val="65BD2897"/>
    <w:rsid w:val="65BF3643"/>
    <w:rsid w:val="65C32B23"/>
    <w:rsid w:val="65C95A09"/>
    <w:rsid w:val="65CB3162"/>
    <w:rsid w:val="65CD16E2"/>
    <w:rsid w:val="65CE0E31"/>
    <w:rsid w:val="65D21249"/>
    <w:rsid w:val="65D52F53"/>
    <w:rsid w:val="65DA5F60"/>
    <w:rsid w:val="65DD6A95"/>
    <w:rsid w:val="65E04159"/>
    <w:rsid w:val="65E4086F"/>
    <w:rsid w:val="65E8558C"/>
    <w:rsid w:val="65EA2EBA"/>
    <w:rsid w:val="65EC1FFC"/>
    <w:rsid w:val="65ED2619"/>
    <w:rsid w:val="65EF4E55"/>
    <w:rsid w:val="65F85268"/>
    <w:rsid w:val="65F873C8"/>
    <w:rsid w:val="65F96779"/>
    <w:rsid w:val="65FA57A8"/>
    <w:rsid w:val="65FA69A9"/>
    <w:rsid w:val="65FB57FF"/>
    <w:rsid w:val="65FF2424"/>
    <w:rsid w:val="660348A5"/>
    <w:rsid w:val="66042F8A"/>
    <w:rsid w:val="66044022"/>
    <w:rsid w:val="66067596"/>
    <w:rsid w:val="66094929"/>
    <w:rsid w:val="660C63EF"/>
    <w:rsid w:val="660E0D7B"/>
    <w:rsid w:val="661204ED"/>
    <w:rsid w:val="661B7E1F"/>
    <w:rsid w:val="66202B8F"/>
    <w:rsid w:val="662841B4"/>
    <w:rsid w:val="662A1D70"/>
    <w:rsid w:val="66303660"/>
    <w:rsid w:val="6630667E"/>
    <w:rsid w:val="66311927"/>
    <w:rsid w:val="663752FA"/>
    <w:rsid w:val="663E0BF4"/>
    <w:rsid w:val="66435045"/>
    <w:rsid w:val="6644577A"/>
    <w:rsid w:val="66456B30"/>
    <w:rsid w:val="664B7EA3"/>
    <w:rsid w:val="665603F0"/>
    <w:rsid w:val="6659698B"/>
    <w:rsid w:val="665C3E5E"/>
    <w:rsid w:val="66666A8A"/>
    <w:rsid w:val="666B0635"/>
    <w:rsid w:val="667629E0"/>
    <w:rsid w:val="667E639F"/>
    <w:rsid w:val="667F275B"/>
    <w:rsid w:val="6680077E"/>
    <w:rsid w:val="66810413"/>
    <w:rsid w:val="66811B51"/>
    <w:rsid w:val="66824067"/>
    <w:rsid w:val="668274B1"/>
    <w:rsid w:val="668400D0"/>
    <w:rsid w:val="66863951"/>
    <w:rsid w:val="668A0DFC"/>
    <w:rsid w:val="668E174E"/>
    <w:rsid w:val="668E3681"/>
    <w:rsid w:val="6696172E"/>
    <w:rsid w:val="66974E96"/>
    <w:rsid w:val="669934C2"/>
    <w:rsid w:val="669C178B"/>
    <w:rsid w:val="66A016B9"/>
    <w:rsid w:val="66A4528A"/>
    <w:rsid w:val="66A575B3"/>
    <w:rsid w:val="66B0739A"/>
    <w:rsid w:val="66B7584F"/>
    <w:rsid w:val="66B86F0A"/>
    <w:rsid w:val="66BA4CA4"/>
    <w:rsid w:val="66BC6EF7"/>
    <w:rsid w:val="66C01408"/>
    <w:rsid w:val="66C57C55"/>
    <w:rsid w:val="66C9631E"/>
    <w:rsid w:val="66CA2E55"/>
    <w:rsid w:val="66CA3376"/>
    <w:rsid w:val="66D659BE"/>
    <w:rsid w:val="66DB2397"/>
    <w:rsid w:val="66DD5D20"/>
    <w:rsid w:val="66E5246B"/>
    <w:rsid w:val="66E6310B"/>
    <w:rsid w:val="66ED5E4D"/>
    <w:rsid w:val="66EE0DB3"/>
    <w:rsid w:val="66EF2FFE"/>
    <w:rsid w:val="66F14352"/>
    <w:rsid w:val="66F4413B"/>
    <w:rsid w:val="66F52B0D"/>
    <w:rsid w:val="66F66056"/>
    <w:rsid w:val="66F70C49"/>
    <w:rsid w:val="66FE4F15"/>
    <w:rsid w:val="67043F16"/>
    <w:rsid w:val="671309C0"/>
    <w:rsid w:val="67142100"/>
    <w:rsid w:val="6714680B"/>
    <w:rsid w:val="67173AED"/>
    <w:rsid w:val="671A48EA"/>
    <w:rsid w:val="671A69ED"/>
    <w:rsid w:val="671E153F"/>
    <w:rsid w:val="671F124A"/>
    <w:rsid w:val="672030DD"/>
    <w:rsid w:val="67220C6C"/>
    <w:rsid w:val="67226E55"/>
    <w:rsid w:val="672B2D90"/>
    <w:rsid w:val="672C0618"/>
    <w:rsid w:val="672C246B"/>
    <w:rsid w:val="672D101A"/>
    <w:rsid w:val="672E33A8"/>
    <w:rsid w:val="67320AA5"/>
    <w:rsid w:val="67323605"/>
    <w:rsid w:val="673B7F17"/>
    <w:rsid w:val="6741121D"/>
    <w:rsid w:val="67435D31"/>
    <w:rsid w:val="67492634"/>
    <w:rsid w:val="67550FD9"/>
    <w:rsid w:val="67565A91"/>
    <w:rsid w:val="675752C9"/>
    <w:rsid w:val="67586480"/>
    <w:rsid w:val="675C1913"/>
    <w:rsid w:val="675D1087"/>
    <w:rsid w:val="67671966"/>
    <w:rsid w:val="676A1438"/>
    <w:rsid w:val="676F35D2"/>
    <w:rsid w:val="67700F7A"/>
    <w:rsid w:val="677156E7"/>
    <w:rsid w:val="677376B1"/>
    <w:rsid w:val="677542F8"/>
    <w:rsid w:val="677A33C6"/>
    <w:rsid w:val="677A6311"/>
    <w:rsid w:val="677E2CDE"/>
    <w:rsid w:val="677F7E04"/>
    <w:rsid w:val="6782772E"/>
    <w:rsid w:val="6784778B"/>
    <w:rsid w:val="6789494D"/>
    <w:rsid w:val="678D352A"/>
    <w:rsid w:val="679124B9"/>
    <w:rsid w:val="679336A7"/>
    <w:rsid w:val="67945DEF"/>
    <w:rsid w:val="67966EFB"/>
    <w:rsid w:val="679911BE"/>
    <w:rsid w:val="679B1883"/>
    <w:rsid w:val="679C7AD8"/>
    <w:rsid w:val="679D34B6"/>
    <w:rsid w:val="679D6F90"/>
    <w:rsid w:val="67A468F0"/>
    <w:rsid w:val="67A75627"/>
    <w:rsid w:val="67AD3724"/>
    <w:rsid w:val="67B46E9D"/>
    <w:rsid w:val="67BB7E1A"/>
    <w:rsid w:val="67BD3CBF"/>
    <w:rsid w:val="67BD7699"/>
    <w:rsid w:val="67C840EE"/>
    <w:rsid w:val="67C972D1"/>
    <w:rsid w:val="67CF2DB5"/>
    <w:rsid w:val="67CF3DCD"/>
    <w:rsid w:val="67D01859"/>
    <w:rsid w:val="67D53EC8"/>
    <w:rsid w:val="67D7069D"/>
    <w:rsid w:val="67D91452"/>
    <w:rsid w:val="67E3058E"/>
    <w:rsid w:val="67E31986"/>
    <w:rsid w:val="67E82DAE"/>
    <w:rsid w:val="67EB2911"/>
    <w:rsid w:val="67F97372"/>
    <w:rsid w:val="67FC35EF"/>
    <w:rsid w:val="67FD032F"/>
    <w:rsid w:val="68075DC1"/>
    <w:rsid w:val="680C20EA"/>
    <w:rsid w:val="680C4B2E"/>
    <w:rsid w:val="68115D88"/>
    <w:rsid w:val="681430FA"/>
    <w:rsid w:val="68153AD4"/>
    <w:rsid w:val="681E3FB6"/>
    <w:rsid w:val="681F6961"/>
    <w:rsid w:val="68227E19"/>
    <w:rsid w:val="68233FCB"/>
    <w:rsid w:val="68251C6A"/>
    <w:rsid w:val="6829174D"/>
    <w:rsid w:val="683055A2"/>
    <w:rsid w:val="68354966"/>
    <w:rsid w:val="68356714"/>
    <w:rsid w:val="6839322A"/>
    <w:rsid w:val="683D5D79"/>
    <w:rsid w:val="683E17BB"/>
    <w:rsid w:val="6843416B"/>
    <w:rsid w:val="68446BFB"/>
    <w:rsid w:val="684B7080"/>
    <w:rsid w:val="68505A8C"/>
    <w:rsid w:val="6852396A"/>
    <w:rsid w:val="6853303E"/>
    <w:rsid w:val="68550B65"/>
    <w:rsid w:val="68555A12"/>
    <w:rsid w:val="68595961"/>
    <w:rsid w:val="685D1552"/>
    <w:rsid w:val="68602AED"/>
    <w:rsid w:val="68610A2F"/>
    <w:rsid w:val="68614CFA"/>
    <w:rsid w:val="68617845"/>
    <w:rsid w:val="68640ED5"/>
    <w:rsid w:val="6864524C"/>
    <w:rsid w:val="68657FDA"/>
    <w:rsid w:val="68686AEA"/>
    <w:rsid w:val="686E1C26"/>
    <w:rsid w:val="6871597E"/>
    <w:rsid w:val="68716FB6"/>
    <w:rsid w:val="687252A2"/>
    <w:rsid w:val="687A05CB"/>
    <w:rsid w:val="687A6DF1"/>
    <w:rsid w:val="687C30AA"/>
    <w:rsid w:val="68805514"/>
    <w:rsid w:val="688721DA"/>
    <w:rsid w:val="688D67FD"/>
    <w:rsid w:val="688F30DA"/>
    <w:rsid w:val="68935799"/>
    <w:rsid w:val="689516F8"/>
    <w:rsid w:val="689615CB"/>
    <w:rsid w:val="68983B76"/>
    <w:rsid w:val="689A0C6D"/>
    <w:rsid w:val="68A81085"/>
    <w:rsid w:val="68A97621"/>
    <w:rsid w:val="68B049F4"/>
    <w:rsid w:val="68B218C3"/>
    <w:rsid w:val="68B24209"/>
    <w:rsid w:val="68B47F81"/>
    <w:rsid w:val="68B5360D"/>
    <w:rsid w:val="68BE46FF"/>
    <w:rsid w:val="68C220A6"/>
    <w:rsid w:val="68C27CBD"/>
    <w:rsid w:val="68C55418"/>
    <w:rsid w:val="68D04F89"/>
    <w:rsid w:val="68D72ABF"/>
    <w:rsid w:val="68DA08E2"/>
    <w:rsid w:val="68E1064A"/>
    <w:rsid w:val="68E31062"/>
    <w:rsid w:val="68E54CE5"/>
    <w:rsid w:val="68E66F07"/>
    <w:rsid w:val="68EB0E67"/>
    <w:rsid w:val="68ED4CE5"/>
    <w:rsid w:val="68F14C3B"/>
    <w:rsid w:val="68F465CF"/>
    <w:rsid w:val="68F95BD6"/>
    <w:rsid w:val="690347A6"/>
    <w:rsid w:val="69037A10"/>
    <w:rsid w:val="690C1129"/>
    <w:rsid w:val="690F2830"/>
    <w:rsid w:val="69103133"/>
    <w:rsid w:val="69132641"/>
    <w:rsid w:val="69145E4B"/>
    <w:rsid w:val="691D6645"/>
    <w:rsid w:val="69281F1F"/>
    <w:rsid w:val="692E2278"/>
    <w:rsid w:val="692F0CD3"/>
    <w:rsid w:val="692F585A"/>
    <w:rsid w:val="69316E2F"/>
    <w:rsid w:val="693319AE"/>
    <w:rsid w:val="69345D9C"/>
    <w:rsid w:val="6939397E"/>
    <w:rsid w:val="693B6299"/>
    <w:rsid w:val="693F145D"/>
    <w:rsid w:val="694326D5"/>
    <w:rsid w:val="6943781E"/>
    <w:rsid w:val="6947201D"/>
    <w:rsid w:val="69493C67"/>
    <w:rsid w:val="694D2DB0"/>
    <w:rsid w:val="694E2071"/>
    <w:rsid w:val="69513A22"/>
    <w:rsid w:val="69562DE6"/>
    <w:rsid w:val="6957382C"/>
    <w:rsid w:val="695B5578"/>
    <w:rsid w:val="696509D8"/>
    <w:rsid w:val="696607D2"/>
    <w:rsid w:val="696B3561"/>
    <w:rsid w:val="696D358D"/>
    <w:rsid w:val="696E178E"/>
    <w:rsid w:val="69735DD3"/>
    <w:rsid w:val="69766163"/>
    <w:rsid w:val="69780673"/>
    <w:rsid w:val="697A3B33"/>
    <w:rsid w:val="697C706C"/>
    <w:rsid w:val="697F5B96"/>
    <w:rsid w:val="69863973"/>
    <w:rsid w:val="698B1191"/>
    <w:rsid w:val="698C05B6"/>
    <w:rsid w:val="69960D38"/>
    <w:rsid w:val="69966997"/>
    <w:rsid w:val="69990F25"/>
    <w:rsid w:val="699F5234"/>
    <w:rsid w:val="69A26092"/>
    <w:rsid w:val="69AA1A2E"/>
    <w:rsid w:val="69B108F4"/>
    <w:rsid w:val="69B23B9D"/>
    <w:rsid w:val="69B61AD7"/>
    <w:rsid w:val="69BB62BD"/>
    <w:rsid w:val="69C5217E"/>
    <w:rsid w:val="69C64E4E"/>
    <w:rsid w:val="69D23E37"/>
    <w:rsid w:val="69D44760"/>
    <w:rsid w:val="69D849DC"/>
    <w:rsid w:val="69DB1CD7"/>
    <w:rsid w:val="69E051DC"/>
    <w:rsid w:val="69E21E00"/>
    <w:rsid w:val="69E55162"/>
    <w:rsid w:val="69EA2B06"/>
    <w:rsid w:val="69EC4E5E"/>
    <w:rsid w:val="69ED41EF"/>
    <w:rsid w:val="69F148BD"/>
    <w:rsid w:val="69F20600"/>
    <w:rsid w:val="69F52264"/>
    <w:rsid w:val="6A077EF9"/>
    <w:rsid w:val="6A152BF7"/>
    <w:rsid w:val="6A157499"/>
    <w:rsid w:val="6A163BA9"/>
    <w:rsid w:val="6A193C16"/>
    <w:rsid w:val="6A1B152B"/>
    <w:rsid w:val="6A1D34B4"/>
    <w:rsid w:val="6A226315"/>
    <w:rsid w:val="6A232DAF"/>
    <w:rsid w:val="6A2904FB"/>
    <w:rsid w:val="6A2E4A69"/>
    <w:rsid w:val="6A367781"/>
    <w:rsid w:val="6A39218C"/>
    <w:rsid w:val="6A3A6264"/>
    <w:rsid w:val="6A3B0848"/>
    <w:rsid w:val="6A410F0B"/>
    <w:rsid w:val="6A427A88"/>
    <w:rsid w:val="6A445335"/>
    <w:rsid w:val="6A4B1EC4"/>
    <w:rsid w:val="6A4C63B0"/>
    <w:rsid w:val="6A520EC7"/>
    <w:rsid w:val="6A58046F"/>
    <w:rsid w:val="6A584D7B"/>
    <w:rsid w:val="6A590DE0"/>
    <w:rsid w:val="6A5A6695"/>
    <w:rsid w:val="6A623C71"/>
    <w:rsid w:val="6A696B49"/>
    <w:rsid w:val="6A6B0629"/>
    <w:rsid w:val="6A6B5EDE"/>
    <w:rsid w:val="6A6C0BC3"/>
    <w:rsid w:val="6A7038F5"/>
    <w:rsid w:val="6A720EF8"/>
    <w:rsid w:val="6A725D17"/>
    <w:rsid w:val="6A742635"/>
    <w:rsid w:val="6A7B20D2"/>
    <w:rsid w:val="6A804AA3"/>
    <w:rsid w:val="6A870D7A"/>
    <w:rsid w:val="6A987ACE"/>
    <w:rsid w:val="6A9A4D6D"/>
    <w:rsid w:val="6A9A589E"/>
    <w:rsid w:val="6AAC0DC2"/>
    <w:rsid w:val="6AB0731D"/>
    <w:rsid w:val="6AB204F0"/>
    <w:rsid w:val="6AB278EE"/>
    <w:rsid w:val="6AC0757C"/>
    <w:rsid w:val="6AC36824"/>
    <w:rsid w:val="6AC76C5B"/>
    <w:rsid w:val="6AC84974"/>
    <w:rsid w:val="6AC94A00"/>
    <w:rsid w:val="6ACE4BFE"/>
    <w:rsid w:val="6ACF60CA"/>
    <w:rsid w:val="6ADE01B3"/>
    <w:rsid w:val="6AE2747B"/>
    <w:rsid w:val="6AE74F3B"/>
    <w:rsid w:val="6AE8712F"/>
    <w:rsid w:val="6AEC7BE5"/>
    <w:rsid w:val="6AEF4EA3"/>
    <w:rsid w:val="6AF24D91"/>
    <w:rsid w:val="6AF44665"/>
    <w:rsid w:val="6AF87E20"/>
    <w:rsid w:val="6AFB3C45"/>
    <w:rsid w:val="6AFD3819"/>
    <w:rsid w:val="6B013226"/>
    <w:rsid w:val="6B033510"/>
    <w:rsid w:val="6B0811B2"/>
    <w:rsid w:val="6B0A0AF3"/>
    <w:rsid w:val="6B0A20DA"/>
    <w:rsid w:val="6B0A2279"/>
    <w:rsid w:val="6B0C52F4"/>
    <w:rsid w:val="6B0E0825"/>
    <w:rsid w:val="6B104D22"/>
    <w:rsid w:val="6B127C7B"/>
    <w:rsid w:val="6B132672"/>
    <w:rsid w:val="6B1A4B5B"/>
    <w:rsid w:val="6B1B42CF"/>
    <w:rsid w:val="6B1C31B7"/>
    <w:rsid w:val="6B263E72"/>
    <w:rsid w:val="6B2A57DF"/>
    <w:rsid w:val="6B2A6550"/>
    <w:rsid w:val="6B322639"/>
    <w:rsid w:val="6B3532A3"/>
    <w:rsid w:val="6B38114E"/>
    <w:rsid w:val="6B3A45F5"/>
    <w:rsid w:val="6B463F87"/>
    <w:rsid w:val="6B472CBA"/>
    <w:rsid w:val="6B4D1649"/>
    <w:rsid w:val="6B505A4D"/>
    <w:rsid w:val="6B5153EE"/>
    <w:rsid w:val="6B526E64"/>
    <w:rsid w:val="6B53068C"/>
    <w:rsid w:val="6B55317E"/>
    <w:rsid w:val="6B5A05D6"/>
    <w:rsid w:val="6B5A2FD8"/>
    <w:rsid w:val="6B5E5DB6"/>
    <w:rsid w:val="6B6878B4"/>
    <w:rsid w:val="6B6A1F99"/>
    <w:rsid w:val="6B6C4B43"/>
    <w:rsid w:val="6B704E7F"/>
    <w:rsid w:val="6B7423BC"/>
    <w:rsid w:val="6B7B4D86"/>
    <w:rsid w:val="6B7F1798"/>
    <w:rsid w:val="6B7F52B6"/>
    <w:rsid w:val="6B8533ED"/>
    <w:rsid w:val="6B94146B"/>
    <w:rsid w:val="6B95409A"/>
    <w:rsid w:val="6B972820"/>
    <w:rsid w:val="6B981494"/>
    <w:rsid w:val="6B9C2569"/>
    <w:rsid w:val="6B9D5732"/>
    <w:rsid w:val="6BA006A6"/>
    <w:rsid w:val="6BA54CC9"/>
    <w:rsid w:val="6BA73DCD"/>
    <w:rsid w:val="6BAC5D26"/>
    <w:rsid w:val="6BAE16EB"/>
    <w:rsid w:val="6BB176DD"/>
    <w:rsid w:val="6BB342F1"/>
    <w:rsid w:val="6BB56A35"/>
    <w:rsid w:val="6BB66E93"/>
    <w:rsid w:val="6BB80E82"/>
    <w:rsid w:val="6BBA22F9"/>
    <w:rsid w:val="6BC70124"/>
    <w:rsid w:val="6BD200DC"/>
    <w:rsid w:val="6BDA7CFF"/>
    <w:rsid w:val="6BEF16B1"/>
    <w:rsid w:val="6BEF6AAC"/>
    <w:rsid w:val="6BF14FBB"/>
    <w:rsid w:val="6BF574DE"/>
    <w:rsid w:val="6BFA10DE"/>
    <w:rsid w:val="6C022DB1"/>
    <w:rsid w:val="6C0E7A4B"/>
    <w:rsid w:val="6C0F54CE"/>
    <w:rsid w:val="6C1E3230"/>
    <w:rsid w:val="6C20659F"/>
    <w:rsid w:val="6C2076DB"/>
    <w:rsid w:val="6C230435"/>
    <w:rsid w:val="6C2F0185"/>
    <w:rsid w:val="6C340F8D"/>
    <w:rsid w:val="6C376397"/>
    <w:rsid w:val="6C437A1F"/>
    <w:rsid w:val="6C450A7B"/>
    <w:rsid w:val="6C4614AB"/>
    <w:rsid w:val="6C4702E9"/>
    <w:rsid w:val="6C4909E0"/>
    <w:rsid w:val="6C4A4FF2"/>
    <w:rsid w:val="6C53360D"/>
    <w:rsid w:val="6C587633"/>
    <w:rsid w:val="6C5B69BA"/>
    <w:rsid w:val="6C5D26DE"/>
    <w:rsid w:val="6C613F7C"/>
    <w:rsid w:val="6C636C38"/>
    <w:rsid w:val="6C6B2D8E"/>
    <w:rsid w:val="6C6B4DFB"/>
    <w:rsid w:val="6C6C7B4E"/>
    <w:rsid w:val="6C6E6120"/>
    <w:rsid w:val="6C781BC4"/>
    <w:rsid w:val="6C783CDF"/>
    <w:rsid w:val="6C805F5E"/>
    <w:rsid w:val="6C823EF2"/>
    <w:rsid w:val="6C827803"/>
    <w:rsid w:val="6C856FD5"/>
    <w:rsid w:val="6C894C5A"/>
    <w:rsid w:val="6C8C211E"/>
    <w:rsid w:val="6C921860"/>
    <w:rsid w:val="6C9D562C"/>
    <w:rsid w:val="6CA13D22"/>
    <w:rsid w:val="6CA45802"/>
    <w:rsid w:val="6CAD5622"/>
    <w:rsid w:val="6CB41BA4"/>
    <w:rsid w:val="6CB81EB0"/>
    <w:rsid w:val="6CB95B66"/>
    <w:rsid w:val="6CBD2C42"/>
    <w:rsid w:val="6CBF1C8E"/>
    <w:rsid w:val="6CBF5146"/>
    <w:rsid w:val="6CC14660"/>
    <w:rsid w:val="6CC66A18"/>
    <w:rsid w:val="6CC67C65"/>
    <w:rsid w:val="6CCC4204"/>
    <w:rsid w:val="6CCF74BD"/>
    <w:rsid w:val="6CD570A8"/>
    <w:rsid w:val="6CD615B0"/>
    <w:rsid w:val="6CDC1097"/>
    <w:rsid w:val="6CDF2779"/>
    <w:rsid w:val="6CE801F9"/>
    <w:rsid w:val="6CED1D7B"/>
    <w:rsid w:val="6CEF4360"/>
    <w:rsid w:val="6CF92413"/>
    <w:rsid w:val="6D0417E8"/>
    <w:rsid w:val="6D0579A3"/>
    <w:rsid w:val="6D0603F5"/>
    <w:rsid w:val="6D136D10"/>
    <w:rsid w:val="6D216B9A"/>
    <w:rsid w:val="6D225309"/>
    <w:rsid w:val="6D2C3236"/>
    <w:rsid w:val="6D340194"/>
    <w:rsid w:val="6D372F2F"/>
    <w:rsid w:val="6D3D526F"/>
    <w:rsid w:val="6D40211D"/>
    <w:rsid w:val="6D44647E"/>
    <w:rsid w:val="6D475A10"/>
    <w:rsid w:val="6D512B87"/>
    <w:rsid w:val="6D53301E"/>
    <w:rsid w:val="6D53346C"/>
    <w:rsid w:val="6D545029"/>
    <w:rsid w:val="6D5533B5"/>
    <w:rsid w:val="6D5C75A6"/>
    <w:rsid w:val="6D636B70"/>
    <w:rsid w:val="6D652A9D"/>
    <w:rsid w:val="6D667424"/>
    <w:rsid w:val="6D692D3A"/>
    <w:rsid w:val="6D7F3126"/>
    <w:rsid w:val="6D8304B3"/>
    <w:rsid w:val="6D864955"/>
    <w:rsid w:val="6D8F52CD"/>
    <w:rsid w:val="6D912011"/>
    <w:rsid w:val="6D9819BD"/>
    <w:rsid w:val="6D9B2527"/>
    <w:rsid w:val="6D9B2892"/>
    <w:rsid w:val="6DA429EC"/>
    <w:rsid w:val="6DAC1227"/>
    <w:rsid w:val="6DAC7479"/>
    <w:rsid w:val="6DB34098"/>
    <w:rsid w:val="6DB545B6"/>
    <w:rsid w:val="6DB56E82"/>
    <w:rsid w:val="6DB8406F"/>
    <w:rsid w:val="6DB96659"/>
    <w:rsid w:val="6DC2253B"/>
    <w:rsid w:val="6DC70339"/>
    <w:rsid w:val="6DCC0AE6"/>
    <w:rsid w:val="6DCC7B1B"/>
    <w:rsid w:val="6DD14348"/>
    <w:rsid w:val="6DD44FAD"/>
    <w:rsid w:val="6DD6278C"/>
    <w:rsid w:val="6DD62E63"/>
    <w:rsid w:val="6DD6304C"/>
    <w:rsid w:val="6DD75FEF"/>
    <w:rsid w:val="6DDF4D5F"/>
    <w:rsid w:val="6DDF5E7D"/>
    <w:rsid w:val="6DE02FB4"/>
    <w:rsid w:val="6DE25B87"/>
    <w:rsid w:val="6DE311EB"/>
    <w:rsid w:val="6DE42F0C"/>
    <w:rsid w:val="6DE541BD"/>
    <w:rsid w:val="6DE54739"/>
    <w:rsid w:val="6DE73EA1"/>
    <w:rsid w:val="6DE9720E"/>
    <w:rsid w:val="6DEA24AE"/>
    <w:rsid w:val="6DF2085E"/>
    <w:rsid w:val="6DF4699A"/>
    <w:rsid w:val="6DF5610C"/>
    <w:rsid w:val="6DFA2045"/>
    <w:rsid w:val="6DFB0400"/>
    <w:rsid w:val="6E0819B1"/>
    <w:rsid w:val="6E0E238F"/>
    <w:rsid w:val="6E0E3C8F"/>
    <w:rsid w:val="6E1A18F8"/>
    <w:rsid w:val="6E1E386F"/>
    <w:rsid w:val="6E2217EA"/>
    <w:rsid w:val="6E31797E"/>
    <w:rsid w:val="6E337B9A"/>
    <w:rsid w:val="6E352B38"/>
    <w:rsid w:val="6E356C5C"/>
    <w:rsid w:val="6E3F2088"/>
    <w:rsid w:val="6E414065"/>
    <w:rsid w:val="6E434124"/>
    <w:rsid w:val="6E4770F5"/>
    <w:rsid w:val="6E492EA5"/>
    <w:rsid w:val="6E4B4445"/>
    <w:rsid w:val="6E4D5C73"/>
    <w:rsid w:val="6E4D6ACF"/>
    <w:rsid w:val="6E51210E"/>
    <w:rsid w:val="6E514CED"/>
    <w:rsid w:val="6E531FEA"/>
    <w:rsid w:val="6E5A5127"/>
    <w:rsid w:val="6E602011"/>
    <w:rsid w:val="6E65385A"/>
    <w:rsid w:val="6E6F18F3"/>
    <w:rsid w:val="6E6F57BA"/>
    <w:rsid w:val="6E7220C5"/>
    <w:rsid w:val="6E7361E8"/>
    <w:rsid w:val="6E74575D"/>
    <w:rsid w:val="6E75505F"/>
    <w:rsid w:val="6E786626"/>
    <w:rsid w:val="6E861244"/>
    <w:rsid w:val="6E876037"/>
    <w:rsid w:val="6E88458D"/>
    <w:rsid w:val="6E8D6A7F"/>
    <w:rsid w:val="6E8F53CF"/>
    <w:rsid w:val="6EB000E1"/>
    <w:rsid w:val="6EB15EBB"/>
    <w:rsid w:val="6EB52281"/>
    <w:rsid w:val="6EB563D5"/>
    <w:rsid w:val="6EB74CEA"/>
    <w:rsid w:val="6EB74EAF"/>
    <w:rsid w:val="6EBA5F8A"/>
    <w:rsid w:val="6EBC10DE"/>
    <w:rsid w:val="6EBE45D7"/>
    <w:rsid w:val="6EBF7F95"/>
    <w:rsid w:val="6EC20B14"/>
    <w:rsid w:val="6EC431FA"/>
    <w:rsid w:val="6EC6456A"/>
    <w:rsid w:val="6ECA00F9"/>
    <w:rsid w:val="6ED10D48"/>
    <w:rsid w:val="6ED1143F"/>
    <w:rsid w:val="6ED208E1"/>
    <w:rsid w:val="6ED92677"/>
    <w:rsid w:val="6EDE40A1"/>
    <w:rsid w:val="6EE669BA"/>
    <w:rsid w:val="6EF500D2"/>
    <w:rsid w:val="6EF83E12"/>
    <w:rsid w:val="6EFA122C"/>
    <w:rsid w:val="6EFD1110"/>
    <w:rsid w:val="6F064E93"/>
    <w:rsid w:val="6F073967"/>
    <w:rsid w:val="6F0C645B"/>
    <w:rsid w:val="6F1413F5"/>
    <w:rsid w:val="6F1562FA"/>
    <w:rsid w:val="6F1C4B8A"/>
    <w:rsid w:val="6F21155E"/>
    <w:rsid w:val="6F225983"/>
    <w:rsid w:val="6F23122E"/>
    <w:rsid w:val="6F2A61B2"/>
    <w:rsid w:val="6F2B2817"/>
    <w:rsid w:val="6F2D6AF4"/>
    <w:rsid w:val="6F2E4AF3"/>
    <w:rsid w:val="6F313EAB"/>
    <w:rsid w:val="6F366434"/>
    <w:rsid w:val="6F47760D"/>
    <w:rsid w:val="6F5012F4"/>
    <w:rsid w:val="6F5239E2"/>
    <w:rsid w:val="6F526BC2"/>
    <w:rsid w:val="6F543C46"/>
    <w:rsid w:val="6F547DC8"/>
    <w:rsid w:val="6F567861"/>
    <w:rsid w:val="6F570591"/>
    <w:rsid w:val="6F58438C"/>
    <w:rsid w:val="6F5B1DA3"/>
    <w:rsid w:val="6F5B5709"/>
    <w:rsid w:val="6F611B12"/>
    <w:rsid w:val="6F644037"/>
    <w:rsid w:val="6F68493F"/>
    <w:rsid w:val="6F6A13AD"/>
    <w:rsid w:val="6F6D3884"/>
    <w:rsid w:val="6F6D3A3A"/>
    <w:rsid w:val="6F743FC6"/>
    <w:rsid w:val="6F75347F"/>
    <w:rsid w:val="6F764989"/>
    <w:rsid w:val="6F781252"/>
    <w:rsid w:val="6F7A769A"/>
    <w:rsid w:val="6F7A7721"/>
    <w:rsid w:val="6F7D5BC6"/>
    <w:rsid w:val="6F7E4E45"/>
    <w:rsid w:val="6F8B07EA"/>
    <w:rsid w:val="6F8B6A13"/>
    <w:rsid w:val="6F8B7FB3"/>
    <w:rsid w:val="6F906C12"/>
    <w:rsid w:val="6FA6038E"/>
    <w:rsid w:val="6FA6361B"/>
    <w:rsid w:val="6FA66085"/>
    <w:rsid w:val="6FA66AC6"/>
    <w:rsid w:val="6FA80114"/>
    <w:rsid w:val="6FAC25B7"/>
    <w:rsid w:val="6FAF1DC9"/>
    <w:rsid w:val="6FB2689C"/>
    <w:rsid w:val="6FB5018B"/>
    <w:rsid w:val="6FB504F7"/>
    <w:rsid w:val="6FBC1B4F"/>
    <w:rsid w:val="6FBE656C"/>
    <w:rsid w:val="6FC0055F"/>
    <w:rsid w:val="6FC46EC8"/>
    <w:rsid w:val="6FC50FC5"/>
    <w:rsid w:val="6FC646EE"/>
    <w:rsid w:val="6FC7059A"/>
    <w:rsid w:val="6FCC473A"/>
    <w:rsid w:val="6FD07F9C"/>
    <w:rsid w:val="6FD20CED"/>
    <w:rsid w:val="6FD341E3"/>
    <w:rsid w:val="6FD42F16"/>
    <w:rsid w:val="6FD64C81"/>
    <w:rsid w:val="6FDB6F24"/>
    <w:rsid w:val="6FDC2863"/>
    <w:rsid w:val="6FE43741"/>
    <w:rsid w:val="6FEC0A99"/>
    <w:rsid w:val="6FEE550C"/>
    <w:rsid w:val="6FF24B04"/>
    <w:rsid w:val="6FF354DE"/>
    <w:rsid w:val="6FF4607D"/>
    <w:rsid w:val="6FFC5590"/>
    <w:rsid w:val="6FFE41EC"/>
    <w:rsid w:val="6FFF6668"/>
    <w:rsid w:val="700E5D5C"/>
    <w:rsid w:val="701166C0"/>
    <w:rsid w:val="7016573E"/>
    <w:rsid w:val="7019691C"/>
    <w:rsid w:val="701B0AEA"/>
    <w:rsid w:val="701D28B0"/>
    <w:rsid w:val="701D6472"/>
    <w:rsid w:val="701E2184"/>
    <w:rsid w:val="701F51A5"/>
    <w:rsid w:val="702077E5"/>
    <w:rsid w:val="70223A22"/>
    <w:rsid w:val="702C664F"/>
    <w:rsid w:val="703612DE"/>
    <w:rsid w:val="703D6E56"/>
    <w:rsid w:val="703F58AB"/>
    <w:rsid w:val="7040544E"/>
    <w:rsid w:val="7048439D"/>
    <w:rsid w:val="704859CA"/>
    <w:rsid w:val="704E62AE"/>
    <w:rsid w:val="704F233D"/>
    <w:rsid w:val="70510F31"/>
    <w:rsid w:val="706361E1"/>
    <w:rsid w:val="706368E8"/>
    <w:rsid w:val="7064228D"/>
    <w:rsid w:val="70690ADB"/>
    <w:rsid w:val="706D1DD0"/>
    <w:rsid w:val="707158DE"/>
    <w:rsid w:val="70716758"/>
    <w:rsid w:val="707324D0"/>
    <w:rsid w:val="70744BA6"/>
    <w:rsid w:val="70764406"/>
    <w:rsid w:val="707A161A"/>
    <w:rsid w:val="707B416A"/>
    <w:rsid w:val="70822713"/>
    <w:rsid w:val="70844E8C"/>
    <w:rsid w:val="70856B87"/>
    <w:rsid w:val="70887522"/>
    <w:rsid w:val="70897150"/>
    <w:rsid w:val="708C533F"/>
    <w:rsid w:val="708D71A0"/>
    <w:rsid w:val="708D75F3"/>
    <w:rsid w:val="708F1A1B"/>
    <w:rsid w:val="70901F68"/>
    <w:rsid w:val="70910BA8"/>
    <w:rsid w:val="7091553D"/>
    <w:rsid w:val="709541F4"/>
    <w:rsid w:val="70970540"/>
    <w:rsid w:val="709F32C5"/>
    <w:rsid w:val="70A15B5A"/>
    <w:rsid w:val="70AC5255"/>
    <w:rsid w:val="70AF458A"/>
    <w:rsid w:val="70BB1864"/>
    <w:rsid w:val="70BD374B"/>
    <w:rsid w:val="70BF044A"/>
    <w:rsid w:val="70C1323B"/>
    <w:rsid w:val="70CF04D2"/>
    <w:rsid w:val="70D34D1C"/>
    <w:rsid w:val="70D527EE"/>
    <w:rsid w:val="70D8620A"/>
    <w:rsid w:val="70D90354"/>
    <w:rsid w:val="70D95550"/>
    <w:rsid w:val="70DA254F"/>
    <w:rsid w:val="70DD33AA"/>
    <w:rsid w:val="70DE53DD"/>
    <w:rsid w:val="70E400EB"/>
    <w:rsid w:val="70EB20C3"/>
    <w:rsid w:val="70FA77C2"/>
    <w:rsid w:val="70FB5C89"/>
    <w:rsid w:val="70FE623D"/>
    <w:rsid w:val="70FF2F8F"/>
    <w:rsid w:val="70FF3672"/>
    <w:rsid w:val="71015983"/>
    <w:rsid w:val="71046551"/>
    <w:rsid w:val="71067B98"/>
    <w:rsid w:val="710D0C13"/>
    <w:rsid w:val="710D6592"/>
    <w:rsid w:val="711772FF"/>
    <w:rsid w:val="71203519"/>
    <w:rsid w:val="71211AEC"/>
    <w:rsid w:val="71302DBD"/>
    <w:rsid w:val="71352290"/>
    <w:rsid w:val="713E3E87"/>
    <w:rsid w:val="714360F2"/>
    <w:rsid w:val="71494FDF"/>
    <w:rsid w:val="714E35F1"/>
    <w:rsid w:val="715241C8"/>
    <w:rsid w:val="71534A45"/>
    <w:rsid w:val="7154043F"/>
    <w:rsid w:val="71565A3F"/>
    <w:rsid w:val="71596296"/>
    <w:rsid w:val="715A4137"/>
    <w:rsid w:val="715B5300"/>
    <w:rsid w:val="715D7C5E"/>
    <w:rsid w:val="715F193C"/>
    <w:rsid w:val="71615C3D"/>
    <w:rsid w:val="716353D9"/>
    <w:rsid w:val="7167047E"/>
    <w:rsid w:val="71700016"/>
    <w:rsid w:val="71717FB5"/>
    <w:rsid w:val="717209D9"/>
    <w:rsid w:val="71762034"/>
    <w:rsid w:val="7179368F"/>
    <w:rsid w:val="71807E2D"/>
    <w:rsid w:val="71810C1C"/>
    <w:rsid w:val="718719DB"/>
    <w:rsid w:val="7188117E"/>
    <w:rsid w:val="718826E9"/>
    <w:rsid w:val="71883AEB"/>
    <w:rsid w:val="718D18CB"/>
    <w:rsid w:val="718F7948"/>
    <w:rsid w:val="71903427"/>
    <w:rsid w:val="719074D1"/>
    <w:rsid w:val="71976026"/>
    <w:rsid w:val="71AF439E"/>
    <w:rsid w:val="71B1539A"/>
    <w:rsid w:val="71B21FC0"/>
    <w:rsid w:val="71B22418"/>
    <w:rsid w:val="71B25135"/>
    <w:rsid w:val="71B257C7"/>
    <w:rsid w:val="71B710F9"/>
    <w:rsid w:val="71B72890"/>
    <w:rsid w:val="71B903B6"/>
    <w:rsid w:val="71B94059"/>
    <w:rsid w:val="71BD1BFA"/>
    <w:rsid w:val="71BE59CD"/>
    <w:rsid w:val="71C0084F"/>
    <w:rsid w:val="71C034F3"/>
    <w:rsid w:val="71CA7BA9"/>
    <w:rsid w:val="71CB1E97"/>
    <w:rsid w:val="71CC1122"/>
    <w:rsid w:val="71D27F8A"/>
    <w:rsid w:val="71D76A8E"/>
    <w:rsid w:val="71D842B3"/>
    <w:rsid w:val="71D96BFC"/>
    <w:rsid w:val="71DD022A"/>
    <w:rsid w:val="71DE00AC"/>
    <w:rsid w:val="71E115B1"/>
    <w:rsid w:val="71E116BB"/>
    <w:rsid w:val="71E11E90"/>
    <w:rsid w:val="71E2350E"/>
    <w:rsid w:val="71E33685"/>
    <w:rsid w:val="71E371E1"/>
    <w:rsid w:val="71E5652F"/>
    <w:rsid w:val="71E82A49"/>
    <w:rsid w:val="71EC078C"/>
    <w:rsid w:val="71EC2F5F"/>
    <w:rsid w:val="71F50CD6"/>
    <w:rsid w:val="71F94C57"/>
    <w:rsid w:val="71FB452B"/>
    <w:rsid w:val="71FB54C7"/>
    <w:rsid w:val="72004FC5"/>
    <w:rsid w:val="72021B5A"/>
    <w:rsid w:val="720A4BA6"/>
    <w:rsid w:val="721101F2"/>
    <w:rsid w:val="72165809"/>
    <w:rsid w:val="72166F17"/>
    <w:rsid w:val="72181CB5"/>
    <w:rsid w:val="721B3028"/>
    <w:rsid w:val="721E428B"/>
    <w:rsid w:val="722A264D"/>
    <w:rsid w:val="722D57CA"/>
    <w:rsid w:val="72303324"/>
    <w:rsid w:val="723B3782"/>
    <w:rsid w:val="723B526F"/>
    <w:rsid w:val="723F5A5F"/>
    <w:rsid w:val="7243196D"/>
    <w:rsid w:val="7243433A"/>
    <w:rsid w:val="72444B4B"/>
    <w:rsid w:val="72447C5E"/>
    <w:rsid w:val="724503CD"/>
    <w:rsid w:val="724907C0"/>
    <w:rsid w:val="724B51C2"/>
    <w:rsid w:val="72514A93"/>
    <w:rsid w:val="72553024"/>
    <w:rsid w:val="725620A9"/>
    <w:rsid w:val="726A6CE1"/>
    <w:rsid w:val="726B668A"/>
    <w:rsid w:val="726F75AB"/>
    <w:rsid w:val="727120A6"/>
    <w:rsid w:val="72792BFF"/>
    <w:rsid w:val="727B4C1B"/>
    <w:rsid w:val="727F598B"/>
    <w:rsid w:val="72816D82"/>
    <w:rsid w:val="72843A42"/>
    <w:rsid w:val="728564EA"/>
    <w:rsid w:val="728625D7"/>
    <w:rsid w:val="728B2D0B"/>
    <w:rsid w:val="728F3756"/>
    <w:rsid w:val="72927A84"/>
    <w:rsid w:val="72944988"/>
    <w:rsid w:val="729474D2"/>
    <w:rsid w:val="7299082C"/>
    <w:rsid w:val="729C5C2A"/>
    <w:rsid w:val="72A178DD"/>
    <w:rsid w:val="72A30A6A"/>
    <w:rsid w:val="72A67E45"/>
    <w:rsid w:val="72AB0176"/>
    <w:rsid w:val="72AD022E"/>
    <w:rsid w:val="72AE450A"/>
    <w:rsid w:val="72B6480B"/>
    <w:rsid w:val="72BE1C24"/>
    <w:rsid w:val="72C20FAD"/>
    <w:rsid w:val="72C33344"/>
    <w:rsid w:val="72CD7610"/>
    <w:rsid w:val="72CE60E3"/>
    <w:rsid w:val="72CF670A"/>
    <w:rsid w:val="72D45C19"/>
    <w:rsid w:val="72DA05E4"/>
    <w:rsid w:val="72E21337"/>
    <w:rsid w:val="72EA3A76"/>
    <w:rsid w:val="72EE5E3E"/>
    <w:rsid w:val="72F277C3"/>
    <w:rsid w:val="72F371ED"/>
    <w:rsid w:val="72F546D2"/>
    <w:rsid w:val="72F84556"/>
    <w:rsid w:val="72FD54F4"/>
    <w:rsid w:val="730024A1"/>
    <w:rsid w:val="730E0701"/>
    <w:rsid w:val="730F7282"/>
    <w:rsid w:val="73122968"/>
    <w:rsid w:val="73155AC0"/>
    <w:rsid w:val="73165394"/>
    <w:rsid w:val="731761C4"/>
    <w:rsid w:val="73177808"/>
    <w:rsid w:val="731F5D5E"/>
    <w:rsid w:val="73215287"/>
    <w:rsid w:val="73252B41"/>
    <w:rsid w:val="732B01E4"/>
    <w:rsid w:val="732B5F3E"/>
    <w:rsid w:val="732C5B6B"/>
    <w:rsid w:val="732D640B"/>
    <w:rsid w:val="733A1B39"/>
    <w:rsid w:val="734359DE"/>
    <w:rsid w:val="73456F66"/>
    <w:rsid w:val="7348380C"/>
    <w:rsid w:val="73513208"/>
    <w:rsid w:val="73516487"/>
    <w:rsid w:val="735235A0"/>
    <w:rsid w:val="73546C03"/>
    <w:rsid w:val="73575C3F"/>
    <w:rsid w:val="73577E87"/>
    <w:rsid w:val="73580463"/>
    <w:rsid w:val="735937A8"/>
    <w:rsid w:val="735A34D3"/>
    <w:rsid w:val="735A3B0D"/>
    <w:rsid w:val="736225B7"/>
    <w:rsid w:val="736272FD"/>
    <w:rsid w:val="73692A41"/>
    <w:rsid w:val="736C2987"/>
    <w:rsid w:val="73726A6F"/>
    <w:rsid w:val="73773F6F"/>
    <w:rsid w:val="737A3FC2"/>
    <w:rsid w:val="737F1371"/>
    <w:rsid w:val="738070A2"/>
    <w:rsid w:val="738362EA"/>
    <w:rsid w:val="738549F4"/>
    <w:rsid w:val="73880FB7"/>
    <w:rsid w:val="73941BC8"/>
    <w:rsid w:val="7399224D"/>
    <w:rsid w:val="73A44D66"/>
    <w:rsid w:val="73A91386"/>
    <w:rsid w:val="73AF288C"/>
    <w:rsid w:val="73AF2D56"/>
    <w:rsid w:val="73B96373"/>
    <w:rsid w:val="73BE1222"/>
    <w:rsid w:val="73C30FA4"/>
    <w:rsid w:val="73C51AD5"/>
    <w:rsid w:val="73CC7D67"/>
    <w:rsid w:val="73CF1C4C"/>
    <w:rsid w:val="73CF682C"/>
    <w:rsid w:val="73D04618"/>
    <w:rsid w:val="73D6267D"/>
    <w:rsid w:val="73DC04CA"/>
    <w:rsid w:val="73DC65DE"/>
    <w:rsid w:val="73E21473"/>
    <w:rsid w:val="73E3171A"/>
    <w:rsid w:val="73EC3C60"/>
    <w:rsid w:val="73F8569E"/>
    <w:rsid w:val="73F85EC6"/>
    <w:rsid w:val="73F95119"/>
    <w:rsid w:val="74026044"/>
    <w:rsid w:val="740272F3"/>
    <w:rsid w:val="74070338"/>
    <w:rsid w:val="74084E89"/>
    <w:rsid w:val="740B2B28"/>
    <w:rsid w:val="740C61D9"/>
    <w:rsid w:val="74125E4D"/>
    <w:rsid w:val="74161F1E"/>
    <w:rsid w:val="741C0702"/>
    <w:rsid w:val="741D7CF7"/>
    <w:rsid w:val="741E793C"/>
    <w:rsid w:val="74207BDF"/>
    <w:rsid w:val="7423420D"/>
    <w:rsid w:val="742C11FC"/>
    <w:rsid w:val="74305407"/>
    <w:rsid w:val="743207D5"/>
    <w:rsid w:val="74331D80"/>
    <w:rsid w:val="74345DC0"/>
    <w:rsid w:val="743A1B13"/>
    <w:rsid w:val="743D06C8"/>
    <w:rsid w:val="744027CD"/>
    <w:rsid w:val="74422739"/>
    <w:rsid w:val="74454183"/>
    <w:rsid w:val="7448595E"/>
    <w:rsid w:val="74493C73"/>
    <w:rsid w:val="744E1D52"/>
    <w:rsid w:val="74566EC5"/>
    <w:rsid w:val="745D47C3"/>
    <w:rsid w:val="745D6EFB"/>
    <w:rsid w:val="745E3944"/>
    <w:rsid w:val="746932B9"/>
    <w:rsid w:val="74693681"/>
    <w:rsid w:val="74706076"/>
    <w:rsid w:val="74715F31"/>
    <w:rsid w:val="74720900"/>
    <w:rsid w:val="74775168"/>
    <w:rsid w:val="74780E99"/>
    <w:rsid w:val="74793E2D"/>
    <w:rsid w:val="747E4D0A"/>
    <w:rsid w:val="747E5633"/>
    <w:rsid w:val="7484190F"/>
    <w:rsid w:val="74841A27"/>
    <w:rsid w:val="74872B0B"/>
    <w:rsid w:val="74892564"/>
    <w:rsid w:val="74897575"/>
    <w:rsid w:val="748A47CE"/>
    <w:rsid w:val="748B769E"/>
    <w:rsid w:val="748D5A12"/>
    <w:rsid w:val="74900CB4"/>
    <w:rsid w:val="7496678D"/>
    <w:rsid w:val="74980757"/>
    <w:rsid w:val="749A4775"/>
    <w:rsid w:val="749B70A6"/>
    <w:rsid w:val="74A013B9"/>
    <w:rsid w:val="74A155C9"/>
    <w:rsid w:val="74A23383"/>
    <w:rsid w:val="74A25132"/>
    <w:rsid w:val="74A71267"/>
    <w:rsid w:val="74A97F45"/>
    <w:rsid w:val="74AF5AA0"/>
    <w:rsid w:val="74AF667E"/>
    <w:rsid w:val="74B308B5"/>
    <w:rsid w:val="74B77B69"/>
    <w:rsid w:val="74C656A5"/>
    <w:rsid w:val="74CA22AA"/>
    <w:rsid w:val="74D339C1"/>
    <w:rsid w:val="74D47A9C"/>
    <w:rsid w:val="74D86DA5"/>
    <w:rsid w:val="74E22279"/>
    <w:rsid w:val="74E268A9"/>
    <w:rsid w:val="74E4387B"/>
    <w:rsid w:val="74E50DAE"/>
    <w:rsid w:val="74E9318D"/>
    <w:rsid w:val="74EA3531"/>
    <w:rsid w:val="74EB6AD9"/>
    <w:rsid w:val="74ED6DF9"/>
    <w:rsid w:val="74EE516C"/>
    <w:rsid w:val="74F14706"/>
    <w:rsid w:val="750B4F27"/>
    <w:rsid w:val="750C573A"/>
    <w:rsid w:val="750D6EB1"/>
    <w:rsid w:val="75181898"/>
    <w:rsid w:val="751B783A"/>
    <w:rsid w:val="751C0EEF"/>
    <w:rsid w:val="751D0FE8"/>
    <w:rsid w:val="751E52D0"/>
    <w:rsid w:val="75232716"/>
    <w:rsid w:val="752A6D36"/>
    <w:rsid w:val="753224FD"/>
    <w:rsid w:val="75383CE8"/>
    <w:rsid w:val="753D5404"/>
    <w:rsid w:val="753F028B"/>
    <w:rsid w:val="753F62EE"/>
    <w:rsid w:val="75406094"/>
    <w:rsid w:val="75425644"/>
    <w:rsid w:val="754938E8"/>
    <w:rsid w:val="754D2A0E"/>
    <w:rsid w:val="755141A8"/>
    <w:rsid w:val="75520F50"/>
    <w:rsid w:val="755653B5"/>
    <w:rsid w:val="75591ECE"/>
    <w:rsid w:val="755A1EB0"/>
    <w:rsid w:val="755C0BB7"/>
    <w:rsid w:val="755C3532"/>
    <w:rsid w:val="75604E3D"/>
    <w:rsid w:val="75647B92"/>
    <w:rsid w:val="75662EAF"/>
    <w:rsid w:val="756A7C01"/>
    <w:rsid w:val="757045A2"/>
    <w:rsid w:val="757207AB"/>
    <w:rsid w:val="75752846"/>
    <w:rsid w:val="75786FEF"/>
    <w:rsid w:val="75800867"/>
    <w:rsid w:val="75814476"/>
    <w:rsid w:val="75825BCB"/>
    <w:rsid w:val="75855C36"/>
    <w:rsid w:val="758D465D"/>
    <w:rsid w:val="7593637E"/>
    <w:rsid w:val="759544F0"/>
    <w:rsid w:val="7597565C"/>
    <w:rsid w:val="75982A7C"/>
    <w:rsid w:val="759929D8"/>
    <w:rsid w:val="75A123A5"/>
    <w:rsid w:val="75A7342F"/>
    <w:rsid w:val="75AB270C"/>
    <w:rsid w:val="75AE2269"/>
    <w:rsid w:val="75BE5576"/>
    <w:rsid w:val="75C14F47"/>
    <w:rsid w:val="75C537CD"/>
    <w:rsid w:val="75C612F4"/>
    <w:rsid w:val="75C65E31"/>
    <w:rsid w:val="75CC669D"/>
    <w:rsid w:val="75D90BB5"/>
    <w:rsid w:val="75DB4BBE"/>
    <w:rsid w:val="75E511D0"/>
    <w:rsid w:val="75F05AC0"/>
    <w:rsid w:val="75F1784B"/>
    <w:rsid w:val="75F264FE"/>
    <w:rsid w:val="75F6405B"/>
    <w:rsid w:val="75F75496"/>
    <w:rsid w:val="75FA6E2C"/>
    <w:rsid w:val="75FB71EF"/>
    <w:rsid w:val="760140DA"/>
    <w:rsid w:val="76054994"/>
    <w:rsid w:val="760904D0"/>
    <w:rsid w:val="760A7432"/>
    <w:rsid w:val="760D503F"/>
    <w:rsid w:val="760D6F22"/>
    <w:rsid w:val="760E3B60"/>
    <w:rsid w:val="760F4458"/>
    <w:rsid w:val="761116D7"/>
    <w:rsid w:val="76165DD7"/>
    <w:rsid w:val="762229CE"/>
    <w:rsid w:val="76225AFD"/>
    <w:rsid w:val="76227A62"/>
    <w:rsid w:val="76236BFB"/>
    <w:rsid w:val="76265996"/>
    <w:rsid w:val="762B1157"/>
    <w:rsid w:val="762F092F"/>
    <w:rsid w:val="762F0C47"/>
    <w:rsid w:val="7630676D"/>
    <w:rsid w:val="7635099D"/>
    <w:rsid w:val="763B0DB5"/>
    <w:rsid w:val="763E532E"/>
    <w:rsid w:val="763E6C2C"/>
    <w:rsid w:val="76443671"/>
    <w:rsid w:val="764A4A15"/>
    <w:rsid w:val="764F7D99"/>
    <w:rsid w:val="765608C9"/>
    <w:rsid w:val="76571E14"/>
    <w:rsid w:val="76595CC4"/>
    <w:rsid w:val="765E777E"/>
    <w:rsid w:val="76692538"/>
    <w:rsid w:val="766A357A"/>
    <w:rsid w:val="766B6FCA"/>
    <w:rsid w:val="766E39D9"/>
    <w:rsid w:val="767251C4"/>
    <w:rsid w:val="7674448E"/>
    <w:rsid w:val="76773C14"/>
    <w:rsid w:val="76780840"/>
    <w:rsid w:val="76791CBE"/>
    <w:rsid w:val="767E413B"/>
    <w:rsid w:val="768076F4"/>
    <w:rsid w:val="76843ED4"/>
    <w:rsid w:val="7684541A"/>
    <w:rsid w:val="76854D0B"/>
    <w:rsid w:val="76876590"/>
    <w:rsid w:val="768E1E11"/>
    <w:rsid w:val="769254D2"/>
    <w:rsid w:val="769574DB"/>
    <w:rsid w:val="76981616"/>
    <w:rsid w:val="769907B6"/>
    <w:rsid w:val="76995F70"/>
    <w:rsid w:val="769B46CA"/>
    <w:rsid w:val="769F4EB5"/>
    <w:rsid w:val="76B044B6"/>
    <w:rsid w:val="76B441CE"/>
    <w:rsid w:val="76BB028D"/>
    <w:rsid w:val="76BE7E26"/>
    <w:rsid w:val="76C577FD"/>
    <w:rsid w:val="76C7496A"/>
    <w:rsid w:val="76CA6BC2"/>
    <w:rsid w:val="76E111B2"/>
    <w:rsid w:val="76E557A9"/>
    <w:rsid w:val="76E77774"/>
    <w:rsid w:val="76E934EC"/>
    <w:rsid w:val="76EE0797"/>
    <w:rsid w:val="76F1130B"/>
    <w:rsid w:val="76FA6072"/>
    <w:rsid w:val="76FE3921"/>
    <w:rsid w:val="76FF1346"/>
    <w:rsid w:val="77012B63"/>
    <w:rsid w:val="77025C02"/>
    <w:rsid w:val="7703396B"/>
    <w:rsid w:val="77040325"/>
    <w:rsid w:val="77062F73"/>
    <w:rsid w:val="77062FB7"/>
    <w:rsid w:val="770C1B1E"/>
    <w:rsid w:val="770C2D36"/>
    <w:rsid w:val="770C71DA"/>
    <w:rsid w:val="770E60AD"/>
    <w:rsid w:val="77165958"/>
    <w:rsid w:val="771F6A91"/>
    <w:rsid w:val="772258B3"/>
    <w:rsid w:val="77274014"/>
    <w:rsid w:val="773167AF"/>
    <w:rsid w:val="77366005"/>
    <w:rsid w:val="773B613A"/>
    <w:rsid w:val="773E378F"/>
    <w:rsid w:val="773F215E"/>
    <w:rsid w:val="77463151"/>
    <w:rsid w:val="774A31B8"/>
    <w:rsid w:val="774B63F9"/>
    <w:rsid w:val="774F1B97"/>
    <w:rsid w:val="775843AE"/>
    <w:rsid w:val="775A1CF3"/>
    <w:rsid w:val="775B09E1"/>
    <w:rsid w:val="775C1112"/>
    <w:rsid w:val="775E4655"/>
    <w:rsid w:val="775E5C88"/>
    <w:rsid w:val="77671A94"/>
    <w:rsid w:val="776816DF"/>
    <w:rsid w:val="776C5A77"/>
    <w:rsid w:val="7770464E"/>
    <w:rsid w:val="77762421"/>
    <w:rsid w:val="777728A5"/>
    <w:rsid w:val="77786CF2"/>
    <w:rsid w:val="777B3785"/>
    <w:rsid w:val="77811976"/>
    <w:rsid w:val="77851125"/>
    <w:rsid w:val="778B57B9"/>
    <w:rsid w:val="778D20C9"/>
    <w:rsid w:val="778F0BAC"/>
    <w:rsid w:val="77932D71"/>
    <w:rsid w:val="77935D15"/>
    <w:rsid w:val="77985288"/>
    <w:rsid w:val="779D5E13"/>
    <w:rsid w:val="779E20BB"/>
    <w:rsid w:val="77A310EE"/>
    <w:rsid w:val="77A67875"/>
    <w:rsid w:val="77A92327"/>
    <w:rsid w:val="77A9270B"/>
    <w:rsid w:val="77AB1550"/>
    <w:rsid w:val="77B56B1F"/>
    <w:rsid w:val="77BE3387"/>
    <w:rsid w:val="77C47499"/>
    <w:rsid w:val="77C92451"/>
    <w:rsid w:val="77CA34E2"/>
    <w:rsid w:val="77CB5936"/>
    <w:rsid w:val="77CE2B25"/>
    <w:rsid w:val="77D20399"/>
    <w:rsid w:val="77DD0C54"/>
    <w:rsid w:val="77E05892"/>
    <w:rsid w:val="77E12415"/>
    <w:rsid w:val="77E42402"/>
    <w:rsid w:val="77E837A3"/>
    <w:rsid w:val="77E872FF"/>
    <w:rsid w:val="77EB2296"/>
    <w:rsid w:val="77EB6DF0"/>
    <w:rsid w:val="77EF4AF4"/>
    <w:rsid w:val="77F24819"/>
    <w:rsid w:val="77F26B51"/>
    <w:rsid w:val="77FC64D6"/>
    <w:rsid w:val="7800347A"/>
    <w:rsid w:val="7806082A"/>
    <w:rsid w:val="78076D50"/>
    <w:rsid w:val="780F09F4"/>
    <w:rsid w:val="781A1483"/>
    <w:rsid w:val="782128AF"/>
    <w:rsid w:val="782348F1"/>
    <w:rsid w:val="7826619A"/>
    <w:rsid w:val="78267874"/>
    <w:rsid w:val="78277265"/>
    <w:rsid w:val="782A5B6A"/>
    <w:rsid w:val="78362761"/>
    <w:rsid w:val="783833C6"/>
    <w:rsid w:val="783E33C3"/>
    <w:rsid w:val="78402C6D"/>
    <w:rsid w:val="784B57E6"/>
    <w:rsid w:val="784B7FEE"/>
    <w:rsid w:val="784D4347"/>
    <w:rsid w:val="784F55D0"/>
    <w:rsid w:val="785018A3"/>
    <w:rsid w:val="78545FFB"/>
    <w:rsid w:val="7857309C"/>
    <w:rsid w:val="785D5304"/>
    <w:rsid w:val="785F4B68"/>
    <w:rsid w:val="78614B4D"/>
    <w:rsid w:val="786A196B"/>
    <w:rsid w:val="786B1B61"/>
    <w:rsid w:val="78762B5D"/>
    <w:rsid w:val="787A2BB7"/>
    <w:rsid w:val="787E5EB6"/>
    <w:rsid w:val="78857244"/>
    <w:rsid w:val="788A03B6"/>
    <w:rsid w:val="78904661"/>
    <w:rsid w:val="78970A8A"/>
    <w:rsid w:val="78A218EF"/>
    <w:rsid w:val="78A31B56"/>
    <w:rsid w:val="78A52750"/>
    <w:rsid w:val="78A603D1"/>
    <w:rsid w:val="78A67F22"/>
    <w:rsid w:val="78A90480"/>
    <w:rsid w:val="78AB57A9"/>
    <w:rsid w:val="78AD22F7"/>
    <w:rsid w:val="78AE1847"/>
    <w:rsid w:val="78B06666"/>
    <w:rsid w:val="78BF6190"/>
    <w:rsid w:val="78BF6AF2"/>
    <w:rsid w:val="78C901B4"/>
    <w:rsid w:val="78D41D67"/>
    <w:rsid w:val="78D52693"/>
    <w:rsid w:val="78E0091E"/>
    <w:rsid w:val="78E20029"/>
    <w:rsid w:val="78E3021C"/>
    <w:rsid w:val="78E57515"/>
    <w:rsid w:val="78ED6079"/>
    <w:rsid w:val="78F47F26"/>
    <w:rsid w:val="78FD66D2"/>
    <w:rsid w:val="79025DCB"/>
    <w:rsid w:val="790406C7"/>
    <w:rsid w:val="790B50F5"/>
    <w:rsid w:val="790D6F0A"/>
    <w:rsid w:val="79170DCE"/>
    <w:rsid w:val="791B4625"/>
    <w:rsid w:val="79264E55"/>
    <w:rsid w:val="792B5A05"/>
    <w:rsid w:val="792C2EE3"/>
    <w:rsid w:val="792C3B64"/>
    <w:rsid w:val="792E168A"/>
    <w:rsid w:val="79342C4F"/>
    <w:rsid w:val="793772DB"/>
    <w:rsid w:val="79384520"/>
    <w:rsid w:val="793E41EE"/>
    <w:rsid w:val="793F284C"/>
    <w:rsid w:val="793F5519"/>
    <w:rsid w:val="794021D8"/>
    <w:rsid w:val="79416DC1"/>
    <w:rsid w:val="79507900"/>
    <w:rsid w:val="79507C6C"/>
    <w:rsid w:val="79525D3E"/>
    <w:rsid w:val="795937C3"/>
    <w:rsid w:val="795C3F99"/>
    <w:rsid w:val="795E2E8A"/>
    <w:rsid w:val="7963350C"/>
    <w:rsid w:val="796864D0"/>
    <w:rsid w:val="796B625E"/>
    <w:rsid w:val="796D29F6"/>
    <w:rsid w:val="796D31D1"/>
    <w:rsid w:val="79710518"/>
    <w:rsid w:val="79750042"/>
    <w:rsid w:val="79762CB1"/>
    <w:rsid w:val="797B7924"/>
    <w:rsid w:val="797E2C25"/>
    <w:rsid w:val="798002C4"/>
    <w:rsid w:val="79865022"/>
    <w:rsid w:val="798B6DBB"/>
    <w:rsid w:val="798C31F4"/>
    <w:rsid w:val="79912962"/>
    <w:rsid w:val="79920234"/>
    <w:rsid w:val="799F60E4"/>
    <w:rsid w:val="79A33E26"/>
    <w:rsid w:val="79B750A1"/>
    <w:rsid w:val="79B75266"/>
    <w:rsid w:val="79C03B52"/>
    <w:rsid w:val="79C24075"/>
    <w:rsid w:val="79C33231"/>
    <w:rsid w:val="79C36FEE"/>
    <w:rsid w:val="79C92152"/>
    <w:rsid w:val="79CE0777"/>
    <w:rsid w:val="79D05776"/>
    <w:rsid w:val="79E04E76"/>
    <w:rsid w:val="79E2108D"/>
    <w:rsid w:val="79E530B6"/>
    <w:rsid w:val="79E7054E"/>
    <w:rsid w:val="79EA1A55"/>
    <w:rsid w:val="79EC59B1"/>
    <w:rsid w:val="79EF21D4"/>
    <w:rsid w:val="79F05285"/>
    <w:rsid w:val="79F30FA6"/>
    <w:rsid w:val="79F41B44"/>
    <w:rsid w:val="79F72D0A"/>
    <w:rsid w:val="79FD4B66"/>
    <w:rsid w:val="7A0348D0"/>
    <w:rsid w:val="7A080321"/>
    <w:rsid w:val="7A080CC3"/>
    <w:rsid w:val="7A0C674C"/>
    <w:rsid w:val="7A1D6972"/>
    <w:rsid w:val="7A266805"/>
    <w:rsid w:val="7A285673"/>
    <w:rsid w:val="7A2B1BAD"/>
    <w:rsid w:val="7A2C0AE0"/>
    <w:rsid w:val="7A2D430B"/>
    <w:rsid w:val="7A364017"/>
    <w:rsid w:val="7A394769"/>
    <w:rsid w:val="7A3967AF"/>
    <w:rsid w:val="7A3F1373"/>
    <w:rsid w:val="7A41719B"/>
    <w:rsid w:val="7A431072"/>
    <w:rsid w:val="7A447D59"/>
    <w:rsid w:val="7A450B26"/>
    <w:rsid w:val="7A4546AF"/>
    <w:rsid w:val="7A4869B1"/>
    <w:rsid w:val="7A490C32"/>
    <w:rsid w:val="7A4F4E61"/>
    <w:rsid w:val="7A513882"/>
    <w:rsid w:val="7A603AC5"/>
    <w:rsid w:val="7A652E89"/>
    <w:rsid w:val="7A680BCB"/>
    <w:rsid w:val="7A6A1532"/>
    <w:rsid w:val="7A6F6E32"/>
    <w:rsid w:val="7A702748"/>
    <w:rsid w:val="7A743B00"/>
    <w:rsid w:val="7A777B87"/>
    <w:rsid w:val="7A7C217E"/>
    <w:rsid w:val="7A7E71CA"/>
    <w:rsid w:val="7A8265E1"/>
    <w:rsid w:val="7A8B77C7"/>
    <w:rsid w:val="7A972B16"/>
    <w:rsid w:val="7A993117"/>
    <w:rsid w:val="7A9B0456"/>
    <w:rsid w:val="7A9B4AFD"/>
    <w:rsid w:val="7A9C0875"/>
    <w:rsid w:val="7A9C6A9A"/>
    <w:rsid w:val="7AA33785"/>
    <w:rsid w:val="7AA634A2"/>
    <w:rsid w:val="7AAB76FF"/>
    <w:rsid w:val="7AAD075E"/>
    <w:rsid w:val="7AB85F6C"/>
    <w:rsid w:val="7ABD6D34"/>
    <w:rsid w:val="7AC01CCD"/>
    <w:rsid w:val="7AC4352C"/>
    <w:rsid w:val="7AC75644"/>
    <w:rsid w:val="7ACD16AF"/>
    <w:rsid w:val="7AD51D97"/>
    <w:rsid w:val="7ADB75EF"/>
    <w:rsid w:val="7ADD3367"/>
    <w:rsid w:val="7ADE0A7F"/>
    <w:rsid w:val="7ADE49EA"/>
    <w:rsid w:val="7ADF141F"/>
    <w:rsid w:val="7AE529D0"/>
    <w:rsid w:val="7AE74E43"/>
    <w:rsid w:val="7AE83ABA"/>
    <w:rsid w:val="7AF0125E"/>
    <w:rsid w:val="7AF81F4F"/>
    <w:rsid w:val="7AFC477A"/>
    <w:rsid w:val="7AFD0630"/>
    <w:rsid w:val="7B0207E5"/>
    <w:rsid w:val="7B027357"/>
    <w:rsid w:val="7B054C06"/>
    <w:rsid w:val="7B084DB8"/>
    <w:rsid w:val="7B0C1557"/>
    <w:rsid w:val="7B0C3D14"/>
    <w:rsid w:val="7B1A0DC5"/>
    <w:rsid w:val="7B1B3E90"/>
    <w:rsid w:val="7B1C7893"/>
    <w:rsid w:val="7B201764"/>
    <w:rsid w:val="7B230961"/>
    <w:rsid w:val="7B236572"/>
    <w:rsid w:val="7B240D84"/>
    <w:rsid w:val="7B241751"/>
    <w:rsid w:val="7B2A40D3"/>
    <w:rsid w:val="7B2B0079"/>
    <w:rsid w:val="7B2D27EF"/>
    <w:rsid w:val="7B2E2A94"/>
    <w:rsid w:val="7B30255B"/>
    <w:rsid w:val="7B3312D9"/>
    <w:rsid w:val="7B386982"/>
    <w:rsid w:val="7B3928E2"/>
    <w:rsid w:val="7B3C7270"/>
    <w:rsid w:val="7B3E69C5"/>
    <w:rsid w:val="7B4034D5"/>
    <w:rsid w:val="7B405023"/>
    <w:rsid w:val="7B47059E"/>
    <w:rsid w:val="7B486744"/>
    <w:rsid w:val="7B4903DA"/>
    <w:rsid w:val="7B4D75B4"/>
    <w:rsid w:val="7B4E6013"/>
    <w:rsid w:val="7B5573A2"/>
    <w:rsid w:val="7B567AF0"/>
    <w:rsid w:val="7B582291"/>
    <w:rsid w:val="7B5C2A1C"/>
    <w:rsid w:val="7B624B1E"/>
    <w:rsid w:val="7B644E9F"/>
    <w:rsid w:val="7B647DE9"/>
    <w:rsid w:val="7B676220"/>
    <w:rsid w:val="7B686D42"/>
    <w:rsid w:val="7B707D38"/>
    <w:rsid w:val="7B794C2E"/>
    <w:rsid w:val="7B7F481D"/>
    <w:rsid w:val="7B825CBD"/>
    <w:rsid w:val="7B833256"/>
    <w:rsid w:val="7B841746"/>
    <w:rsid w:val="7B844BCE"/>
    <w:rsid w:val="7B8712B8"/>
    <w:rsid w:val="7B880EA1"/>
    <w:rsid w:val="7B924774"/>
    <w:rsid w:val="7B9532A2"/>
    <w:rsid w:val="7B9E4FF6"/>
    <w:rsid w:val="7BA22725"/>
    <w:rsid w:val="7BAB1775"/>
    <w:rsid w:val="7BB12DCE"/>
    <w:rsid w:val="7BB51BB4"/>
    <w:rsid w:val="7BB54DBE"/>
    <w:rsid w:val="7BB67714"/>
    <w:rsid w:val="7BB977B6"/>
    <w:rsid w:val="7BBD4F47"/>
    <w:rsid w:val="7BC23010"/>
    <w:rsid w:val="7BC2337B"/>
    <w:rsid w:val="7BD0654E"/>
    <w:rsid w:val="7BD85367"/>
    <w:rsid w:val="7BD94F5E"/>
    <w:rsid w:val="7BDB5338"/>
    <w:rsid w:val="7BDD7C25"/>
    <w:rsid w:val="7BE77A67"/>
    <w:rsid w:val="7BE91898"/>
    <w:rsid w:val="7BE94620"/>
    <w:rsid w:val="7BEC1388"/>
    <w:rsid w:val="7BEE5100"/>
    <w:rsid w:val="7BF55D96"/>
    <w:rsid w:val="7BF746C3"/>
    <w:rsid w:val="7BF82A3F"/>
    <w:rsid w:val="7BFA3AA5"/>
    <w:rsid w:val="7BFB59C6"/>
    <w:rsid w:val="7BFF2E69"/>
    <w:rsid w:val="7C017364"/>
    <w:rsid w:val="7C030B65"/>
    <w:rsid w:val="7C0622AA"/>
    <w:rsid w:val="7C0766DB"/>
    <w:rsid w:val="7C077F70"/>
    <w:rsid w:val="7C0800BF"/>
    <w:rsid w:val="7C087F10"/>
    <w:rsid w:val="7C0A2C05"/>
    <w:rsid w:val="7C0B3F04"/>
    <w:rsid w:val="7C106B54"/>
    <w:rsid w:val="7C1115DC"/>
    <w:rsid w:val="7C187E39"/>
    <w:rsid w:val="7C1F275F"/>
    <w:rsid w:val="7C2A25DC"/>
    <w:rsid w:val="7C3A20F4"/>
    <w:rsid w:val="7C3F4B7E"/>
    <w:rsid w:val="7C400EA1"/>
    <w:rsid w:val="7C491344"/>
    <w:rsid w:val="7C4B3444"/>
    <w:rsid w:val="7C4D4C04"/>
    <w:rsid w:val="7C525E87"/>
    <w:rsid w:val="7C540233"/>
    <w:rsid w:val="7C54567E"/>
    <w:rsid w:val="7C553C0B"/>
    <w:rsid w:val="7C594C70"/>
    <w:rsid w:val="7C5950EA"/>
    <w:rsid w:val="7C617C0E"/>
    <w:rsid w:val="7C670063"/>
    <w:rsid w:val="7C677F80"/>
    <w:rsid w:val="7C6B04FF"/>
    <w:rsid w:val="7C6C5AC7"/>
    <w:rsid w:val="7C6F464D"/>
    <w:rsid w:val="7C723F3D"/>
    <w:rsid w:val="7C7302D4"/>
    <w:rsid w:val="7C7C02C3"/>
    <w:rsid w:val="7C8D47EE"/>
    <w:rsid w:val="7C8E4179"/>
    <w:rsid w:val="7C8F68E3"/>
    <w:rsid w:val="7C9C4B5C"/>
    <w:rsid w:val="7C9E1893"/>
    <w:rsid w:val="7C9E7A64"/>
    <w:rsid w:val="7CA22A02"/>
    <w:rsid w:val="7CA915F3"/>
    <w:rsid w:val="7CA91615"/>
    <w:rsid w:val="7CAB7FBA"/>
    <w:rsid w:val="7CB068F8"/>
    <w:rsid w:val="7CB17610"/>
    <w:rsid w:val="7CB26D57"/>
    <w:rsid w:val="7CBF2A55"/>
    <w:rsid w:val="7CC10F7F"/>
    <w:rsid w:val="7CC6544B"/>
    <w:rsid w:val="7CC727D5"/>
    <w:rsid w:val="7CCC5A0F"/>
    <w:rsid w:val="7CD031D0"/>
    <w:rsid w:val="7CD86133"/>
    <w:rsid w:val="7CDC249F"/>
    <w:rsid w:val="7CDF21EC"/>
    <w:rsid w:val="7CE502B1"/>
    <w:rsid w:val="7CE65A38"/>
    <w:rsid w:val="7CF24F3F"/>
    <w:rsid w:val="7CF321B1"/>
    <w:rsid w:val="7CF71650"/>
    <w:rsid w:val="7D011CDE"/>
    <w:rsid w:val="7D0239FF"/>
    <w:rsid w:val="7D037A58"/>
    <w:rsid w:val="7D085F7C"/>
    <w:rsid w:val="7D0B583E"/>
    <w:rsid w:val="7D0B624F"/>
    <w:rsid w:val="7D10135B"/>
    <w:rsid w:val="7D110243"/>
    <w:rsid w:val="7D111D50"/>
    <w:rsid w:val="7D1149B0"/>
    <w:rsid w:val="7D140B97"/>
    <w:rsid w:val="7D1731A8"/>
    <w:rsid w:val="7D17592D"/>
    <w:rsid w:val="7D1E1A15"/>
    <w:rsid w:val="7D1E3461"/>
    <w:rsid w:val="7D203AF9"/>
    <w:rsid w:val="7D21425A"/>
    <w:rsid w:val="7D2B161E"/>
    <w:rsid w:val="7D3006EB"/>
    <w:rsid w:val="7D364E79"/>
    <w:rsid w:val="7D3F494C"/>
    <w:rsid w:val="7D425FB6"/>
    <w:rsid w:val="7D4551F4"/>
    <w:rsid w:val="7D494CE4"/>
    <w:rsid w:val="7D497A10"/>
    <w:rsid w:val="7D4A6A89"/>
    <w:rsid w:val="7D593F97"/>
    <w:rsid w:val="7D5E40CD"/>
    <w:rsid w:val="7D623492"/>
    <w:rsid w:val="7D650A13"/>
    <w:rsid w:val="7D6605F4"/>
    <w:rsid w:val="7D676350"/>
    <w:rsid w:val="7D697E7F"/>
    <w:rsid w:val="7D6A6D84"/>
    <w:rsid w:val="7D6F16F7"/>
    <w:rsid w:val="7D7341E9"/>
    <w:rsid w:val="7D751CB9"/>
    <w:rsid w:val="7D8263CF"/>
    <w:rsid w:val="7D845D1C"/>
    <w:rsid w:val="7D9263E8"/>
    <w:rsid w:val="7D935EC7"/>
    <w:rsid w:val="7D944B67"/>
    <w:rsid w:val="7D9A79BD"/>
    <w:rsid w:val="7DA32BE1"/>
    <w:rsid w:val="7DA50AD5"/>
    <w:rsid w:val="7DAD30B2"/>
    <w:rsid w:val="7DB70F2B"/>
    <w:rsid w:val="7DBA3FA6"/>
    <w:rsid w:val="7DBD3A1E"/>
    <w:rsid w:val="7DBD53D8"/>
    <w:rsid w:val="7DBF1D38"/>
    <w:rsid w:val="7DC1519F"/>
    <w:rsid w:val="7DC73E5B"/>
    <w:rsid w:val="7DC75C1E"/>
    <w:rsid w:val="7DCB394B"/>
    <w:rsid w:val="7DCB5243"/>
    <w:rsid w:val="7DCD4232"/>
    <w:rsid w:val="7DCD56F2"/>
    <w:rsid w:val="7DD00C54"/>
    <w:rsid w:val="7DD345AE"/>
    <w:rsid w:val="7DDB0EDD"/>
    <w:rsid w:val="7DDC60DB"/>
    <w:rsid w:val="7DE828B4"/>
    <w:rsid w:val="7DE82A78"/>
    <w:rsid w:val="7DE95B7F"/>
    <w:rsid w:val="7DEA121C"/>
    <w:rsid w:val="7DEC6D15"/>
    <w:rsid w:val="7DED3F13"/>
    <w:rsid w:val="7DF5428B"/>
    <w:rsid w:val="7DF54524"/>
    <w:rsid w:val="7DF6492E"/>
    <w:rsid w:val="7DFC1BF7"/>
    <w:rsid w:val="7DFD2A05"/>
    <w:rsid w:val="7DFE3170"/>
    <w:rsid w:val="7DFF53A3"/>
    <w:rsid w:val="7E06136E"/>
    <w:rsid w:val="7E075D2D"/>
    <w:rsid w:val="7E087814"/>
    <w:rsid w:val="7E0935CE"/>
    <w:rsid w:val="7E0A3FA9"/>
    <w:rsid w:val="7E0A41DA"/>
    <w:rsid w:val="7E0B01EB"/>
    <w:rsid w:val="7E0C7AC0"/>
    <w:rsid w:val="7E0E6A9A"/>
    <w:rsid w:val="7E1314BA"/>
    <w:rsid w:val="7E164407"/>
    <w:rsid w:val="7E1D20AD"/>
    <w:rsid w:val="7E1F5A45"/>
    <w:rsid w:val="7E22523F"/>
    <w:rsid w:val="7E2B3F60"/>
    <w:rsid w:val="7E356BC8"/>
    <w:rsid w:val="7E3641FA"/>
    <w:rsid w:val="7E370FE0"/>
    <w:rsid w:val="7E3A63DB"/>
    <w:rsid w:val="7E3F608B"/>
    <w:rsid w:val="7E402C0C"/>
    <w:rsid w:val="7E4210B2"/>
    <w:rsid w:val="7E4251F7"/>
    <w:rsid w:val="7E446B72"/>
    <w:rsid w:val="7E45690F"/>
    <w:rsid w:val="7E537572"/>
    <w:rsid w:val="7E574376"/>
    <w:rsid w:val="7E5C05A5"/>
    <w:rsid w:val="7E621AF6"/>
    <w:rsid w:val="7E687DE7"/>
    <w:rsid w:val="7E6B47E6"/>
    <w:rsid w:val="7E6F308D"/>
    <w:rsid w:val="7E7519E3"/>
    <w:rsid w:val="7E767E38"/>
    <w:rsid w:val="7E774D14"/>
    <w:rsid w:val="7E786069"/>
    <w:rsid w:val="7E794BBF"/>
    <w:rsid w:val="7E7A711F"/>
    <w:rsid w:val="7E7C4C45"/>
    <w:rsid w:val="7E7D01F2"/>
    <w:rsid w:val="7E7E59CE"/>
    <w:rsid w:val="7E8C17C8"/>
    <w:rsid w:val="7E90249F"/>
    <w:rsid w:val="7E912D8C"/>
    <w:rsid w:val="7E9401E1"/>
    <w:rsid w:val="7E954FD5"/>
    <w:rsid w:val="7E9C0FE8"/>
    <w:rsid w:val="7E9C7095"/>
    <w:rsid w:val="7E9D5C94"/>
    <w:rsid w:val="7E9E1AD8"/>
    <w:rsid w:val="7EA55E80"/>
    <w:rsid w:val="7EA816A6"/>
    <w:rsid w:val="7EA83C8C"/>
    <w:rsid w:val="7EAE4002"/>
    <w:rsid w:val="7EAF5740"/>
    <w:rsid w:val="7EB02B41"/>
    <w:rsid w:val="7EB02C3A"/>
    <w:rsid w:val="7EB26AE9"/>
    <w:rsid w:val="7EB663A9"/>
    <w:rsid w:val="7EB87432"/>
    <w:rsid w:val="7EBC2DA3"/>
    <w:rsid w:val="7EBD74CE"/>
    <w:rsid w:val="7EC108AA"/>
    <w:rsid w:val="7EC120D4"/>
    <w:rsid w:val="7EC23B02"/>
    <w:rsid w:val="7EC3633A"/>
    <w:rsid w:val="7EC841AF"/>
    <w:rsid w:val="7ECA0929"/>
    <w:rsid w:val="7ECA459D"/>
    <w:rsid w:val="7ECD341B"/>
    <w:rsid w:val="7ED03483"/>
    <w:rsid w:val="7ED405DD"/>
    <w:rsid w:val="7ED56104"/>
    <w:rsid w:val="7EDA4FB6"/>
    <w:rsid w:val="7EDC1F24"/>
    <w:rsid w:val="7EDC22A7"/>
    <w:rsid w:val="7EE540FF"/>
    <w:rsid w:val="7EE64837"/>
    <w:rsid w:val="7EEB3B79"/>
    <w:rsid w:val="7EEC1246"/>
    <w:rsid w:val="7EEC7FF7"/>
    <w:rsid w:val="7EF8585E"/>
    <w:rsid w:val="7EFA43CF"/>
    <w:rsid w:val="7F001CE7"/>
    <w:rsid w:val="7F075DA6"/>
    <w:rsid w:val="7F08297D"/>
    <w:rsid w:val="7F0D3AEF"/>
    <w:rsid w:val="7F120394"/>
    <w:rsid w:val="7F17534F"/>
    <w:rsid w:val="7F22162F"/>
    <w:rsid w:val="7F29028D"/>
    <w:rsid w:val="7F2E5467"/>
    <w:rsid w:val="7F3119C7"/>
    <w:rsid w:val="7F330AE3"/>
    <w:rsid w:val="7F3433BA"/>
    <w:rsid w:val="7F372393"/>
    <w:rsid w:val="7F374E6D"/>
    <w:rsid w:val="7F391259"/>
    <w:rsid w:val="7F443265"/>
    <w:rsid w:val="7F4B202E"/>
    <w:rsid w:val="7F4C4618"/>
    <w:rsid w:val="7F4E1F44"/>
    <w:rsid w:val="7F5357A0"/>
    <w:rsid w:val="7F54171E"/>
    <w:rsid w:val="7F557EA4"/>
    <w:rsid w:val="7F5D1236"/>
    <w:rsid w:val="7F5E1984"/>
    <w:rsid w:val="7F65392B"/>
    <w:rsid w:val="7F6A1820"/>
    <w:rsid w:val="7F703FD1"/>
    <w:rsid w:val="7F713066"/>
    <w:rsid w:val="7F720ADE"/>
    <w:rsid w:val="7F732964"/>
    <w:rsid w:val="7F76724E"/>
    <w:rsid w:val="7F7717C6"/>
    <w:rsid w:val="7F777F3E"/>
    <w:rsid w:val="7F782862"/>
    <w:rsid w:val="7F791185"/>
    <w:rsid w:val="7F7A5441"/>
    <w:rsid w:val="7F7F2A14"/>
    <w:rsid w:val="7F846922"/>
    <w:rsid w:val="7F8B6823"/>
    <w:rsid w:val="7F8D4DFF"/>
    <w:rsid w:val="7F8E14D9"/>
    <w:rsid w:val="7F8F01AA"/>
    <w:rsid w:val="7F8F7EB7"/>
    <w:rsid w:val="7F9073FD"/>
    <w:rsid w:val="7F9338BC"/>
    <w:rsid w:val="7F9B7F01"/>
    <w:rsid w:val="7F9F256C"/>
    <w:rsid w:val="7F9F29FE"/>
    <w:rsid w:val="7F9F508F"/>
    <w:rsid w:val="7F9F5674"/>
    <w:rsid w:val="7FA04DDE"/>
    <w:rsid w:val="7FA26EB2"/>
    <w:rsid w:val="7FA57DA7"/>
    <w:rsid w:val="7FA7138B"/>
    <w:rsid w:val="7FA84C4B"/>
    <w:rsid w:val="7FA977A8"/>
    <w:rsid w:val="7FAA32FD"/>
    <w:rsid w:val="7FB41CEA"/>
    <w:rsid w:val="7FB8209A"/>
    <w:rsid w:val="7FBB354B"/>
    <w:rsid w:val="7FBE45A5"/>
    <w:rsid w:val="7FCB7818"/>
    <w:rsid w:val="7FD82C92"/>
    <w:rsid w:val="7FD840FD"/>
    <w:rsid w:val="7FD9003B"/>
    <w:rsid w:val="7FDE455C"/>
    <w:rsid w:val="7FE1014B"/>
    <w:rsid w:val="7FE424CC"/>
    <w:rsid w:val="7FE47E50"/>
    <w:rsid w:val="7FE5226C"/>
    <w:rsid w:val="7FE5681A"/>
    <w:rsid w:val="7FEB59E2"/>
    <w:rsid w:val="7FEC1957"/>
    <w:rsid w:val="7FEE2766"/>
    <w:rsid w:val="7FF13E3D"/>
    <w:rsid w:val="7FF4079D"/>
    <w:rsid w:val="7FF470C5"/>
    <w:rsid w:val="7FF737BC"/>
    <w:rsid w:val="7FF84BE6"/>
    <w:rsid w:val="7FFB5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99"/>
    <w:pPr>
      <w:keepNext/>
      <w:keepLines/>
      <w:spacing w:before="260" w:after="260" w:line="416" w:lineRule="auto"/>
      <w:outlineLvl w:val="2"/>
    </w:pPr>
    <w:rPr>
      <w:b/>
      <w:sz w:val="32"/>
      <w:szCs w:val="20"/>
    </w:rPr>
  </w:style>
  <w:style w:type="paragraph" w:styleId="7">
    <w:name w:val="heading 4"/>
    <w:basedOn w:val="1"/>
    <w:next w:val="1"/>
    <w:qFormat/>
    <w:uiPriority w:val="0"/>
    <w:pPr>
      <w:keepNext/>
      <w:keepLines/>
      <w:widowControl w:val="0"/>
      <w:spacing w:line="440" w:lineRule="exact"/>
      <w:ind w:firstLine="200" w:firstLineChars="200"/>
      <w:jc w:val="both"/>
      <w:outlineLvl w:val="3"/>
    </w:pPr>
    <w:rPr>
      <w:rFonts w:ascii="Calibri Light" w:hAnsi="Calibri Light" w:eastAsia="宋体" w:cs="Times New Roman"/>
      <w:bCs/>
      <w:kern w:val="2"/>
      <w:sz w:val="24"/>
      <w:szCs w:val="28"/>
      <w:lang w:val="en-US" w:eastAsia="zh-CN" w:bidi="ar-SA"/>
    </w:rPr>
  </w:style>
  <w:style w:type="paragraph" w:styleId="8">
    <w:name w:val="heading 5"/>
    <w:basedOn w:val="1"/>
    <w:next w:val="1"/>
    <w:link w:val="93"/>
    <w:semiHidden/>
    <w:unhideWhenUsed/>
    <w:qFormat/>
    <w:uiPriority w:val="0"/>
    <w:pPr>
      <w:keepNext/>
      <w:keepLines/>
      <w:spacing w:before="280" w:after="290" w:line="376" w:lineRule="auto"/>
      <w:outlineLvl w:val="4"/>
    </w:pPr>
    <w:rPr>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61"/>
    <w:qFormat/>
    <w:uiPriority w:val="0"/>
    <w:pPr>
      <w:widowControl/>
      <w:snapToGrid w:val="0"/>
      <w:spacing w:before="60" w:after="160" w:line="259" w:lineRule="auto"/>
      <w:ind w:right="113"/>
    </w:pPr>
    <w:rPr>
      <w:kern w:val="0"/>
      <w:sz w:val="18"/>
      <w:szCs w:val="20"/>
    </w:rPr>
  </w:style>
  <w:style w:type="paragraph" w:styleId="3">
    <w:name w:val="List Bullet 5"/>
    <w:basedOn w:val="1"/>
    <w:qFormat/>
    <w:uiPriority w:val="0"/>
    <w:pPr>
      <w:numPr>
        <w:ilvl w:val="0"/>
        <w:numId w:val="1"/>
      </w:numPr>
    </w:pPr>
  </w:style>
  <w:style w:type="paragraph" w:styleId="9">
    <w:name w:val="List 3"/>
    <w:basedOn w:val="1"/>
    <w:qFormat/>
    <w:uiPriority w:val="0"/>
    <w:pPr>
      <w:ind w:left="100" w:leftChars="400" w:hanging="200" w:hangingChars="200"/>
    </w:pPr>
    <w:rPr>
      <w:rFonts w:ascii="Times New Roman" w:hAnsi="Times New Roman" w:eastAsia="宋体" w:cs="Times New Roman"/>
    </w:rPr>
  </w:style>
  <w:style w:type="paragraph" w:styleId="10">
    <w:name w:val="Normal Indent"/>
    <w:basedOn w:val="1"/>
    <w:next w:val="7"/>
    <w:qFormat/>
    <w:uiPriority w:val="0"/>
    <w:pPr>
      <w:ind w:firstLine="420" w:firstLineChars="200"/>
    </w:pPr>
  </w:style>
  <w:style w:type="paragraph" w:styleId="11">
    <w:name w:val="annotation text"/>
    <w:basedOn w:val="1"/>
    <w:link w:val="62"/>
    <w:qFormat/>
    <w:uiPriority w:val="0"/>
    <w:pPr>
      <w:jc w:val="left"/>
    </w:pPr>
    <w:rPr>
      <w:kern w:val="0"/>
      <w:sz w:val="24"/>
      <w:szCs w:val="20"/>
    </w:rPr>
  </w:style>
  <w:style w:type="paragraph" w:styleId="12">
    <w:name w:val="Body Text Indent"/>
    <w:basedOn w:val="1"/>
    <w:next w:val="1"/>
    <w:link w:val="72"/>
    <w:qFormat/>
    <w:uiPriority w:val="0"/>
    <w:pPr>
      <w:spacing w:after="120"/>
      <w:ind w:left="420" w:leftChars="200"/>
    </w:pPr>
    <w:rPr>
      <w:kern w:val="0"/>
      <w:sz w:val="24"/>
      <w:szCs w:val="20"/>
    </w:rPr>
  </w:style>
  <w:style w:type="paragraph" w:styleId="13">
    <w:name w:val="toc 5"/>
    <w:basedOn w:val="1"/>
    <w:next w:val="1"/>
    <w:semiHidden/>
    <w:qFormat/>
    <w:uiPriority w:val="0"/>
    <w:pPr>
      <w:ind w:left="1680" w:leftChars="800"/>
    </w:pPr>
    <w:rPr>
      <w:rFonts w:ascii="Dutch801 Rm BT" w:hAnsi="Dutch801 Rm BT" w:cs="Dutch801 Rm BT"/>
      <w:sz w:val="21"/>
    </w:rPr>
  </w:style>
  <w:style w:type="paragraph" w:styleId="14">
    <w:name w:val="Plain Text"/>
    <w:basedOn w:val="1"/>
    <w:qFormat/>
    <w:uiPriority w:val="0"/>
    <w:pPr>
      <w:ind w:firstLine="0"/>
    </w:pPr>
    <w:rPr>
      <w:rFonts w:ascii="宋体" w:hAnsi="Courier New"/>
      <w:sz w:val="21"/>
      <w:szCs w:val="24"/>
    </w:rPr>
  </w:style>
  <w:style w:type="paragraph" w:styleId="15">
    <w:name w:val="Date"/>
    <w:basedOn w:val="1"/>
    <w:next w:val="1"/>
    <w:link w:val="57"/>
    <w:qFormat/>
    <w:uiPriority w:val="0"/>
    <w:pPr>
      <w:ind w:left="100" w:leftChars="2500"/>
    </w:pPr>
    <w:rPr>
      <w:kern w:val="0"/>
      <w:sz w:val="24"/>
      <w:szCs w:val="20"/>
    </w:rPr>
  </w:style>
  <w:style w:type="paragraph" w:styleId="16">
    <w:name w:val="Body Text Indent 2"/>
    <w:basedOn w:val="1"/>
    <w:next w:val="1"/>
    <w:qFormat/>
    <w:uiPriority w:val="0"/>
    <w:pPr>
      <w:spacing w:after="120" w:line="480" w:lineRule="auto"/>
      <w:ind w:left="420" w:leftChars="200"/>
    </w:pPr>
    <w:rPr>
      <w:rFonts w:ascii="Times New Roman" w:hAnsi="Times New Roman"/>
      <w:szCs w:val="24"/>
    </w:rPr>
  </w:style>
  <w:style w:type="paragraph" w:styleId="17">
    <w:name w:val="Balloon Text"/>
    <w:basedOn w:val="1"/>
    <w:link w:val="68"/>
    <w:semiHidden/>
    <w:qFormat/>
    <w:uiPriority w:val="0"/>
    <w:rPr>
      <w:kern w:val="0"/>
      <w:sz w:val="18"/>
      <w:szCs w:val="20"/>
    </w:rPr>
  </w:style>
  <w:style w:type="paragraph" w:styleId="18">
    <w:name w:val="footer"/>
    <w:basedOn w:val="1"/>
    <w:link w:val="56"/>
    <w:qFormat/>
    <w:uiPriority w:val="99"/>
    <w:pPr>
      <w:tabs>
        <w:tab w:val="center" w:pos="4153"/>
        <w:tab w:val="right" w:pos="8306"/>
      </w:tabs>
      <w:snapToGrid w:val="0"/>
      <w:jc w:val="left"/>
    </w:pPr>
    <w:rPr>
      <w:kern w:val="0"/>
      <w:sz w:val="18"/>
      <w:szCs w:val="20"/>
    </w:rPr>
  </w:style>
  <w:style w:type="paragraph" w:styleId="19">
    <w:name w:val="envelope return"/>
    <w:basedOn w:val="1"/>
    <w:semiHidden/>
    <w:qFormat/>
    <w:uiPriority w:val="0"/>
    <w:pPr>
      <w:snapToGrid w:val="0"/>
    </w:pPr>
    <w:rPr>
      <w:rFonts w:ascii="Arial" w:hAnsi="Arial" w:cs="Arial"/>
    </w:rPr>
  </w:style>
  <w:style w:type="paragraph" w:styleId="20">
    <w:name w:val="header"/>
    <w:basedOn w:val="1"/>
    <w:next w:val="21"/>
    <w:link w:val="7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1">
    <w:name w:val="样式5"/>
    <w:basedOn w:val="22"/>
    <w:qFormat/>
    <w:uiPriority w:val="0"/>
    <w:pPr>
      <w:snapToGrid w:val="0"/>
      <w:spacing w:line="360" w:lineRule="auto"/>
      <w:ind w:firstLine="510"/>
    </w:pPr>
    <w:rPr>
      <w:sz w:val="24"/>
    </w:rPr>
  </w:style>
  <w:style w:type="paragraph" w:customStyle="1" w:styleId="22">
    <w:name w:val="正文1"/>
    <w:basedOn w:val="1"/>
    <w:qFormat/>
    <w:uiPriority w:val="0"/>
    <w:pPr>
      <w:snapToGrid w:val="0"/>
      <w:spacing w:beforeLines="20" w:afterLines="20" w:line="312" w:lineRule="auto"/>
      <w:ind w:firstLine="475" w:firstLineChars="198"/>
    </w:pPr>
    <w:rPr>
      <w:rFonts w:ascii="宋体" w:hAnsi="宋体"/>
      <w:color w:val="000000"/>
      <w:szCs w:val="20"/>
    </w:rPr>
  </w:style>
  <w:style w:type="paragraph" w:styleId="23">
    <w:name w:val="toc 1"/>
    <w:basedOn w:val="1"/>
    <w:next w:val="1"/>
    <w:qFormat/>
    <w:uiPriority w:val="0"/>
  </w:style>
  <w:style w:type="paragraph" w:styleId="24">
    <w:name w:val="List"/>
    <w:basedOn w:val="1"/>
    <w:qFormat/>
    <w:uiPriority w:val="0"/>
    <w:pPr>
      <w:adjustRightInd w:val="0"/>
      <w:spacing w:line="240" w:lineRule="auto"/>
      <w:ind w:left="200" w:hanging="200" w:hangingChars="200"/>
      <w:jc w:val="left"/>
      <w:textAlignment w:val="baseline"/>
    </w:pPr>
    <w:rPr>
      <w:rFonts w:ascii="Times New Roman"/>
      <w:spacing w:val="0"/>
      <w:szCs w:val="20"/>
    </w:rPr>
  </w:style>
  <w:style w:type="paragraph" w:styleId="25">
    <w:name w:val="table of figures"/>
    <w:basedOn w:val="1"/>
    <w:next w:val="1"/>
    <w:qFormat/>
    <w:uiPriority w:val="0"/>
    <w:pPr>
      <w:ind w:left="200" w:leftChars="200" w:hanging="200" w:hangingChars="200"/>
    </w:pPr>
  </w:style>
  <w:style w:type="paragraph" w:styleId="26">
    <w:name w:val="Body Text 2"/>
    <w:basedOn w:val="1"/>
    <w:next w:val="1"/>
    <w:link w:val="78"/>
    <w:qFormat/>
    <w:uiPriority w:val="0"/>
    <w:pPr>
      <w:spacing w:after="120" w:line="480" w:lineRule="auto"/>
    </w:pPr>
  </w:style>
  <w:style w:type="paragraph" w:styleId="27">
    <w:name w:val="Normal (Web)"/>
    <w:basedOn w:val="1"/>
    <w:link w:val="59"/>
    <w:qFormat/>
    <w:uiPriority w:val="0"/>
    <w:pPr>
      <w:widowControl/>
      <w:spacing w:before="100" w:beforeAutospacing="1" w:after="100" w:afterAutospacing="1"/>
      <w:jc w:val="left"/>
    </w:pPr>
    <w:rPr>
      <w:rFonts w:ascii="宋体" w:hAnsi="宋体"/>
      <w:kern w:val="0"/>
      <w:sz w:val="24"/>
      <w:szCs w:val="20"/>
    </w:rPr>
  </w:style>
  <w:style w:type="paragraph" w:styleId="28">
    <w:name w:val="annotation subject"/>
    <w:basedOn w:val="11"/>
    <w:next w:val="11"/>
    <w:link w:val="69"/>
    <w:semiHidden/>
    <w:qFormat/>
    <w:uiPriority w:val="0"/>
    <w:rPr>
      <w:b/>
    </w:rPr>
  </w:style>
  <w:style w:type="paragraph" w:styleId="29">
    <w:name w:val="Body Text First Indent"/>
    <w:basedOn w:val="2"/>
    <w:qFormat/>
    <w:uiPriority w:val="0"/>
    <w:pPr>
      <w:ind w:firstLine="420" w:firstLineChars="100"/>
    </w:pPr>
  </w:style>
  <w:style w:type="paragraph" w:styleId="30">
    <w:name w:val="Body Text First Indent 2"/>
    <w:basedOn w:val="12"/>
    <w:next w:val="1"/>
    <w:unhideWhenUsed/>
    <w:qFormat/>
    <w:uiPriority w:val="99"/>
    <w:pPr>
      <w:ind w:firstLine="420" w:firstLineChars="200"/>
    </w:pPr>
    <w:rPr>
      <w:szCs w:val="22"/>
    </w:r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22"/>
    <w:rPr>
      <w:b/>
      <w:bCs/>
    </w:rPr>
  </w:style>
  <w:style w:type="character" w:styleId="35">
    <w:name w:val="page number"/>
    <w:basedOn w:val="33"/>
    <w:qFormat/>
    <w:uiPriority w:val="0"/>
  </w:style>
  <w:style w:type="character" w:styleId="36">
    <w:name w:val="Hyperlink"/>
    <w:qFormat/>
    <w:uiPriority w:val="0"/>
    <w:rPr>
      <w:color w:val="0563C1"/>
      <w:u w:val="single"/>
    </w:rPr>
  </w:style>
  <w:style w:type="character" w:styleId="37">
    <w:name w:val="annotation reference"/>
    <w:qFormat/>
    <w:uiPriority w:val="0"/>
    <w:rPr>
      <w:sz w:val="21"/>
    </w:rPr>
  </w:style>
  <w:style w:type="paragraph" w:customStyle="1" w:styleId="38">
    <w:name w:val="Default"/>
    <w:basedOn w:val="3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文本"/>
    <w:basedOn w:val="1"/>
    <w:next w:val="1"/>
    <w:qFormat/>
    <w:uiPriority w:val="0"/>
    <w:pPr>
      <w:autoSpaceDE w:val="0"/>
      <w:autoSpaceDN w:val="0"/>
      <w:ind w:firstLine="480"/>
    </w:pPr>
    <w:rPr>
      <w:rFonts w:cs="Times New Roman"/>
      <w:szCs w:val="24"/>
      <w:lang w:val="zh-CN"/>
    </w:rPr>
  </w:style>
  <w:style w:type="paragraph" w:customStyle="1" w:styleId="40">
    <w:name w:val="样式 正文文本缩进 + 行距: 1.5 倍行距"/>
    <w:basedOn w:val="12"/>
    <w:qFormat/>
    <w:uiPriority w:val="0"/>
    <w:pPr>
      <w:spacing w:after="120"/>
      <w:ind w:left="90" w:leftChars="32" w:firstLine="560"/>
    </w:pPr>
    <w:rPr>
      <w:rFonts w:ascii="Times New Roman" w:hAnsi="Times New Roman"/>
      <w:lang w:val="en-US"/>
    </w:rPr>
  </w:style>
  <w:style w:type="paragraph" w:customStyle="1" w:styleId="41">
    <w:name w:val="Default1"/>
    <w:basedOn w:val="42"/>
    <w:next w:val="43"/>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2">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43">
    <w:name w:val="标题4"/>
    <w:basedOn w:val="1"/>
    <w:next w:val="44"/>
    <w:qFormat/>
    <w:uiPriority w:val="0"/>
    <w:pPr>
      <w:spacing w:line="360" w:lineRule="auto"/>
      <w:ind w:left="496"/>
    </w:pPr>
    <w:rPr>
      <w:rFonts w:ascii="宋体" w:eastAsia="Calibri"/>
      <w:sz w:val="24"/>
    </w:rPr>
  </w:style>
  <w:style w:type="paragraph" w:customStyle="1" w:styleId="44">
    <w:name w:val="表格内正文"/>
    <w:basedOn w:val="1"/>
    <w:next w:val="45"/>
    <w:qFormat/>
    <w:uiPriority w:val="0"/>
    <w:pPr>
      <w:spacing w:line="360" w:lineRule="auto"/>
      <w:ind w:firstLine="493"/>
    </w:pPr>
    <w:rPr>
      <w:rFonts w:ascii="宋体" w:hAnsi="宋体"/>
      <w:spacing w:val="4"/>
      <w:kern w:val="18"/>
      <w:sz w:val="24"/>
    </w:rPr>
  </w:style>
  <w:style w:type="paragraph" w:customStyle="1" w:styleId="45">
    <w:name w:val="A 正文"/>
    <w:basedOn w:val="1"/>
    <w:next w:val="1"/>
    <w:qFormat/>
    <w:uiPriority w:val="0"/>
    <w:pPr>
      <w:spacing w:line="360" w:lineRule="auto"/>
      <w:ind w:firstLine="200"/>
    </w:pPr>
    <w:rPr>
      <w:rFonts w:ascii="Calibri" w:eastAsia="Calibri"/>
      <w:sz w:val="24"/>
    </w:rPr>
  </w:style>
  <w:style w:type="paragraph" w:customStyle="1" w:styleId="46">
    <w:name w:val="样式 正文文本缩进正文文字缩进 + 首行缩进:  2 字符"/>
    <w:basedOn w:val="1"/>
    <w:next w:val="1"/>
    <w:qFormat/>
    <w:uiPriority w:val="0"/>
    <w:pPr>
      <w:widowControl/>
      <w:spacing w:line="336" w:lineRule="auto"/>
      <w:ind w:firstLine="560"/>
      <w:jc w:val="left"/>
    </w:pPr>
    <w:rPr>
      <w:rFonts w:cs="宋体"/>
      <w:sz w:val="28"/>
      <w:szCs w:val="28"/>
    </w:rPr>
  </w:style>
  <w:style w:type="paragraph" w:customStyle="1" w:styleId="47">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paragraph" w:customStyle="1" w:styleId="48">
    <w:name w:val="正文样式"/>
    <w:basedOn w:val="1"/>
    <w:qFormat/>
    <w:uiPriority w:val="0"/>
    <w:pPr>
      <w:spacing w:line="360" w:lineRule="auto"/>
      <w:ind w:right="170" w:firstLine="480" w:firstLineChars="200"/>
    </w:pPr>
    <w:rPr>
      <w:rFonts w:hAnsi="宋体"/>
      <w:sz w:val="24"/>
    </w:rPr>
  </w:style>
  <w:style w:type="paragraph" w:customStyle="1" w:styleId="49">
    <w:name w:val="TOC 31"/>
    <w:basedOn w:val="1"/>
    <w:next w:val="1"/>
    <w:qFormat/>
    <w:uiPriority w:val="0"/>
    <w:pPr>
      <w:widowControl w:val="0"/>
      <w:autoSpaceDE/>
      <w:autoSpaceDN/>
      <w:spacing w:before="0" w:after="0" w:line="240" w:lineRule="auto"/>
      <w:ind w:left="420" w:firstLine="0"/>
      <w:jc w:val="both"/>
    </w:pPr>
    <w:rPr>
      <w:rFonts w:ascii="Times New Roman" w:eastAsia="宋体"/>
      <w:i/>
    </w:rPr>
  </w:style>
  <w:style w:type="paragraph" w:customStyle="1" w:styleId="50">
    <w:name w:val="样式 小四 行距: 1.5 倍行距"/>
    <w:basedOn w:val="1"/>
    <w:qFormat/>
    <w:uiPriority w:val="0"/>
    <w:pPr>
      <w:ind w:firstLine="480" w:firstLineChars="200"/>
    </w:pPr>
    <w:rPr>
      <w:rFonts w:hint="default" w:cs="宋体"/>
    </w:rPr>
  </w:style>
  <w:style w:type="paragraph" w:customStyle="1" w:styleId="51">
    <w:name w:val="Body Text Indent 21"/>
    <w:basedOn w:val="1"/>
    <w:qFormat/>
    <w:uiPriority w:val="0"/>
    <w:pPr>
      <w:ind w:firstLine="480"/>
    </w:pPr>
    <w:rPr>
      <w:rFonts w:ascii="仿宋_GB2312" w:hAnsi="宋体" w:eastAsia="仿宋_GB2312"/>
      <w:sz w:val="24"/>
    </w:rPr>
  </w:style>
  <w:style w:type="paragraph" w:customStyle="1" w:styleId="52">
    <w:name w:val="正文文本缩进 21"/>
    <w:basedOn w:val="1"/>
    <w:next w:val="53"/>
    <w:qFormat/>
    <w:uiPriority w:val="0"/>
    <w:pPr>
      <w:spacing w:after="120" w:line="480" w:lineRule="auto"/>
      <w:ind w:left="420"/>
    </w:pPr>
  </w:style>
  <w:style w:type="paragraph" w:customStyle="1" w:styleId="53">
    <w:name w:val="样式 正文文本缩进 3 + 12 磅 左侧:  2 字符"/>
    <w:next w:val="11"/>
    <w:qFormat/>
    <w:uiPriority w:val="0"/>
    <w:pPr>
      <w:spacing w:after="120" w:line="360" w:lineRule="auto"/>
      <w:ind w:left="200" w:firstLine="3784"/>
    </w:pPr>
    <w:rPr>
      <w:rFonts w:ascii="Times New Roman" w:hAnsi="Times New Roman" w:eastAsia="宋体" w:cs="Times New Roman"/>
      <w:lang w:val="en-US" w:eastAsia="zh-CN" w:bidi="ar-SA"/>
    </w:rPr>
  </w:style>
  <w:style w:type="paragraph" w:customStyle="1" w:styleId="5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5">
    <w:name w:val="常规"/>
    <w:basedOn w:val="1"/>
    <w:qFormat/>
    <w:uiPriority w:val="0"/>
    <w:pPr>
      <w:ind w:firstLine="200" w:firstLineChars="200"/>
      <w:jc w:val="left"/>
    </w:pPr>
    <w:rPr>
      <w:rFonts w:ascii="Arial" w:hAnsi="Arial" w:eastAsia="Arial"/>
      <w:color w:val="000000"/>
      <w:kern w:val="0"/>
      <w:sz w:val="20"/>
      <w:szCs w:val="20"/>
      <w:lang w:val="zh-CN"/>
    </w:rPr>
  </w:style>
  <w:style w:type="character" w:customStyle="1" w:styleId="56">
    <w:name w:val="页脚 字符1"/>
    <w:link w:val="18"/>
    <w:qFormat/>
    <w:uiPriority w:val="99"/>
    <w:rPr>
      <w:sz w:val="18"/>
    </w:rPr>
  </w:style>
  <w:style w:type="character" w:customStyle="1" w:styleId="57">
    <w:name w:val="日期 字符1"/>
    <w:link w:val="15"/>
    <w:qFormat/>
    <w:uiPriority w:val="0"/>
    <w:rPr>
      <w:rFonts w:ascii="Times New Roman" w:hAnsi="Times New Roman" w:eastAsia="宋体"/>
      <w:sz w:val="24"/>
    </w:rPr>
  </w:style>
  <w:style w:type="character" w:customStyle="1" w:styleId="58">
    <w:name w:val="页脚 字符"/>
    <w:basedOn w:val="33"/>
    <w:qFormat/>
    <w:uiPriority w:val="99"/>
  </w:style>
  <w:style w:type="character" w:customStyle="1" w:styleId="59">
    <w:name w:val="普通(网站) 字符"/>
    <w:link w:val="27"/>
    <w:qFormat/>
    <w:uiPriority w:val="0"/>
    <w:rPr>
      <w:rFonts w:ascii="宋体" w:hAnsi="宋体" w:eastAsia="宋体"/>
      <w:sz w:val="24"/>
    </w:rPr>
  </w:style>
  <w:style w:type="character" w:customStyle="1" w:styleId="60">
    <w:name w:val="正文文本 字符1"/>
    <w:semiHidden/>
    <w:qFormat/>
    <w:uiPriority w:val="0"/>
    <w:rPr>
      <w:rFonts w:ascii="Times New Roman" w:hAnsi="Times New Roman" w:eastAsia="宋体"/>
      <w:sz w:val="24"/>
    </w:rPr>
  </w:style>
  <w:style w:type="character" w:customStyle="1" w:styleId="61">
    <w:name w:val="正文文本 字符"/>
    <w:link w:val="2"/>
    <w:qFormat/>
    <w:uiPriority w:val="0"/>
    <w:rPr>
      <w:sz w:val="18"/>
    </w:rPr>
  </w:style>
  <w:style w:type="character" w:customStyle="1" w:styleId="62">
    <w:name w:val="批注文字 字符"/>
    <w:link w:val="11"/>
    <w:qFormat/>
    <w:uiPriority w:val="0"/>
    <w:rPr>
      <w:rFonts w:ascii="Times New Roman" w:hAnsi="Times New Roman" w:eastAsia="宋体"/>
      <w:sz w:val="24"/>
    </w:rPr>
  </w:style>
  <w:style w:type="character" w:customStyle="1" w:styleId="63">
    <w:name w:val="表格 Char"/>
    <w:link w:val="64"/>
    <w:qFormat/>
    <w:uiPriority w:val="0"/>
    <w:rPr>
      <w:rFonts w:ascii="宋体"/>
      <w:sz w:val="21"/>
    </w:rPr>
  </w:style>
  <w:style w:type="paragraph" w:customStyle="1" w:styleId="64">
    <w:name w:val="表格"/>
    <w:basedOn w:val="65"/>
    <w:next w:val="1"/>
    <w:link w:val="63"/>
    <w:qFormat/>
    <w:uiPriority w:val="0"/>
    <w:pPr>
      <w:tabs>
        <w:tab w:val="right" w:pos="0"/>
      </w:tabs>
      <w:adjustRightInd w:val="0"/>
      <w:snapToGrid w:val="0"/>
      <w:spacing w:beforeLines="10" w:afterLines="10" w:line="259" w:lineRule="auto"/>
      <w:jc w:val="center"/>
    </w:pPr>
    <w:rPr>
      <w:rFonts w:ascii="宋体"/>
      <w:kern w:val="0"/>
      <w:szCs w:val="20"/>
    </w:rPr>
  </w:style>
  <w:style w:type="paragraph" w:customStyle="1" w:styleId="65">
    <w:name w:val="表头"/>
    <w:basedOn w:val="9"/>
    <w:next w:val="1"/>
    <w:qFormat/>
    <w:uiPriority w:val="0"/>
    <w:pPr>
      <w:spacing w:line="240" w:lineRule="auto"/>
      <w:ind w:firstLine="0"/>
      <w:jc w:val="center"/>
    </w:pPr>
  </w:style>
  <w:style w:type="paragraph" w:customStyle="1" w:styleId="66">
    <w:name w:val="表题"/>
    <w:basedOn w:val="1"/>
    <w:qFormat/>
    <w:uiPriority w:val="0"/>
    <w:pPr>
      <w:tabs>
        <w:tab w:val="right" w:pos="0"/>
      </w:tabs>
      <w:adjustRightInd w:val="0"/>
      <w:snapToGrid w:val="0"/>
      <w:ind w:firstLine="0"/>
      <w:jc w:val="center"/>
    </w:pPr>
    <w:rPr>
      <w:rFonts w:ascii="宋体" w:hAnsi="宋体"/>
      <w:b/>
      <w:spacing w:val="12"/>
      <w:sz w:val="24"/>
      <w:szCs w:val="24"/>
    </w:rPr>
  </w:style>
  <w:style w:type="character" w:customStyle="1" w:styleId="67">
    <w:name w:val="日期 字符"/>
    <w:semiHidden/>
    <w:qFormat/>
    <w:uiPriority w:val="0"/>
    <w:rPr>
      <w:rFonts w:ascii="Times New Roman" w:hAnsi="Times New Roman" w:eastAsia="宋体"/>
      <w:sz w:val="24"/>
    </w:rPr>
  </w:style>
  <w:style w:type="character" w:customStyle="1" w:styleId="68">
    <w:name w:val="批注框文本 字符"/>
    <w:link w:val="17"/>
    <w:semiHidden/>
    <w:qFormat/>
    <w:uiPriority w:val="0"/>
    <w:rPr>
      <w:rFonts w:ascii="Times New Roman" w:hAnsi="Times New Roman" w:eastAsia="宋体"/>
      <w:sz w:val="18"/>
    </w:rPr>
  </w:style>
  <w:style w:type="character" w:customStyle="1" w:styleId="69">
    <w:name w:val="批注主题 字符"/>
    <w:link w:val="28"/>
    <w:semiHidden/>
    <w:qFormat/>
    <w:uiPriority w:val="0"/>
    <w:rPr>
      <w:rFonts w:ascii="Times New Roman" w:hAnsi="Times New Roman" w:eastAsia="宋体"/>
      <w:b/>
      <w:kern w:val="2"/>
      <w:sz w:val="24"/>
    </w:rPr>
  </w:style>
  <w:style w:type="character" w:customStyle="1" w:styleId="70">
    <w:name w:val="页眉 字符"/>
    <w:link w:val="20"/>
    <w:qFormat/>
    <w:uiPriority w:val="0"/>
    <w:rPr>
      <w:sz w:val="18"/>
    </w:rPr>
  </w:style>
  <w:style w:type="character" w:customStyle="1" w:styleId="71">
    <w:name w:val="批注文字 字符1"/>
    <w:semiHidden/>
    <w:qFormat/>
    <w:uiPriority w:val="0"/>
    <w:rPr>
      <w:rFonts w:ascii="Times New Roman" w:hAnsi="Times New Roman" w:eastAsia="宋体"/>
      <w:sz w:val="24"/>
    </w:rPr>
  </w:style>
  <w:style w:type="character" w:customStyle="1" w:styleId="72">
    <w:name w:val="正文文本缩进 字符"/>
    <w:link w:val="12"/>
    <w:semiHidden/>
    <w:qFormat/>
    <w:uiPriority w:val="0"/>
    <w:rPr>
      <w:rFonts w:ascii="Times New Roman" w:hAnsi="Times New Roman" w:eastAsia="宋体"/>
      <w:sz w:val="24"/>
    </w:rPr>
  </w:style>
  <w:style w:type="paragraph" w:customStyle="1" w:styleId="7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75">
    <w:name w:val="批注文字 字符2"/>
    <w:qFormat/>
    <w:uiPriority w:val="0"/>
    <w:rPr>
      <w:kern w:val="2"/>
      <w:sz w:val="21"/>
      <w:szCs w:val="24"/>
    </w:rPr>
  </w:style>
  <w:style w:type="paragraph" w:customStyle="1" w:styleId="76">
    <w:name w:val="样式 方正仿宋_GBK 三号 行距: 固定值 28 磅"/>
    <w:basedOn w:val="1"/>
    <w:qFormat/>
    <w:uiPriority w:val="0"/>
    <w:pPr>
      <w:spacing w:line="360" w:lineRule="auto"/>
      <w:ind w:firstLine="200" w:firstLineChars="200"/>
      <w:jc w:val="left"/>
    </w:pPr>
    <w:rPr>
      <w:rFonts w:ascii="方正仿宋_GBK" w:hAnsi="方正仿宋_GBK" w:cs="宋体"/>
      <w:bCs/>
      <w:sz w:val="28"/>
      <w:szCs w:val="20"/>
    </w:rPr>
  </w:style>
  <w:style w:type="paragraph" w:customStyle="1" w:styleId="7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8">
    <w:name w:val="正文文本 2 字符"/>
    <w:link w:val="26"/>
    <w:qFormat/>
    <w:uiPriority w:val="0"/>
    <w:rPr>
      <w:kern w:val="2"/>
      <w:sz w:val="21"/>
      <w:szCs w:val="24"/>
    </w:rPr>
  </w:style>
  <w:style w:type="character" w:customStyle="1" w:styleId="79">
    <w:name w:val="aa正文 Char"/>
    <w:link w:val="80"/>
    <w:qFormat/>
    <w:uiPriority w:val="0"/>
    <w:rPr>
      <w:bCs/>
      <w:kern w:val="2"/>
      <w:sz w:val="24"/>
      <w:szCs w:val="24"/>
    </w:rPr>
  </w:style>
  <w:style w:type="paragraph" w:customStyle="1" w:styleId="80">
    <w:name w:val="aa正文"/>
    <w:basedOn w:val="1"/>
    <w:link w:val="79"/>
    <w:qFormat/>
    <w:uiPriority w:val="0"/>
    <w:pPr>
      <w:ind w:firstLine="200" w:firstLineChars="200"/>
    </w:pPr>
    <w:rPr>
      <w:bCs/>
      <w:sz w:val="24"/>
    </w:rPr>
  </w:style>
  <w:style w:type="paragraph" w:customStyle="1" w:styleId="81">
    <w:name w:val="表格名称"/>
    <w:basedOn w:val="64"/>
    <w:link w:val="82"/>
    <w:qFormat/>
    <w:uiPriority w:val="0"/>
    <w:pPr>
      <w:spacing w:beforeLines="50"/>
      <w:jc w:val="center"/>
    </w:pPr>
    <w:rPr>
      <w:bCs/>
      <w:szCs w:val="21"/>
      <w:lang w:val="zh-CN"/>
    </w:rPr>
  </w:style>
  <w:style w:type="character" w:customStyle="1" w:styleId="82">
    <w:name w:val="表格名称 Char"/>
    <w:link w:val="81"/>
    <w:qFormat/>
    <w:uiPriority w:val="0"/>
    <w:rPr>
      <w:b/>
      <w:bCs/>
      <w:kern w:val="2"/>
      <w:sz w:val="21"/>
      <w:szCs w:val="21"/>
      <w:lang w:val="zh-CN" w:eastAsia="zh-CN"/>
    </w:rPr>
  </w:style>
  <w:style w:type="paragraph" w:customStyle="1" w:styleId="83">
    <w:name w:val="样式1"/>
    <w:basedOn w:val="1"/>
    <w:qFormat/>
    <w:uiPriority w:val="0"/>
    <w:pPr>
      <w:spacing w:after="40" w:line="300" w:lineRule="atLeast"/>
      <w:jc w:val="center"/>
      <w:outlineLvl w:val="2"/>
    </w:pPr>
    <w:rPr>
      <w:rFonts w:eastAsia="楷体_GB2312"/>
      <w:bCs/>
      <w:sz w:val="24"/>
      <w:szCs w:val="20"/>
    </w:rPr>
  </w:style>
  <w:style w:type="paragraph" w:customStyle="1" w:styleId="84">
    <w:name w:val="D表内"/>
    <w:basedOn w:val="85"/>
    <w:link w:val="86"/>
    <w:qFormat/>
    <w:uiPriority w:val="0"/>
    <w:pPr>
      <w:spacing w:before="40" w:after="40" w:line="360" w:lineRule="auto"/>
      <w:ind w:firstLine="200" w:firstLineChars="200"/>
      <w:jc w:val="center"/>
    </w:pPr>
    <w:rPr>
      <w:sz w:val="24"/>
      <w:szCs w:val="21"/>
    </w:rPr>
  </w:style>
  <w:style w:type="paragraph" w:customStyle="1" w:styleId="85">
    <w:name w:val="图表"/>
    <w:basedOn w:val="1"/>
    <w:semiHidden/>
    <w:qFormat/>
    <w:uiPriority w:val="0"/>
    <w:pPr>
      <w:spacing w:before="120" w:beforeLines="0" w:after="120" w:afterLines="0"/>
      <w:jc w:val="center"/>
    </w:pPr>
    <w:rPr>
      <w:rFonts w:ascii="宋体" w:hAnsi="宋体"/>
      <w:szCs w:val="21"/>
    </w:rPr>
  </w:style>
  <w:style w:type="character" w:customStyle="1" w:styleId="86">
    <w:name w:val="D表内 Char"/>
    <w:link w:val="84"/>
    <w:qFormat/>
    <w:uiPriority w:val="0"/>
    <w:rPr>
      <w:kern w:val="2"/>
      <w:sz w:val="24"/>
      <w:szCs w:val="21"/>
    </w:rPr>
  </w:style>
  <w:style w:type="character" w:customStyle="1" w:styleId="87">
    <w:name w:val="!表格标题 Char"/>
    <w:link w:val="88"/>
    <w:qFormat/>
    <w:uiPriority w:val="0"/>
    <w:rPr>
      <w:b/>
      <w:kern w:val="2"/>
      <w:sz w:val="21"/>
      <w:szCs w:val="24"/>
      <w:lang w:val="zh-CN" w:eastAsia="zh-CN"/>
    </w:rPr>
  </w:style>
  <w:style w:type="paragraph" w:customStyle="1" w:styleId="88">
    <w:name w:val="!表格标题"/>
    <w:basedOn w:val="2"/>
    <w:next w:val="2"/>
    <w:link w:val="87"/>
    <w:qFormat/>
    <w:uiPriority w:val="0"/>
    <w:pPr>
      <w:widowControl w:val="0"/>
      <w:spacing w:before="0" w:after="0" w:line="240" w:lineRule="auto"/>
      <w:ind w:right="0"/>
      <w:jc w:val="center"/>
    </w:pPr>
    <w:rPr>
      <w:b/>
      <w:kern w:val="2"/>
      <w:sz w:val="21"/>
      <w:szCs w:val="24"/>
      <w:lang w:val="zh-CN"/>
    </w:rPr>
  </w:style>
  <w:style w:type="paragraph" w:customStyle="1" w:styleId="89">
    <w:name w:val="D正文"/>
    <w:basedOn w:val="90"/>
    <w:link w:val="91"/>
    <w:qFormat/>
    <w:uiPriority w:val="0"/>
    <w:pPr>
      <w:spacing w:line="360" w:lineRule="auto"/>
      <w:ind w:firstLine="480" w:firstLineChars="200"/>
    </w:pPr>
    <w:rPr>
      <w:sz w:val="24"/>
      <w:lang w:val="zh-CN"/>
    </w:rPr>
  </w:style>
  <w:style w:type="paragraph" w:customStyle="1" w:styleId="90">
    <w:name w:val="正文对的"/>
    <w:basedOn w:val="1"/>
    <w:semiHidden/>
    <w:qFormat/>
    <w:uiPriority w:val="0"/>
    <w:pPr>
      <w:spacing w:line="400" w:lineRule="exact"/>
      <w:ind w:firstLine="200" w:firstLineChars="200"/>
    </w:pPr>
    <w:rPr>
      <w:rFonts w:hAnsi="华康简宋"/>
      <w:sz w:val="24"/>
    </w:rPr>
  </w:style>
  <w:style w:type="character" w:customStyle="1" w:styleId="91">
    <w:name w:val="D正文 Char Char"/>
    <w:link w:val="89"/>
    <w:qFormat/>
    <w:uiPriority w:val="0"/>
    <w:rPr>
      <w:kern w:val="2"/>
      <w:sz w:val="24"/>
      <w:szCs w:val="24"/>
      <w:lang w:val="zh-CN" w:eastAsia="zh-CN"/>
    </w:rPr>
  </w:style>
  <w:style w:type="paragraph" w:customStyle="1" w:styleId="92">
    <w:name w:val="Table Paragraph"/>
    <w:basedOn w:val="1"/>
    <w:qFormat/>
    <w:uiPriority w:val="1"/>
    <w:pPr>
      <w:widowControl/>
      <w:jc w:val="left"/>
    </w:pPr>
    <w:rPr>
      <w:rFonts w:ascii="Calibri" w:hAnsi="Calibri" w:cs="宋体"/>
      <w:kern w:val="0"/>
      <w:sz w:val="22"/>
      <w:szCs w:val="22"/>
    </w:rPr>
  </w:style>
  <w:style w:type="character" w:customStyle="1" w:styleId="93">
    <w:name w:val="标题 5 字符"/>
    <w:link w:val="8"/>
    <w:semiHidden/>
    <w:qFormat/>
    <w:uiPriority w:val="0"/>
    <w:rPr>
      <w:b/>
      <w:bCs/>
      <w:kern w:val="2"/>
      <w:sz w:val="28"/>
      <w:szCs w:val="28"/>
    </w:rPr>
  </w:style>
  <w:style w:type="character" w:customStyle="1" w:styleId="94">
    <w:name w:val="标题 5 字符1"/>
    <w:qFormat/>
    <w:uiPriority w:val="0"/>
    <w:rPr>
      <w:rFonts w:ascii="黑体" w:hAnsi="黑体" w:eastAsia="黑体"/>
      <w:bCs/>
      <w:kern w:val="2"/>
      <w:sz w:val="24"/>
      <w:szCs w:val="32"/>
      <w:lang w:val="zh-CN" w:eastAsia="zh-CN"/>
    </w:rPr>
  </w:style>
  <w:style w:type="character" w:customStyle="1" w:styleId="95">
    <w:name w:val="表格 32 Char"/>
    <w:link w:val="96"/>
    <w:qFormat/>
    <w:uiPriority w:val="0"/>
    <w:rPr>
      <w:rFonts w:ascii="宋体" w:hAnsi="Impact"/>
      <w:kern w:val="24"/>
      <w:sz w:val="24"/>
      <w:lang w:val="en-US" w:eastAsia="zh-CN"/>
    </w:rPr>
  </w:style>
  <w:style w:type="paragraph" w:customStyle="1" w:styleId="96">
    <w:name w:val="表格 32"/>
    <w:basedOn w:val="1"/>
    <w:link w:val="95"/>
    <w:qFormat/>
    <w:uiPriority w:val="0"/>
    <w:pPr>
      <w:autoSpaceDE w:val="0"/>
      <w:autoSpaceDN w:val="0"/>
      <w:adjustRightInd w:val="0"/>
      <w:jc w:val="center"/>
      <w:textAlignment w:val="baseline"/>
    </w:pPr>
    <w:rPr>
      <w:rFonts w:ascii="宋体" w:hAnsi="Impact"/>
      <w:kern w:val="24"/>
      <w:sz w:val="24"/>
      <w:szCs w:val="20"/>
    </w:rPr>
  </w:style>
  <w:style w:type="character" w:customStyle="1" w:styleId="97">
    <w:name w:val="正文2 Char"/>
    <w:link w:val="98"/>
    <w:qFormat/>
    <w:uiPriority w:val="0"/>
    <w:rPr>
      <w:kern w:val="2"/>
      <w:sz w:val="24"/>
    </w:rPr>
  </w:style>
  <w:style w:type="paragraph" w:customStyle="1" w:styleId="98">
    <w:name w:val="正文2"/>
    <w:basedOn w:val="1"/>
    <w:link w:val="97"/>
    <w:qFormat/>
    <w:uiPriority w:val="0"/>
    <w:pPr>
      <w:adjustRightInd w:val="0"/>
      <w:snapToGrid w:val="0"/>
      <w:spacing w:line="440" w:lineRule="atLeast"/>
      <w:ind w:firstLine="567"/>
    </w:pPr>
    <w:rPr>
      <w:sz w:val="24"/>
      <w:szCs w:val="20"/>
    </w:rPr>
  </w:style>
  <w:style w:type="paragraph" w:customStyle="1" w:styleId="99">
    <w:name w:val="样式 居中 底端: (单实线 自动设置  0.75 磅 行宽)"/>
    <w:basedOn w:val="1"/>
    <w:qFormat/>
    <w:uiPriority w:val="0"/>
    <w:pPr>
      <w:jc w:val="center"/>
    </w:pPr>
    <w:rPr>
      <w:rFonts w:cs="宋体"/>
      <w:bCs/>
      <w:sz w:val="24"/>
      <w:szCs w:val="20"/>
    </w:rPr>
  </w:style>
  <w:style w:type="character" w:customStyle="1" w:styleId="100">
    <w:name w:val="表格文字 Char Char"/>
    <w:link w:val="101"/>
    <w:qFormat/>
    <w:uiPriority w:val="0"/>
    <w:rPr>
      <w:bCs/>
      <w:position w:val="-10"/>
      <w:sz w:val="24"/>
    </w:rPr>
  </w:style>
  <w:style w:type="paragraph" w:customStyle="1" w:styleId="101">
    <w:name w:val="表格文字"/>
    <w:basedOn w:val="14"/>
    <w:link w:val="100"/>
    <w:qFormat/>
    <w:uiPriority w:val="0"/>
    <w:pPr>
      <w:tabs>
        <w:tab w:val="left" w:pos="-2848"/>
      </w:tabs>
      <w:jc w:val="center"/>
    </w:pPr>
    <w:rPr>
      <w:bCs/>
      <w:kern w:val="0"/>
      <w:position w:val="-10"/>
      <w:sz w:val="24"/>
      <w:szCs w:val="20"/>
    </w:rPr>
  </w:style>
  <w:style w:type="paragraph" w:customStyle="1" w:styleId="102">
    <w:name w:val="魏秀珍   正文"/>
    <w:basedOn w:val="10"/>
    <w:qFormat/>
    <w:uiPriority w:val="0"/>
    <w:pPr>
      <w:adjustRightInd w:val="0"/>
      <w:snapToGrid w:val="0"/>
      <w:spacing w:line="480" w:lineRule="exact"/>
      <w:ind w:firstLine="480"/>
    </w:pPr>
    <w:rPr>
      <w:rFonts w:ascii="time" w:hAnsi="time"/>
      <w:sz w:val="24"/>
    </w:rPr>
  </w:style>
  <w:style w:type="paragraph" w:customStyle="1" w:styleId="103">
    <w:name w:val="图片名称"/>
    <w:basedOn w:val="1"/>
    <w:link w:val="104"/>
    <w:qFormat/>
    <w:uiPriority w:val="0"/>
    <w:pPr>
      <w:widowControl/>
      <w:spacing w:afterLines="50"/>
      <w:jc w:val="center"/>
    </w:pPr>
    <w:rPr>
      <w:b/>
    </w:rPr>
  </w:style>
  <w:style w:type="character" w:customStyle="1" w:styleId="104">
    <w:name w:val="图片名称 Char"/>
    <w:link w:val="103"/>
    <w:qFormat/>
    <w:uiPriority w:val="0"/>
    <w:rPr>
      <w:b/>
      <w:kern w:val="2"/>
      <w:sz w:val="21"/>
      <w:szCs w:val="24"/>
    </w:rPr>
  </w:style>
  <w:style w:type="character" w:customStyle="1" w:styleId="105">
    <w:name w:val="标题 3 字符"/>
    <w:qFormat/>
    <w:uiPriority w:val="0"/>
    <w:rPr>
      <w:rFonts w:cs="宋体"/>
      <w:b/>
      <w:bCs/>
      <w:kern w:val="2"/>
      <w:sz w:val="32"/>
      <w:szCs w:val="32"/>
    </w:rPr>
  </w:style>
  <w:style w:type="character" w:customStyle="1" w:styleId="106">
    <w:name w:val="表格小四 Char"/>
    <w:link w:val="107"/>
    <w:qFormat/>
    <w:uiPriority w:val="0"/>
    <w:rPr>
      <w:rFonts w:cs="宋体"/>
      <w:sz w:val="24"/>
      <w:szCs w:val="24"/>
    </w:rPr>
  </w:style>
  <w:style w:type="paragraph" w:customStyle="1" w:styleId="107">
    <w:name w:val="表格小四"/>
    <w:basedOn w:val="1"/>
    <w:link w:val="106"/>
    <w:qFormat/>
    <w:uiPriority w:val="0"/>
    <w:pPr>
      <w:widowControl/>
      <w:spacing w:beforeLines="30" w:afterLines="20"/>
      <w:jc w:val="center"/>
    </w:pPr>
    <w:rPr>
      <w:rFonts w:cs="宋体"/>
      <w:kern w:val="0"/>
      <w:sz w:val="24"/>
    </w:rPr>
  </w:style>
  <w:style w:type="paragraph" w:customStyle="1" w:styleId="108">
    <w:name w:val="样式 表格 32 + 首行缩进:  2 字符"/>
    <w:basedOn w:val="96"/>
    <w:qFormat/>
    <w:uiPriority w:val="0"/>
    <w:pPr>
      <w:spacing w:line="0" w:lineRule="atLeast"/>
    </w:pPr>
    <w:rPr>
      <w:rFonts w:ascii="Times New Roman" w:hAnsi="Times New Roman" w:cs="宋体"/>
      <w:kern w:val="0"/>
      <w:sz w:val="21"/>
      <w:szCs w:val="21"/>
    </w:rPr>
  </w:style>
  <w:style w:type="paragraph" w:customStyle="1" w:styleId="109">
    <w:name w:val="表格内容"/>
    <w:basedOn w:val="1"/>
    <w:next w:val="1"/>
    <w:qFormat/>
    <w:uiPriority w:val="0"/>
    <w:pPr>
      <w:jc w:val="center"/>
    </w:pPr>
    <w:rPr>
      <w:rFonts w:ascii="Times New Roman" w:hAnsi="Times New Roman"/>
      <w:bCs/>
      <w:snapToGrid w:val="0"/>
      <w:color w:val="000000"/>
      <w:kern w:val="0"/>
      <w:szCs w:val="24"/>
    </w:rPr>
  </w:style>
  <w:style w:type="paragraph" w:styleId="110">
    <w:name w:val="No Spacing"/>
    <w:qFormat/>
    <w:uiPriority w:val="1"/>
    <w:rPr>
      <w:rFonts w:ascii="Calibri" w:hAnsi="Calibri" w:eastAsia="宋体" w:cs="Times New Roman"/>
      <w:sz w:val="22"/>
      <w:szCs w:val="22"/>
      <w:lang w:val="en-US" w:eastAsia="zh-CN" w:bidi="ar-SA"/>
    </w:rPr>
  </w:style>
  <w:style w:type="paragraph" w:customStyle="1" w:styleId="111">
    <w:name w:val="BG"/>
    <w:basedOn w:val="1"/>
    <w:unhideWhenUsed/>
    <w:qFormat/>
    <w:uiPriority w:val="99"/>
    <w:pPr>
      <w:snapToGrid w:val="0"/>
      <w:spacing w:line="240" w:lineRule="auto"/>
      <w:jc w:val="center"/>
    </w:pPr>
    <w:rPr>
      <w:rFonts w:ascii="Times New Roman" w:hAnsi="Times New Roman" w:eastAsia="宋体"/>
    </w:rPr>
  </w:style>
  <w:style w:type="paragraph" w:customStyle="1" w:styleId="112">
    <w:name w:val="表格正文"/>
    <w:basedOn w:val="1"/>
    <w:next w:val="1"/>
    <w:qFormat/>
    <w:uiPriority w:val="0"/>
    <w:pPr>
      <w:spacing w:line="360" w:lineRule="exact"/>
      <w:jc w:val="center"/>
    </w:pPr>
    <w:rPr>
      <w:rFonts w:ascii="Times New Roman" w:hAnsi="Times New Roman"/>
      <w:kern w:val="0"/>
      <w:szCs w:val="24"/>
    </w:rPr>
  </w:style>
  <w:style w:type="paragraph" w:customStyle="1" w:styleId="113">
    <w:name w:val="表格字体"/>
    <w:basedOn w:val="1"/>
    <w:next w:val="1"/>
    <w:qFormat/>
    <w:uiPriority w:val="0"/>
    <w:pPr>
      <w:adjustRightInd w:val="0"/>
      <w:snapToGrid w:val="0"/>
      <w:spacing w:beforeLines="20" w:afterLines="20"/>
      <w:ind w:right="2" w:rightChars="1"/>
      <w:jc w:val="center"/>
    </w:pPr>
    <w:rPr>
      <w:snapToGrid w:val="0"/>
      <w:kern w:val="0"/>
      <w:szCs w:val="21"/>
    </w:rPr>
  </w:style>
  <w:style w:type="paragraph" w:customStyle="1" w:styleId="114">
    <w:name w:val="p0"/>
    <w:basedOn w:val="1"/>
    <w:qFormat/>
    <w:uiPriority w:val="99"/>
    <w:pPr>
      <w:widowControl/>
    </w:pPr>
    <w:rPr>
      <w:kern w:val="0"/>
      <w:szCs w:val="21"/>
    </w:rPr>
  </w:style>
  <w:style w:type="paragraph" w:customStyle="1" w:styleId="115">
    <w:name w:val="表格字体1"/>
    <w:basedOn w:val="1"/>
    <w:qFormat/>
    <w:uiPriority w:val="0"/>
    <w:pPr>
      <w:adjustRightInd w:val="0"/>
      <w:snapToGrid w:val="0"/>
      <w:spacing w:beforeLines="20" w:afterLines="20"/>
      <w:jc w:val="center"/>
    </w:pPr>
    <w:rPr>
      <w:rFonts w:ascii="Times New Roman" w:hAnsi="Times New Roman" w:cs="Times New Roman"/>
      <w:kern w:val="0"/>
      <w:sz w:val="21"/>
      <w:szCs w:val="21"/>
    </w:rPr>
  </w:style>
  <w:style w:type="character" w:customStyle="1" w:styleId="116">
    <w:name w:val="font11"/>
    <w:basedOn w:val="33"/>
    <w:qFormat/>
    <w:uiPriority w:val="0"/>
    <w:rPr>
      <w:rFonts w:hint="default" w:ascii="Times New Roman" w:hAnsi="Times New Roman" w:cs="Times New Roman"/>
      <w:color w:val="000000"/>
      <w:sz w:val="21"/>
      <w:szCs w:val="21"/>
      <w:u w:val="none"/>
    </w:rPr>
  </w:style>
  <w:style w:type="paragraph" w:customStyle="1" w:styleId="117">
    <w:name w:val="05F凡式正文"/>
    <w:basedOn w:val="1"/>
    <w:qFormat/>
    <w:uiPriority w:val="0"/>
    <w:pPr>
      <w:spacing w:line="360" w:lineRule="auto"/>
      <w:ind w:firstLine="720" w:firstLineChars="200"/>
    </w:pPr>
    <w:rPr>
      <w:rFonts w:ascii="Times New Roman" w:hAnsi="Times New Roman" w:eastAsia="宋体"/>
      <w:sz w:val="24"/>
    </w:rPr>
  </w:style>
  <w:style w:type="paragraph" w:customStyle="1" w:styleId="118">
    <w:name w:val="A表内"/>
    <w:basedOn w:val="1"/>
    <w:qFormat/>
    <w:uiPriority w:val="0"/>
    <w:pPr>
      <w:spacing w:line="0" w:lineRule="atLeast"/>
      <w:jc w:val="center"/>
    </w:pPr>
    <w:rPr>
      <w:rFonts w:ascii="Times New Roman" w:hAnsi="Times New Roman" w:eastAsia="宋体" w:cs="宋体"/>
      <w:szCs w:val="20"/>
    </w:rPr>
  </w:style>
  <w:style w:type="paragraph" w:customStyle="1" w:styleId="119">
    <w:name w:val="正文（行首缩进2字）"/>
    <w:basedOn w:val="1"/>
    <w:qFormat/>
    <w:uiPriority w:val="0"/>
    <w:pPr>
      <w:widowControl/>
      <w:spacing w:line="360" w:lineRule="auto"/>
      <w:ind w:firstLine="200" w:firstLineChars="200"/>
    </w:pPr>
    <w:rPr>
      <w:rFonts w:ascii="Times New Roman" w:hAnsi="Times New Roman" w:eastAsia="宋体" w:cs="Times New Roman"/>
      <w:kern w:val="0"/>
      <w:sz w:val="28"/>
      <w:lang w:val="zh-CN" w:eastAsia="zh-CN"/>
    </w:rPr>
  </w:style>
  <w:style w:type="paragraph" w:customStyle="1" w:styleId="120">
    <w:name w:val="表格1"/>
    <w:basedOn w:val="1"/>
    <w:next w:val="1"/>
    <w:qFormat/>
    <w:uiPriority w:val="0"/>
    <w:pPr>
      <w:adjustRightInd w:val="0"/>
      <w:snapToGrid w:val="0"/>
      <w:jc w:val="center"/>
    </w:pPr>
    <w:rPr>
      <w:rFonts w:ascii="宋体" w:hAnsi="宋体" w:eastAsia="Times New Roman"/>
      <w:snapToGrid w:val="0"/>
      <w:spacing w:val="6"/>
      <w:kern w:val="10"/>
      <w:szCs w:val="20"/>
    </w:rPr>
  </w:style>
  <w:style w:type="paragraph" w:customStyle="1" w:styleId="121">
    <w:name w:val="z表格"/>
    <w:basedOn w:val="1"/>
    <w:qFormat/>
    <w:uiPriority w:val="0"/>
    <w:pPr>
      <w:widowControl/>
      <w:spacing w:line="360" w:lineRule="exact"/>
      <w:jc w:val="center"/>
    </w:pPr>
    <w:rPr>
      <w:szCs w:val="21"/>
    </w:rPr>
  </w:style>
  <w:style w:type="paragraph" w:customStyle="1" w:styleId="122">
    <w:name w:val="A表头"/>
    <w:basedOn w:val="1"/>
    <w:next w:val="123"/>
    <w:qFormat/>
    <w:uiPriority w:val="0"/>
    <w:pPr>
      <w:numPr>
        <w:ilvl w:val="5"/>
        <w:numId w:val="2"/>
      </w:numPr>
      <w:spacing w:before="50" w:beforeLines="50" w:line="240" w:lineRule="atLeast"/>
      <w:jc w:val="center"/>
      <w:outlineLvl w:val="5"/>
    </w:pPr>
    <w:rPr>
      <w:rFonts w:eastAsia="黑体" w:cs="宋体"/>
      <w:sz w:val="22"/>
      <w:szCs w:val="20"/>
    </w:rPr>
  </w:style>
  <w:style w:type="paragraph" w:customStyle="1" w:styleId="123">
    <w:name w:val="A表中"/>
    <w:basedOn w:val="1"/>
    <w:qFormat/>
    <w:uiPriority w:val="0"/>
    <w:pPr>
      <w:spacing w:line="0" w:lineRule="atLeast"/>
      <w:jc w:val="center"/>
    </w:pPr>
    <w:rPr>
      <w:rFonts w:cs="宋体"/>
      <w:szCs w:val="20"/>
    </w:rPr>
  </w:style>
  <w:style w:type="paragraph" w:customStyle="1" w:styleId="124">
    <w:name w:val="正文123"/>
    <w:basedOn w:val="1"/>
    <w:next w:val="14"/>
    <w:qFormat/>
    <w:uiPriority w:val="0"/>
    <w:pPr>
      <w:snapToGrid/>
      <w:spacing w:line="360" w:lineRule="auto"/>
      <w:ind w:firstLine="480" w:firstLineChars="200"/>
    </w:pPr>
    <w:rPr>
      <w:rFonts w:ascii="Times New Roman" w:hAnsi="Times New Roman" w:eastAsia="宋体"/>
      <w:sz w:val="24"/>
    </w:rPr>
  </w:style>
  <w:style w:type="paragraph" w:customStyle="1" w:styleId="125">
    <w:name w:val="A0正文"/>
    <w:basedOn w:val="1"/>
    <w:semiHidden/>
    <w:qFormat/>
    <w:uiPriority w:val="0"/>
    <w:pPr>
      <w:spacing w:line="500" w:lineRule="exact"/>
      <w:ind w:firstLine="480" w:firstLineChars="200"/>
    </w:pPr>
    <w:rPr>
      <w:rFonts w:cs="华康简宋"/>
      <w:sz w:val="24"/>
      <w:szCs w:val="20"/>
    </w:rPr>
  </w:style>
  <w:style w:type="paragraph" w:customStyle="1" w:styleId="126">
    <w:name w:val="D表内1磅"/>
    <w:basedOn w:val="127"/>
    <w:qFormat/>
    <w:uiPriority w:val="0"/>
    <w:pPr>
      <w:spacing w:before="20" w:beforeLines="0" w:after="20" w:afterLines="0"/>
    </w:pPr>
  </w:style>
  <w:style w:type="paragraph" w:customStyle="1" w:styleId="127">
    <w:name w:val="D表内0磅"/>
    <w:basedOn w:val="84"/>
    <w:qFormat/>
    <w:uiPriority w:val="0"/>
    <w:pPr>
      <w:spacing w:before="0" w:beforeLines="0" w:after="0" w:afterLines="0"/>
    </w:pPr>
  </w:style>
  <w:style w:type="paragraph" w:customStyle="1" w:styleId="128">
    <w:name w:val="报告正文"/>
    <w:basedOn w:val="1"/>
    <w:qFormat/>
    <w:uiPriority w:val="0"/>
    <w:pPr>
      <w:adjustRightInd w:val="0"/>
      <w:spacing w:line="360" w:lineRule="auto"/>
      <w:ind w:firstLine="480" w:firstLineChars="200"/>
    </w:pPr>
    <w:rPr>
      <w:rFonts w:eastAsia="仿宋_GB2312"/>
      <w:sz w:val="24"/>
      <w:lang w:val="en-GB"/>
    </w:rPr>
  </w:style>
  <w:style w:type="paragraph" w:customStyle="1" w:styleId="129">
    <w:name w:val="A标准格式"/>
    <w:basedOn w:val="1"/>
    <w:qFormat/>
    <w:uiPriority w:val="0"/>
    <w:pPr>
      <w:spacing w:line="440" w:lineRule="exact"/>
      <w:ind w:firstLine="480" w:firstLineChars="200"/>
    </w:pPr>
    <w:rPr>
      <w:sz w:val="24"/>
    </w:rPr>
  </w:style>
  <w:style w:type="paragraph" w:customStyle="1" w:styleId="130">
    <w:name w:val="样式9"/>
    <w:basedOn w:val="1"/>
    <w:qFormat/>
    <w:uiPriority w:val="0"/>
    <w:pPr>
      <w:adjustRightInd w:val="0"/>
      <w:snapToGrid w:val="0"/>
      <w:spacing w:line="460" w:lineRule="exact"/>
      <w:ind w:firstLine="520" w:firstLineChars="200"/>
    </w:pPr>
    <w:rPr>
      <w:sz w:val="26"/>
      <w:szCs w:val="26"/>
    </w:rPr>
  </w:style>
  <w:style w:type="paragraph" w:customStyle="1" w:styleId="131">
    <w:name w:val="表格备注"/>
    <w:basedOn w:val="64"/>
    <w:qFormat/>
    <w:uiPriority w:val="0"/>
    <w:pPr>
      <w:tabs>
        <w:tab w:val="left" w:pos="1519"/>
        <w:tab w:val="clear" w:pos="0"/>
      </w:tabs>
      <w:snapToGrid w:val="0"/>
      <w:jc w:val="left"/>
    </w:pPr>
    <w:rPr>
      <w:kern w:val="2"/>
      <w:szCs w:val="21"/>
      <w:lang w:val="zh-CN"/>
    </w:rPr>
  </w:style>
  <w:style w:type="character" w:customStyle="1" w:styleId="132">
    <w:name w:val="NormalCharacter"/>
    <w:semiHidden/>
    <w:qFormat/>
    <w:uiPriority w:val="0"/>
  </w:style>
  <w:style w:type="paragraph" w:customStyle="1" w:styleId="133">
    <w:name w:val="正文3"/>
    <w:basedOn w:val="26"/>
    <w:qFormat/>
    <w:uiPriority w:val="0"/>
    <w:pPr>
      <w:adjustRightInd w:val="0"/>
      <w:snapToGrid w:val="0"/>
      <w:spacing w:after="0" w:line="360" w:lineRule="auto"/>
      <w:ind w:firstLine="200" w:firstLineChars="200"/>
    </w:pPr>
    <w:rPr>
      <w:sz w:val="24"/>
    </w:rPr>
  </w:style>
  <w:style w:type="paragraph" w:customStyle="1" w:styleId="134">
    <w:name w:val="222222222222222222222222222"/>
    <w:basedOn w:val="1"/>
    <w:qFormat/>
    <w:uiPriority w:val="0"/>
    <w:pPr>
      <w:jc w:val="center"/>
    </w:pPr>
    <w:rPr>
      <w:szCs w:val="21"/>
    </w:rPr>
  </w:style>
  <w:style w:type="paragraph" w:customStyle="1" w:styleId="135">
    <w:name w:val="小四表格"/>
    <w:basedOn w:val="1"/>
    <w:qFormat/>
    <w:uiPriority w:val="0"/>
    <w:pPr>
      <w:keepNext/>
      <w:autoSpaceDE w:val="0"/>
      <w:autoSpaceDN w:val="0"/>
      <w:adjustRightInd w:val="0"/>
      <w:spacing w:line="480" w:lineRule="atLeast"/>
      <w:jc w:val="center"/>
    </w:pPr>
    <w:rPr>
      <w:color w:val="000000"/>
      <w:sz w:val="24"/>
      <w:szCs w:val="20"/>
    </w:rPr>
  </w:style>
  <w:style w:type="paragraph" w:customStyle="1" w:styleId="136">
    <w:name w:val="表格标题"/>
    <w:basedOn w:val="1"/>
    <w:link w:val="137"/>
    <w:autoRedefine/>
    <w:qFormat/>
    <w:uiPriority w:val="0"/>
    <w:pPr>
      <w:jc w:val="center"/>
    </w:pPr>
    <w:rPr>
      <w:b/>
    </w:rPr>
  </w:style>
  <w:style w:type="character" w:customStyle="1" w:styleId="137">
    <w:name w:val="表格标题 Char"/>
    <w:basedOn w:val="33"/>
    <w:link w:val="136"/>
    <w:autoRedefine/>
    <w:qFormat/>
    <w:uiPriority w:val="0"/>
    <w:rPr>
      <w:b/>
    </w:rPr>
  </w:style>
  <w:style w:type="paragraph" w:customStyle="1" w:styleId="138">
    <w:name w:val="样式 正文11 + 首行缩进:  2 字符"/>
    <w:basedOn w:val="1"/>
    <w:autoRedefine/>
    <w:unhideWhenUsed/>
    <w:qFormat/>
    <w:uiPriority w:val="0"/>
    <w:pPr>
      <w:spacing w:line="500" w:lineRule="exact"/>
      <w:ind w:firstLine="560" w:firstLineChars="200"/>
    </w:pPr>
    <w:rPr>
      <w:rFonts w:hint="eastAsia" w:ascii="宋体" w:hAnsi="宋体"/>
      <w:color w:val="FF0000"/>
      <w:sz w:val="28"/>
    </w:rPr>
  </w:style>
  <w:style w:type="paragraph" w:customStyle="1" w:styleId="139">
    <w:name w:val="4S"/>
    <w:basedOn w:val="1"/>
    <w:autoRedefine/>
    <w:qFormat/>
    <w:uiPriority w:val="0"/>
    <w:pPr>
      <w:ind w:firstLine="480"/>
    </w:pPr>
    <w:rPr>
      <w:rFonts w:ascii="楷体" w:hAnsi="楷体" w:eastAsia="楷体"/>
      <w:szCs w:val="20"/>
    </w:rPr>
  </w:style>
  <w:style w:type="paragraph" w:customStyle="1" w:styleId="140">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10.wmf"/><Relationship Id="rId26" Type="http://schemas.openxmlformats.org/officeDocument/2006/relationships/oleObject" Target="embeddings/oleObject6.bin"/><Relationship Id="rId25" Type="http://schemas.openxmlformats.org/officeDocument/2006/relationships/image" Target="media/image9.png"/><Relationship Id="rId24" Type="http://schemas.openxmlformats.org/officeDocument/2006/relationships/oleObject" Target="embeddings/oleObject5.bin"/><Relationship Id="rId23" Type="http://schemas.openxmlformats.org/officeDocument/2006/relationships/image" Target="media/image8.emf"/><Relationship Id="rId22" Type="http://schemas.openxmlformats.org/officeDocument/2006/relationships/oleObject" Target="embeddings/oleObject4.bin"/><Relationship Id="rId21" Type="http://schemas.openxmlformats.org/officeDocument/2006/relationships/image" Target="media/image7.png"/><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emf"/><Relationship Id="rId15" Type="http://schemas.openxmlformats.org/officeDocument/2006/relationships/oleObject" Target="embeddings/oleObject2.bin"/><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6F6D1-66CA-4550-A618-A2B4B75695F0}">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83</Pages>
  <Words>15882</Words>
  <Characters>16739</Characters>
  <Lines>325</Lines>
  <Paragraphs>91</Paragraphs>
  <TotalTime>13</TotalTime>
  <ScaleCrop>false</ScaleCrop>
  <LinksUpToDate>false</LinksUpToDate>
  <CharactersWithSpaces>16911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2021-06-24T08:10:00Z</dcterms:created>
  <dc:creator>lhj</dc:creator>
  <cp:lastModifiedBy>球球</cp:lastModifiedBy>
  <cp:lastPrinted>2025-03-26T02:45:00Z</cp:lastPrinted>
  <dcterms:modified xsi:type="dcterms:W3CDTF">2025-04-11T06:43:56Z</dcterms:modified>
  <dc:title>附件2</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715952B3BE8344CCB5E7986C6F35D42A_13</vt:lpwstr>
  </property>
  <property fmtid="{D5CDD505-2E9C-101B-9397-08002B2CF9AE}" pid="4" name="KSOTemplateDocerSaveRecord">
    <vt:lpwstr>eyJoZGlkIjoiYWZhMzA0MTE2MGQ3ODcwOTgyMWY3NzY0ZDhkYzQxODciLCJ1c2VySWQiOiIzODk2NzQyOTcifQ==</vt:lpwstr>
  </property>
</Properties>
</file>