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6765ECD">
      <w:pPr>
        <w:pStyle w:val="22"/>
        <w:spacing w:before="0" w:beforeAutospacing="0" w:after="0" w:afterAutospacing="0"/>
        <w:contextualSpacing/>
        <w:jc w:val="center"/>
        <w:outlineLvl w:val="0"/>
        <w:rPr>
          <w:rFonts w:hint="default" w:ascii="Times New Roman" w:hAnsi="Times New Roman" w:eastAsia="宋体" w:cs="Times New Roman"/>
          <w:b/>
          <w:bCs/>
          <w:snapToGrid w:val="0"/>
          <w:color w:val="auto"/>
          <w:sz w:val="30"/>
          <w:szCs w:val="30"/>
        </w:rPr>
      </w:pPr>
      <w:bookmarkStart w:id="0" w:name="_Toc20238"/>
      <w:r>
        <w:rPr>
          <w:rFonts w:hint="default" w:ascii="Times New Roman" w:hAnsi="Times New Roman" w:eastAsia="宋体" w:cs="Times New Roman"/>
          <w:b/>
          <w:bCs/>
          <w:snapToGrid w:val="0"/>
          <w:color w:val="auto"/>
          <w:sz w:val="30"/>
          <w:szCs w:val="30"/>
        </w:rPr>
        <w:drawing>
          <wp:inline distT="0" distB="0" distL="114300" distR="114300">
            <wp:extent cx="5753735" cy="8133715"/>
            <wp:effectExtent l="0" t="0" r="18415" b="635"/>
            <wp:docPr id="18" name="图片 18" descr="盖章封面+资质+社保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盖章封面+资质+社保_00"/>
                    <pic:cNvPicPr>
                      <a:picLocks noChangeAspect="1"/>
                    </pic:cNvPicPr>
                  </pic:nvPicPr>
                  <pic:blipFill>
                    <a:blip r:embed="rId12"/>
                    <a:stretch>
                      <a:fillRect/>
                    </a:stretch>
                  </pic:blipFill>
                  <pic:spPr>
                    <a:xfrm>
                      <a:off x="0" y="0"/>
                      <a:ext cx="5753735" cy="8133715"/>
                    </a:xfrm>
                    <a:prstGeom prst="rect">
                      <a:avLst/>
                    </a:prstGeom>
                  </pic:spPr>
                </pic:pic>
              </a:graphicData>
            </a:graphic>
          </wp:inline>
        </w:drawing>
      </w:r>
      <w:r>
        <w:rPr>
          <w:rFonts w:hint="default" w:ascii="Times New Roman" w:hAnsi="Times New Roman" w:eastAsia="宋体" w:cs="Times New Roman"/>
          <w:b/>
          <w:bCs/>
          <w:snapToGrid w:val="0"/>
          <w:color w:val="auto"/>
          <w:sz w:val="30"/>
          <w:szCs w:val="30"/>
        </w:rPr>
        <w:drawing>
          <wp:inline distT="0" distB="0" distL="114300" distR="114300">
            <wp:extent cx="5753735" cy="8133715"/>
            <wp:effectExtent l="0" t="0" r="18415" b="635"/>
            <wp:docPr id="17" name="图片 17" descr="盖章封面+资质+社保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盖章封面+资质+社保_01"/>
                    <pic:cNvPicPr>
                      <a:picLocks noChangeAspect="1"/>
                    </pic:cNvPicPr>
                  </pic:nvPicPr>
                  <pic:blipFill>
                    <a:blip r:embed="rId13"/>
                    <a:stretch>
                      <a:fillRect/>
                    </a:stretch>
                  </pic:blipFill>
                  <pic:spPr>
                    <a:xfrm>
                      <a:off x="0" y="0"/>
                      <a:ext cx="5753735" cy="8133715"/>
                    </a:xfrm>
                    <a:prstGeom prst="rect">
                      <a:avLst/>
                    </a:prstGeom>
                  </pic:spPr>
                </pic:pic>
              </a:graphicData>
            </a:graphic>
          </wp:inline>
        </w:drawing>
      </w:r>
    </w:p>
    <w:p w14:paraId="175BB0EF">
      <w:pPr>
        <w:pStyle w:val="22"/>
        <w:spacing w:before="0" w:beforeAutospacing="0" w:after="0" w:afterAutospacing="0"/>
        <w:contextualSpacing/>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drawing>
          <wp:inline distT="0" distB="0" distL="114300" distR="114300">
            <wp:extent cx="5753735" cy="8133715"/>
            <wp:effectExtent l="0" t="0" r="18415" b="635"/>
            <wp:docPr id="15" name="图片 15" descr="盖章封面+资质+社保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盖章封面+资质+社保_02"/>
                    <pic:cNvPicPr>
                      <a:picLocks noChangeAspect="1"/>
                    </pic:cNvPicPr>
                  </pic:nvPicPr>
                  <pic:blipFill>
                    <a:blip r:embed="rId14"/>
                    <a:stretch>
                      <a:fillRect/>
                    </a:stretch>
                  </pic:blipFill>
                  <pic:spPr>
                    <a:xfrm>
                      <a:off x="0" y="0"/>
                      <a:ext cx="5753735" cy="8133715"/>
                    </a:xfrm>
                    <a:prstGeom prst="rect">
                      <a:avLst/>
                    </a:prstGeom>
                  </pic:spPr>
                </pic:pic>
              </a:graphicData>
            </a:graphic>
          </wp:inline>
        </w:drawing>
      </w:r>
    </w:p>
    <w:p w14:paraId="0B749314">
      <w:pPr>
        <w:pStyle w:val="22"/>
        <w:spacing w:before="0" w:beforeAutospacing="0" w:after="0" w:afterAutospacing="0"/>
        <w:contextualSpacing/>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drawing>
          <wp:inline distT="0" distB="0" distL="114300" distR="114300">
            <wp:extent cx="5753735" cy="8133715"/>
            <wp:effectExtent l="0" t="0" r="18415" b="635"/>
            <wp:docPr id="6" name="图片 6" descr="盖章封面+资质+社保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盖章封面+资质+社保_03"/>
                    <pic:cNvPicPr>
                      <a:picLocks noChangeAspect="1"/>
                    </pic:cNvPicPr>
                  </pic:nvPicPr>
                  <pic:blipFill>
                    <a:blip r:embed="rId15"/>
                    <a:stretch>
                      <a:fillRect/>
                    </a:stretch>
                  </pic:blipFill>
                  <pic:spPr>
                    <a:xfrm>
                      <a:off x="0" y="0"/>
                      <a:ext cx="5753735" cy="8133715"/>
                    </a:xfrm>
                    <a:prstGeom prst="rect">
                      <a:avLst/>
                    </a:prstGeom>
                  </pic:spPr>
                </pic:pic>
              </a:graphicData>
            </a:graphic>
          </wp:inline>
        </w:drawing>
      </w:r>
      <w:r>
        <w:rPr>
          <w:rFonts w:hint="default" w:ascii="Times New Roman" w:hAnsi="Times New Roman" w:eastAsia="宋体" w:cs="Times New Roman"/>
          <w:b/>
          <w:bCs/>
          <w:snapToGrid w:val="0"/>
          <w:color w:val="auto"/>
          <w:sz w:val="30"/>
          <w:szCs w:val="30"/>
        </w:rPr>
        <w:drawing>
          <wp:inline distT="0" distB="0" distL="114300" distR="114300">
            <wp:extent cx="5753735" cy="8133715"/>
            <wp:effectExtent l="0" t="0" r="18415" b="635"/>
            <wp:docPr id="19" name="图片 19" descr="盖章封面+资质+社保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盖章封面+资质+社保_04"/>
                    <pic:cNvPicPr>
                      <a:picLocks noChangeAspect="1"/>
                    </pic:cNvPicPr>
                  </pic:nvPicPr>
                  <pic:blipFill>
                    <a:blip r:embed="rId16"/>
                    <a:stretch>
                      <a:fillRect/>
                    </a:stretch>
                  </pic:blipFill>
                  <pic:spPr>
                    <a:xfrm>
                      <a:off x="0" y="0"/>
                      <a:ext cx="5753735" cy="8133715"/>
                    </a:xfrm>
                    <a:prstGeom prst="rect">
                      <a:avLst/>
                    </a:prstGeom>
                  </pic:spPr>
                </pic:pic>
              </a:graphicData>
            </a:graphic>
          </wp:inline>
        </w:drawing>
      </w:r>
      <w:r>
        <w:rPr>
          <w:rFonts w:hint="default" w:ascii="Times New Roman" w:hAnsi="Times New Roman" w:eastAsia="宋体" w:cs="Times New Roman"/>
          <w:b/>
          <w:bCs/>
          <w:snapToGrid w:val="0"/>
          <w:color w:val="auto"/>
          <w:sz w:val="30"/>
          <w:szCs w:val="30"/>
        </w:rPr>
        <w:br w:type="textWrapping"/>
      </w:r>
      <w:r>
        <w:rPr>
          <w:rFonts w:hint="default" w:ascii="Times New Roman" w:hAnsi="Times New Roman" w:eastAsia="宋体" w:cs="Times New Roman"/>
          <w:b/>
          <w:bCs/>
          <w:snapToGrid w:val="0"/>
          <w:color w:val="auto"/>
          <w:sz w:val="30"/>
          <w:szCs w:val="30"/>
        </w:rPr>
        <w:br w:type="textWrapping"/>
      </w:r>
      <w:r>
        <w:rPr>
          <w:rFonts w:hint="default" w:ascii="Times New Roman" w:hAnsi="Times New Roman" w:eastAsia="宋体" w:cs="Times New Roman"/>
          <w:b/>
          <w:bCs/>
          <w:snapToGrid w:val="0"/>
          <w:color w:val="auto"/>
          <w:sz w:val="30"/>
          <w:szCs w:val="30"/>
        </w:rPr>
        <w:br w:type="textWrapping"/>
      </w:r>
    </w:p>
    <w:p w14:paraId="02B1C96E">
      <w:pPr>
        <w:pStyle w:val="22"/>
        <w:spacing w:before="0" w:beforeAutospacing="0" w:after="0" w:afterAutospacing="0"/>
        <w:contextualSpacing/>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一、建设项目基本情况</w:t>
      </w:r>
      <w:bookmarkEnd w:id="0"/>
    </w:p>
    <w:tbl>
      <w:tblPr>
        <w:tblStyle w:val="27"/>
        <w:tblW w:w="89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9"/>
        <w:gridCol w:w="670"/>
        <w:gridCol w:w="2150"/>
        <w:gridCol w:w="1831"/>
        <w:gridCol w:w="3663"/>
      </w:tblGrid>
      <w:tr w14:paraId="5CB18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7DE9EC8A">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建设项目名称</w:t>
            </w:r>
          </w:p>
        </w:tc>
        <w:tc>
          <w:tcPr>
            <w:tcW w:w="7644" w:type="dxa"/>
            <w:gridSpan w:val="3"/>
            <w:vAlign w:val="center"/>
          </w:tcPr>
          <w:p w14:paraId="6AFBB53B">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轨道交通配套金属制品技术改造项目</w:t>
            </w:r>
          </w:p>
        </w:tc>
      </w:tr>
      <w:tr w14:paraId="19CA5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0C7FA31C">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项目代码</w:t>
            </w:r>
          </w:p>
        </w:tc>
        <w:tc>
          <w:tcPr>
            <w:tcW w:w="7644" w:type="dxa"/>
            <w:gridSpan w:val="3"/>
            <w:vAlign w:val="center"/>
          </w:tcPr>
          <w:p w14:paraId="547BD2A4">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2412-320458-89-02-607982</w:t>
            </w:r>
          </w:p>
        </w:tc>
      </w:tr>
      <w:tr w14:paraId="5593E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3C8AEC38">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建设单位联系人</w:t>
            </w:r>
          </w:p>
        </w:tc>
        <w:tc>
          <w:tcPr>
            <w:tcW w:w="2150" w:type="dxa"/>
            <w:vAlign w:val="center"/>
          </w:tcPr>
          <w:p w14:paraId="79D0BF38">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汪</w:t>
            </w:r>
            <w:r>
              <w:rPr>
                <w:rFonts w:hint="eastAsia" w:cs="Times New Roman"/>
                <w:color w:val="auto"/>
                <w:sz w:val="24"/>
                <w:lang w:val="en-US" w:eastAsia="zh-CN"/>
              </w:rPr>
              <w:t>**</w:t>
            </w:r>
          </w:p>
        </w:tc>
        <w:tc>
          <w:tcPr>
            <w:tcW w:w="1831" w:type="dxa"/>
            <w:vAlign w:val="center"/>
          </w:tcPr>
          <w:p w14:paraId="6F2096EF">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联系方式</w:t>
            </w:r>
          </w:p>
        </w:tc>
        <w:tc>
          <w:tcPr>
            <w:tcW w:w="3663" w:type="dxa"/>
            <w:vAlign w:val="center"/>
          </w:tcPr>
          <w:p w14:paraId="54A3678E">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val="en-US" w:eastAsia="zh-CN"/>
              </w:rPr>
              <w:t>138</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5767</w:t>
            </w:r>
          </w:p>
        </w:tc>
      </w:tr>
      <w:tr w14:paraId="10ACC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2CF807DF">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建设地点</w:t>
            </w:r>
          </w:p>
        </w:tc>
        <w:tc>
          <w:tcPr>
            <w:tcW w:w="7644" w:type="dxa"/>
            <w:gridSpan w:val="3"/>
            <w:vAlign w:val="center"/>
          </w:tcPr>
          <w:p w14:paraId="50C58D23">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常州市金坛区龙湖路10号</w:t>
            </w:r>
          </w:p>
        </w:tc>
      </w:tr>
      <w:tr w14:paraId="5CCC5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10283FB6">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地理坐标</w:t>
            </w:r>
          </w:p>
        </w:tc>
        <w:tc>
          <w:tcPr>
            <w:tcW w:w="7644" w:type="dxa"/>
            <w:gridSpan w:val="3"/>
            <w:vAlign w:val="center"/>
          </w:tcPr>
          <w:p w14:paraId="12A8E9A3">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u w:val="single"/>
              </w:rPr>
              <w:t>1</w:t>
            </w:r>
            <w:r>
              <w:rPr>
                <w:rFonts w:hint="default" w:ascii="Times New Roman" w:hAnsi="Times New Roman" w:eastAsia="宋体" w:cs="Times New Roman"/>
                <w:color w:val="auto"/>
                <w:sz w:val="24"/>
                <w:highlight w:val="none"/>
                <w:u w:val="single"/>
                <w:lang w:val="en-US" w:eastAsia="zh-CN"/>
              </w:rPr>
              <w:t>19</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u w:val="single"/>
                <w:lang w:val="en-US" w:eastAsia="zh-CN"/>
              </w:rPr>
              <w:t>39</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u w:val="single"/>
                <w:lang w:val="en-US" w:eastAsia="zh-CN"/>
              </w:rPr>
              <w:t>24.982</w:t>
            </w:r>
            <w:r>
              <w:rPr>
                <w:rFonts w:hint="default" w:ascii="Times New Roman" w:hAnsi="Times New Roman" w:eastAsia="宋体" w:cs="Times New Roman"/>
                <w:color w:val="auto"/>
                <w:sz w:val="24"/>
                <w:highlight w:val="none"/>
              </w:rPr>
              <w:t>秒，</w:t>
            </w:r>
            <w:r>
              <w:rPr>
                <w:rFonts w:hint="default" w:ascii="Times New Roman" w:hAnsi="Times New Roman" w:eastAsia="宋体" w:cs="Times New Roman"/>
                <w:color w:val="auto"/>
                <w:sz w:val="24"/>
                <w:highlight w:val="none"/>
                <w:u w:val="single"/>
              </w:rPr>
              <w:t>31</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u w:val="single"/>
                <w:lang w:val="en-US" w:eastAsia="zh-CN"/>
              </w:rPr>
              <w:t>45</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u w:val="single"/>
                <w:lang w:val="en-US" w:eastAsia="zh-CN"/>
              </w:rPr>
              <w:t>10.791</w:t>
            </w:r>
            <w:r>
              <w:rPr>
                <w:rFonts w:hint="default" w:ascii="Times New Roman" w:hAnsi="Times New Roman" w:eastAsia="宋体" w:cs="Times New Roman"/>
                <w:color w:val="auto"/>
                <w:sz w:val="24"/>
                <w:highlight w:val="none"/>
              </w:rPr>
              <w:t>秒）</w:t>
            </w:r>
          </w:p>
        </w:tc>
      </w:tr>
      <w:tr w14:paraId="2CB10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339" w:type="dxa"/>
            <w:gridSpan w:val="2"/>
            <w:tcMar>
              <w:top w:w="16" w:type="dxa"/>
              <w:left w:w="16" w:type="dxa"/>
              <w:right w:w="16" w:type="dxa"/>
            </w:tcMar>
            <w:vAlign w:val="center"/>
          </w:tcPr>
          <w:p w14:paraId="6C8681F4">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国民经济</w:t>
            </w:r>
          </w:p>
          <w:p w14:paraId="1426D9C6">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行业类别</w:t>
            </w:r>
          </w:p>
        </w:tc>
        <w:tc>
          <w:tcPr>
            <w:tcW w:w="2150" w:type="dxa"/>
            <w:vAlign w:val="center"/>
          </w:tcPr>
          <w:p w14:paraId="37F6B847">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C3499其他未列明通用设备制造C</w:t>
            </w:r>
            <w:r>
              <w:rPr>
                <w:rFonts w:hint="default" w:ascii="Times New Roman" w:hAnsi="Times New Roman" w:eastAsia="宋体" w:cs="Times New Roman"/>
                <w:color w:val="auto"/>
                <w:sz w:val="24"/>
                <w:lang w:val="en-US" w:eastAsia="zh-CN"/>
              </w:rPr>
              <w:t>2320装订及印刷相关服务</w:t>
            </w:r>
          </w:p>
        </w:tc>
        <w:tc>
          <w:tcPr>
            <w:tcW w:w="1831" w:type="dxa"/>
            <w:vAlign w:val="center"/>
          </w:tcPr>
          <w:p w14:paraId="0F2987D5">
            <w:pPr>
              <w:adjustRightInd w:val="0"/>
              <w:snapToGrid w:val="0"/>
              <w:jc w:val="center"/>
              <w:rPr>
                <w:rFonts w:hint="default" w:ascii="Times New Roman" w:hAnsi="Times New Roman" w:eastAsia="宋体" w:cs="Times New Roman"/>
                <w:color w:val="auto"/>
                <w:sz w:val="24"/>
              </w:rPr>
            </w:pPr>
            <w:bookmarkStart w:id="1" w:name="_Hlk49843745"/>
            <w:r>
              <w:rPr>
                <w:rFonts w:hint="default" w:ascii="Times New Roman" w:hAnsi="Times New Roman" w:eastAsia="宋体" w:cs="Times New Roman"/>
                <w:color w:val="auto"/>
                <w:sz w:val="24"/>
              </w:rPr>
              <w:t>建设项目</w:t>
            </w:r>
          </w:p>
          <w:p w14:paraId="3E55A15D">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行业类别</w:t>
            </w:r>
            <w:bookmarkEnd w:id="1"/>
          </w:p>
        </w:tc>
        <w:tc>
          <w:tcPr>
            <w:tcW w:w="3663" w:type="dxa"/>
            <w:vAlign w:val="center"/>
          </w:tcPr>
          <w:p w14:paraId="58FA2C87">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sz w:val="24"/>
                <w:lang w:val="en-US" w:eastAsia="zh-CN"/>
              </w:rPr>
              <w:t>三十一</w:t>
            </w:r>
            <w:r>
              <w:rPr>
                <w:rFonts w:hint="default" w:ascii="Times New Roman" w:hAnsi="Times New Roman" w:eastAsia="宋体" w:cs="Times New Roman"/>
                <w:color w:val="auto"/>
                <w:sz w:val="24"/>
                <w:lang w:eastAsia="zh-CN"/>
              </w:rPr>
              <w:t>、</w:t>
            </w:r>
            <w:r>
              <w:rPr>
                <w:rFonts w:hint="eastAsia" w:cs="Times New Roman"/>
                <w:color w:val="auto"/>
                <w:sz w:val="24"/>
                <w:lang w:val="en-US" w:eastAsia="zh-CN"/>
              </w:rPr>
              <w:t>通用设备制造</w:t>
            </w:r>
            <w:r>
              <w:rPr>
                <w:rFonts w:hint="default" w:ascii="Times New Roman" w:hAnsi="Times New Roman" w:eastAsia="宋体" w:cs="Times New Roman"/>
                <w:color w:val="auto"/>
                <w:sz w:val="24"/>
                <w:lang w:eastAsia="zh-CN"/>
              </w:rPr>
              <w:t>业-</w:t>
            </w:r>
            <w:r>
              <w:rPr>
                <w:rFonts w:hint="eastAsia" w:cs="Times New Roman"/>
                <w:color w:val="auto"/>
                <w:sz w:val="24"/>
                <w:lang w:val="en-US" w:eastAsia="zh-CN"/>
              </w:rPr>
              <w:t>69</w:t>
            </w:r>
            <w:r>
              <w:rPr>
                <w:rFonts w:hint="default" w:ascii="Times New Roman" w:hAnsi="Times New Roman" w:eastAsia="宋体" w:cs="Times New Roman"/>
                <w:color w:val="auto"/>
                <w:sz w:val="24"/>
                <w:lang w:eastAsia="zh-CN"/>
              </w:rPr>
              <w:t>其他通用设备制造</w:t>
            </w:r>
            <w:r>
              <w:rPr>
                <w:rFonts w:hint="eastAsia" w:cs="Times New Roman"/>
                <w:color w:val="auto"/>
                <w:sz w:val="24"/>
                <w:lang w:val="en-US" w:eastAsia="zh-CN"/>
              </w:rPr>
              <w:t>349</w:t>
            </w:r>
          </w:p>
        </w:tc>
      </w:tr>
      <w:tr w14:paraId="11131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339" w:type="dxa"/>
            <w:gridSpan w:val="2"/>
            <w:tcMar>
              <w:top w:w="16" w:type="dxa"/>
              <w:left w:w="16" w:type="dxa"/>
              <w:right w:w="16" w:type="dxa"/>
            </w:tcMar>
            <w:vAlign w:val="center"/>
          </w:tcPr>
          <w:p w14:paraId="13AA9B02">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建设性质</w:t>
            </w:r>
          </w:p>
        </w:tc>
        <w:tc>
          <w:tcPr>
            <w:tcW w:w="2150" w:type="dxa"/>
            <w:vAlign w:val="center"/>
          </w:tcPr>
          <w:p w14:paraId="002B5497">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新建（迁建）</w:t>
            </w:r>
          </w:p>
          <w:p w14:paraId="5BA44718">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√改建</w:t>
            </w:r>
          </w:p>
          <w:p w14:paraId="5469B1F9">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扩建</w:t>
            </w:r>
          </w:p>
          <w:p w14:paraId="718E50D7">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技术改造</w:t>
            </w:r>
          </w:p>
        </w:tc>
        <w:tc>
          <w:tcPr>
            <w:tcW w:w="1831" w:type="dxa"/>
            <w:vAlign w:val="center"/>
          </w:tcPr>
          <w:p w14:paraId="69CEEF63">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建设项目</w:t>
            </w:r>
          </w:p>
          <w:p w14:paraId="5942F4B4">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申报情形</w:t>
            </w:r>
          </w:p>
        </w:tc>
        <w:tc>
          <w:tcPr>
            <w:tcW w:w="3663" w:type="dxa"/>
            <w:vAlign w:val="center"/>
          </w:tcPr>
          <w:p w14:paraId="7159DFC0">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√首次申报项目</w:t>
            </w:r>
          </w:p>
          <w:p w14:paraId="60FCB297">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不予批准后再次申报项目</w:t>
            </w:r>
          </w:p>
          <w:p w14:paraId="0DCB4C44">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超五年重新审核项目</w:t>
            </w:r>
          </w:p>
          <w:p w14:paraId="7BF1239C">
            <w:pPr>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重大变动重新报批项目</w:t>
            </w:r>
          </w:p>
        </w:tc>
      </w:tr>
      <w:tr w14:paraId="6390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339" w:type="dxa"/>
            <w:gridSpan w:val="2"/>
            <w:tcMar>
              <w:top w:w="16" w:type="dxa"/>
              <w:left w:w="16" w:type="dxa"/>
              <w:right w:w="16" w:type="dxa"/>
            </w:tcMar>
            <w:vAlign w:val="center"/>
          </w:tcPr>
          <w:p w14:paraId="0A3EBBA1">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项目审批部门</w:t>
            </w:r>
          </w:p>
        </w:tc>
        <w:tc>
          <w:tcPr>
            <w:tcW w:w="2150" w:type="dxa"/>
            <w:vAlign w:val="center"/>
          </w:tcPr>
          <w:p w14:paraId="21ADA302">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金坛经济开发区经济发展局</w:t>
            </w:r>
          </w:p>
        </w:tc>
        <w:tc>
          <w:tcPr>
            <w:tcW w:w="1831" w:type="dxa"/>
            <w:vAlign w:val="center"/>
          </w:tcPr>
          <w:p w14:paraId="31871730">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项目审批文号</w:t>
            </w:r>
          </w:p>
        </w:tc>
        <w:tc>
          <w:tcPr>
            <w:tcW w:w="3663" w:type="dxa"/>
            <w:vAlign w:val="center"/>
          </w:tcPr>
          <w:p w14:paraId="208AB0CE">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坛开经发备字(2024)278号</w:t>
            </w:r>
          </w:p>
        </w:tc>
      </w:tr>
      <w:tr w14:paraId="6A82C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430AAF0F">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总投资（万元）</w:t>
            </w:r>
          </w:p>
        </w:tc>
        <w:tc>
          <w:tcPr>
            <w:tcW w:w="2150" w:type="dxa"/>
            <w:vAlign w:val="center"/>
          </w:tcPr>
          <w:p w14:paraId="53DA3C01">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200</w:t>
            </w:r>
          </w:p>
        </w:tc>
        <w:tc>
          <w:tcPr>
            <w:tcW w:w="1831" w:type="dxa"/>
            <w:tcMar>
              <w:top w:w="16" w:type="dxa"/>
              <w:left w:w="16" w:type="dxa"/>
              <w:right w:w="16" w:type="dxa"/>
            </w:tcMar>
            <w:vAlign w:val="center"/>
          </w:tcPr>
          <w:p w14:paraId="3809E2DC">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环保投资（万元）</w:t>
            </w:r>
          </w:p>
        </w:tc>
        <w:tc>
          <w:tcPr>
            <w:tcW w:w="3663" w:type="dxa"/>
            <w:vAlign w:val="center"/>
          </w:tcPr>
          <w:p w14:paraId="0312559F">
            <w:pPr>
              <w:adjustRightInd w:val="0"/>
              <w:snapToGrid w:val="0"/>
              <w:jc w:val="center"/>
              <w:rPr>
                <w:rFonts w:hint="default" w:ascii="Times New Roman" w:hAnsi="Times New Roman" w:eastAsia="宋体" w:cs="Times New Roman"/>
                <w:color w:val="auto"/>
                <w:sz w:val="24"/>
                <w:lang w:val="en-US"/>
              </w:rPr>
            </w:pPr>
            <w:r>
              <w:rPr>
                <w:rFonts w:hint="default" w:ascii="Times New Roman" w:hAnsi="Times New Roman" w:eastAsia="宋体" w:cs="Times New Roman"/>
                <w:color w:val="auto"/>
                <w:sz w:val="24"/>
                <w:lang w:val="en-US" w:eastAsia="zh-CN"/>
              </w:rPr>
              <w:t>20</w:t>
            </w:r>
          </w:p>
        </w:tc>
      </w:tr>
      <w:tr w14:paraId="62EA6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705CA4B7">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环保投资占比（%）</w:t>
            </w:r>
          </w:p>
        </w:tc>
        <w:tc>
          <w:tcPr>
            <w:tcW w:w="2150" w:type="dxa"/>
            <w:vAlign w:val="center"/>
          </w:tcPr>
          <w:p w14:paraId="3E65496B">
            <w:pPr>
              <w:adjustRightInd w:val="0"/>
              <w:snapToGrid w:val="0"/>
              <w:jc w:val="center"/>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10.0</w:t>
            </w:r>
          </w:p>
        </w:tc>
        <w:tc>
          <w:tcPr>
            <w:tcW w:w="1831" w:type="dxa"/>
            <w:tcMar>
              <w:top w:w="16" w:type="dxa"/>
              <w:left w:w="16" w:type="dxa"/>
              <w:right w:w="16" w:type="dxa"/>
            </w:tcMar>
            <w:vAlign w:val="center"/>
          </w:tcPr>
          <w:p w14:paraId="3C6DEB96">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施工工期</w:t>
            </w:r>
          </w:p>
        </w:tc>
        <w:tc>
          <w:tcPr>
            <w:tcW w:w="3663" w:type="dxa"/>
            <w:vAlign w:val="center"/>
          </w:tcPr>
          <w:p w14:paraId="13B3C7D6">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3个月</w:t>
            </w:r>
          </w:p>
        </w:tc>
      </w:tr>
      <w:tr w14:paraId="7B6C2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339" w:type="dxa"/>
            <w:gridSpan w:val="2"/>
            <w:tcMar>
              <w:top w:w="16" w:type="dxa"/>
              <w:left w:w="16" w:type="dxa"/>
              <w:right w:w="16" w:type="dxa"/>
            </w:tcMar>
            <w:vAlign w:val="center"/>
          </w:tcPr>
          <w:p w14:paraId="4BDCC3CA">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是否开工建设</w:t>
            </w:r>
          </w:p>
        </w:tc>
        <w:tc>
          <w:tcPr>
            <w:tcW w:w="2150" w:type="dxa"/>
            <w:vAlign w:val="center"/>
          </w:tcPr>
          <w:p w14:paraId="75C8588B">
            <w:pPr>
              <w:adjustRightInd w:val="0"/>
              <w:snapToGrid w:val="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sym w:font="Wingdings 2" w:char="0052"/>
            </w:r>
            <w:r>
              <w:rPr>
                <w:rFonts w:hint="default" w:ascii="Times New Roman" w:hAnsi="Times New Roman" w:eastAsia="宋体" w:cs="Times New Roman"/>
                <w:color w:val="auto"/>
                <w:sz w:val="24"/>
              </w:rPr>
              <w:t>否</w:t>
            </w:r>
          </w:p>
          <w:p w14:paraId="1BEC031E">
            <w:pPr>
              <w:adjustRightInd w:val="0"/>
              <w:snapToGrid w:val="0"/>
              <w:rPr>
                <w:rFonts w:hint="default" w:ascii="Times New Roman" w:hAnsi="Times New Roman" w:eastAsia="宋体" w:cs="Times New Roman"/>
                <w:color w:val="auto"/>
                <w:sz w:val="24"/>
                <w:lang w:val="en-US"/>
              </w:rPr>
            </w:pPr>
            <w:r>
              <w:rPr>
                <w:rFonts w:hint="default" w:ascii="Times New Roman" w:hAnsi="Times New Roman" w:eastAsia="宋体" w:cs="Times New Roman"/>
                <w:color w:val="auto"/>
                <w:sz w:val="24"/>
              </w:rPr>
              <w:sym w:font="Wingdings 2" w:char="00A3"/>
            </w:r>
            <w:r>
              <w:rPr>
                <w:rFonts w:hint="default" w:ascii="Times New Roman" w:hAnsi="Times New Roman" w:eastAsia="宋体" w:cs="Times New Roman"/>
                <w:color w:val="auto"/>
                <w:sz w:val="24"/>
              </w:rPr>
              <w:t>是：</w:t>
            </w:r>
            <w:r>
              <w:rPr>
                <w:rFonts w:hint="default" w:ascii="Times New Roman" w:hAnsi="Times New Roman" w:eastAsia="宋体" w:cs="Times New Roman"/>
                <w:color w:val="auto"/>
                <w:sz w:val="24"/>
                <w:u w:val="single"/>
                <w:lang w:val="en-US" w:eastAsia="zh-CN"/>
              </w:rPr>
              <w:t xml:space="preserve">       </w:t>
            </w:r>
          </w:p>
        </w:tc>
        <w:tc>
          <w:tcPr>
            <w:tcW w:w="1831" w:type="dxa"/>
            <w:tcMar>
              <w:top w:w="16" w:type="dxa"/>
              <w:left w:w="16" w:type="dxa"/>
              <w:right w:w="16" w:type="dxa"/>
            </w:tcMar>
            <w:vAlign w:val="center"/>
          </w:tcPr>
          <w:p w14:paraId="53D31BDC">
            <w:pPr>
              <w:adjustRightInd w:val="0"/>
              <w:snapToGrid w:val="0"/>
              <w:jc w:val="center"/>
              <w:rPr>
                <w:rFonts w:hint="default" w:ascii="Times New Roman" w:hAnsi="Times New Roman" w:eastAsia="宋体" w:cs="Times New Roman"/>
                <w:color w:val="auto"/>
                <w:spacing w:val="-6"/>
                <w:sz w:val="24"/>
              </w:rPr>
            </w:pPr>
            <w:r>
              <w:rPr>
                <w:rFonts w:hint="default" w:ascii="Times New Roman" w:hAnsi="Times New Roman" w:eastAsia="宋体" w:cs="Times New Roman"/>
                <w:color w:val="auto"/>
                <w:spacing w:val="-6"/>
                <w:sz w:val="24"/>
              </w:rPr>
              <w:t>用地</w:t>
            </w:r>
          </w:p>
          <w:p w14:paraId="4882DF13">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pacing w:val="-6"/>
                <w:sz w:val="24"/>
              </w:rPr>
              <w:t>面积（m</w:t>
            </w:r>
            <w:r>
              <w:rPr>
                <w:rFonts w:hint="default" w:ascii="Times New Roman" w:hAnsi="Times New Roman" w:eastAsia="宋体" w:cs="Times New Roman"/>
                <w:color w:val="auto"/>
                <w:spacing w:val="-6"/>
                <w:sz w:val="24"/>
                <w:vertAlign w:val="superscript"/>
              </w:rPr>
              <w:t>2</w:t>
            </w:r>
            <w:r>
              <w:rPr>
                <w:rFonts w:hint="default" w:ascii="Times New Roman" w:hAnsi="Times New Roman" w:eastAsia="宋体" w:cs="Times New Roman"/>
                <w:color w:val="auto"/>
                <w:spacing w:val="-6"/>
                <w:sz w:val="24"/>
              </w:rPr>
              <w:t>）</w:t>
            </w:r>
          </w:p>
        </w:tc>
        <w:tc>
          <w:tcPr>
            <w:tcW w:w="3663" w:type="dxa"/>
            <w:vAlign w:val="center"/>
          </w:tcPr>
          <w:p w14:paraId="6DF5A2C8">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依托原有</w:t>
            </w:r>
          </w:p>
        </w:tc>
      </w:tr>
      <w:tr w14:paraId="2BBCC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1339" w:type="dxa"/>
            <w:gridSpan w:val="2"/>
            <w:vAlign w:val="center"/>
          </w:tcPr>
          <w:p w14:paraId="340676CB">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专项评价设置情况</w:t>
            </w:r>
          </w:p>
        </w:tc>
        <w:tc>
          <w:tcPr>
            <w:tcW w:w="7644" w:type="dxa"/>
            <w:gridSpan w:val="3"/>
            <w:vAlign w:val="center"/>
          </w:tcPr>
          <w:p w14:paraId="1B3D0D7B">
            <w:pPr>
              <w:autoSpaceDE w:val="0"/>
              <w:autoSpaceDN w:val="0"/>
              <w:adjustRightInd w:val="0"/>
              <w:snapToGrid w:val="0"/>
              <w:spacing w:line="500" w:lineRule="exact"/>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无</w:t>
            </w:r>
          </w:p>
        </w:tc>
      </w:tr>
      <w:tr w14:paraId="42802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jc w:val="center"/>
        </w:trPr>
        <w:tc>
          <w:tcPr>
            <w:tcW w:w="1339" w:type="dxa"/>
            <w:gridSpan w:val="2"/>
            <w:vAlign w:val="center"/>
          </w:tcPr>
          <w:p w14:paraId="73A3FEE0">
            <w:pPr>
              <w:autoSpaceDE w:val="0"/>
              <w:autoSpaceDN w:val="0"/>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规划情况</w:t>
            </w:r>
          </w:p>
        </w:tc>
        <w:tc>
          <w:tcPr>
            <w:tcW w:w="7644" w:type="dxa"/>
            <w:gridSpan w:val="3"/>
            <w:vAlign w:val="center"/>
          </w:tcPr>
          <w:p w14:paraId="45F78BCC">
            <w:pPr>
              <w:pStyle w:val="9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规划名称：《金坛经济开发区发展规划》</w:t>
            </w:r>
          </w:p>
          <w:p w14:paraId="04BAD3DD">
            <w:pPr>
              <w:pStyle w:val="90"/>
              <w:spacing w:line="360" w:lineRule="auto"/>
              <w:ind w:firstLine="480"/>
              <w:jc w:val="both"/>
              <w:rPr>
                <w:rFonts w:hint="default" w:ascii="Times New Roman" w:hAnsi="Times New Roman" w:eastAsia="宋体" w:cs="Times New Roman"/>
                <w:color w:val="auto"/>
              </w:rPr>
            </w:pPr>
            <w:r>
              <w:rPr>
                <w:rFonts w:hint="default" w:ascii="Times New Roman" w:hAnsi="Times New Roman" w:eastAsia="宋体" w:cs="Times New Roman"/>
                <w:color w:val="auto"/>
              </w:rPr>
              <w:t>审批机关：江苏省人民政府</w:t>
            </w:r>
          </w:p>
          <w:p w14:paraId="68A085CC">
            <w:pPr>
              <w:pStyle w:val="9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rPr>
              <w:t>审查文件名称及文号：《省政府关于同意设立海门经济开发区等13家省级开发区的批复》（苏政复</w:t>
            </w:r>
            <w:r>
              <w:rPr>
                <w:rFonts w:hint="default" w:ascii="Times New Roman" w:hAnsi="Times New Roman" w:eastAsia="宋体" w:cs="Times New Roman"/>
                <w:color w:val="auto"/>
                <w:lang w:eastAsia="zh-CN"/>
              </w:rPr>
              <w:t>〔1993〕60号</w:t>
            </w:r>
            <w:r>
              <w:rPr>
                <w:rFonts w:hint="default" w:ascii="Times New Roman" w:hAnsi="Times New Roman" w:eastAsia="宋体" w:cs="Times New Roman"/>
                <w:color w:val="auto"/>
              </w:rPr>
              <w:t>）</w:t>
            </w:r>
          </w:p>
        </w:tc>
      </w:tr>
      <w:tr w14:paraId="2F000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 w:hRule="atLeast"/>
          <w:jc w:val="center"/>
        </w:trPr>
        <w:tc>
          <w:tcPr>
            <w:tcW w:w="1339" w:type="dxa"/>
            <w:gridSpan w:val="2"/>
            <w:vAlign w:val="center"/>
          </w:tcPr>
          <w:p w14:paraId="514BCC08">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规划环境影响</w:t>
            </w:r>
          </w:p>
          <w:p w14:paraId="55B8D9AF">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评价情况</w:t>
            </w:r>
          </w:p>
        </w:tc>
        <w:tc>
          <w:tcPr>
            <w:tcW w:w="7644" w:type="dxa"/>
            <w:gridSpan w:val="3"/>
            <w:vAlign w:val="center"/>
          </w:tcPr>
          <w:p w14:paraId="1C7874EF">
            <w:pPr>
              <w:pStyle w:val="9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规划环境影响评价文件名称：江苏省金坛经济开发区发展规划环境影响评价</w:t>
            </w:r>
          </w:p>
          <w:p w14:paraId="0907843D">
            <w:pPr>
              <w:pStyle w:val="9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召集审查机关：原江苏省环境保护厅</w:t>
            </w:r>
          </w:p>
          <w:p w14:paraId="5A9B29F8">
            <w:pPr>
              <w:pStyle w:val="90"/>
              <w:spacing w:line="360" w:lineRule="auto"/>
              <w:ind w:firstLine="48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rPr>
              <w:t>审查文件名称及文号：《关于金坛经济开发区发展规划环境影响评价审查</w:t>
            </w:r>
            <w:r>
              <w:rPr>
                <w:rFonts w:hint="default" w:ascii="Times New Roman" w:hAnsi="Times New Roman" w:eastAsia="宋体" w:cs="Times New Roman"/>
                <w:color w:val="auto"/>
                <w:lang w:val="en-US" w:eastAsia="zh-CN"/>
              </w:rPr>
              <w:t>意见</w:t>
            </w: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苏环审〔2015〕52号</w:t>
            </w:r>
            <w:r>
              <w:rPr>
                <w:rFonts w:hint="default" w:ascii="Times New Roman" w:hAnsi="Times New Roman" w:eastAsia="宋体" w:cs="Times New Roman"/>
                <w:color w:val="auto"/>
                <w:lang w:eastAsia="zh-CN"/>
              </w:rPr>
              <w:t>）</w:t>
            </w:r>
          </w:p>
        </w:tc>
      </w:tr>
      <w:tr w14:paraId="6CF58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73" w:hRule="atLeast"/>
          <w:jc w:val="center"/>
        </w:trPr>
        <w:tc>
          <w:tcPr>
            <w:tcW w:w="669" w:type="dxa"/>
            <w:vAlign w:val="center"/>
          </w:tcPr>
          <w:p w14:paraId="5EE114A5">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规划及规划环境影响评价符合性分析</w:t>
            </w:r>
          </w:p>
        </w:tc>
        <w:tc>
          <w:tcPr>
            <w:tcW w:w="8314" w:type="dxa"/>
            <w:gridSpan w:val="4"/>
            <w:vAlign w:val="center"/>
          </w:tcPr>
          <w:p w14:paraId="48ACF9BD">
            <w:pPr>
              <w:pStyle w:val="86"/>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b/>
                <w:color w:val="auto"/>
                <w:szCs w:val="24"/>
              </w:rPr>
            </w:pPr>
            <w:r>
              <w:rPr>
                <w:rFonts w:hint="default" w:ascii="Times New Roman" w:hAnsi="Times New Roman" w:eastAsia="宋体" w:cs="Times New Roman"/>
                <w:b/>
                <w:color w:val="auto"/>
                <w:szCs w:val="24"/>
              </w:rPr>
              <w:t>1、与规划符合性分析</w:t>
            </w:r>
          </w:p>
          <w:p w14:paraId="1D56D1EA">
            <w:pPr>
              <w:pStyle w:val="108"/>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rPr>
              <w:t>（1）本项目位于江苏省金坛经济开发区，金坛经济开发区产业定位为：传统产业园区：位于金武公路以北，主要发展以服装、电子、机械、新材料和新能源等为主导的产业，规划整合为盐化工产业园、综合制造产业园、高端制造产业园、中小企业园、新能源新材料产业园。本项目</w:t>
            </w:r>
            <w:r>
              <w:rPr>
                <w:rFonts w:hint="default" w:ascii="Times New Roman" w:hAnsi="Times New Roman" w:eastAsia="宋体" w:cs="Times New Roman"/>
                <w:color w:val="auto"/>
                <w:kern w:val="2"/>
                <w:szCs w:val="24"/>
                <w:lang w:val="en-US" w:eastAsia="zh-CN"/>
              </w:rPr>
              <w:t>主要为现有产品</w:t>
            </w:r>
            <w:r>
              <w:rPr>
                <w:rFonts w:hint="default" w:ascii="Times New Roman" w:hAnsi="Times New Roman" w:eastAsia="宋体" w:cs="Times New Roman"/>
                <w:color w:val="auto"/>
                <w:sz w:val="24"/>
                <w:lang w:val="en-US" w:eastAsia="zh-CN"/>
              </w:rPr>
              <w:t>安检提示牌、地铁导流带和移动式Y剂量率连续测量设备进行配套印刷作业，</w:t>
            </w:r>
            <w:r>
              <w:rPr>
                <w:rFonts w:hint="default" w:ascii="Times New Roman" w:hAnsi="Times New Roman" w:eastAsia="宋体" w:cs="Times New Roman"/>
                <w:color w:val="auto"/>
                <w:kern w:val="2"/>
                <w:szCs w:val="24"/>
              </w:rPr>
              <w:t>属于传统产业，符合园区产业定位。</w:t>
            </w:r>
          </w:p>
          <w:p w14:paraId="6496D6C8">
            <w:pPr>
              <w:keepNext w:val="0"/>
              <w:keepLines w:val="0"/>
              <w:pageBreakBefore w:val="0"/>
              <w:widowControl w:val="0"/>
              <w:tabs>
                <w:tab w:val="center" w:pos="4690"/>
              </w:tabs>
              <w:kinsoku/>
              <w:wordWrap/>
              <w:overflowPunct/>
              <w:topLinePunct w:val="0"/>
              <w:bidi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（2）根据园区土地利用规划，项目所在地为工业用地，本项目</w:t>
            </w:r>
            <w:r>
              <w:rPr>
                <w:rFonts w:hint="default" w:ascii="Times New Roman" w:hAnsi="Times New Roman" w:eastAsia="宋体" w:cs="Times New Roman"/>
                <w:color w:val="auto"/>
                <w:sz w:val="24"/>
                <w:lang w:val="en-US" w:eastAsia="zh-CN"/>
              </w:rPr>
              <w:t>所租</w:t>
            </w:r>
            <w:r>
              <w:rPr>
                <w:rFonts w:hint="default" w:ascii="Times New Roman" w:hAnsi="Times New Roman" w:eastAsia="宋体" w:cs="Times New Roman"/>
                <w:color w:val="auto"/>
                <w:sz w:val="24"/>
              </w:rPr>
              <w:t>厂房已取得土地证和房屋产权证，性质为工业用地。因此本项目符合区域用地规划要求。</w:t>
            </w:r>
          </w:p>
          <w:p w14:paraId="01FBD235">
            <w:pPr>
              <w:keepNext w:val="0"/>
              <w:keepLines w:val="0"/>
              <w:pageBreakBefore w:val="0"/>
              <w:widowControl w:val="0"/>
              <w:kinsoku/>
              <w:wordWrap/>
              <w:overflowPunct/>
              <w:topLinePunct w:val="0"/>
              <w:bidi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lang w:eastAsia="zh-CN"/>
              </w:rPr>
              <w:t>、</w:t>
            </w:r>
            <w:r>
              <w:rPr>
                <w:rFonts w:hint="default" w:ascii="Times New Roman" w:hAnsi="Times New Roman" w:eastAsia="宋体" w:cs="Times New Roman"/>
                <w:b/>
                <w:bCs/>
                <w:color w:val="auto"/>
                <w:sz w:val="24"/>
                <w:szCs w:val="24"/>
              </w:rPr>
              <w:t>与规划环境影响评价符合性分析</w:t>
            </w:r>
          </w:p>
          <w:p w14:paraId="23CCDA8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本项目位于常州市金坛区龙湖路10号，所在用地为工业用地，符合区域用地规划，与</w:t>
            </w:r>
            <w:r>
              <w:rPr>
                <w:rFonts w:hint="default" w:ascii="Times New Roman" w:hAnsi="Times New Roman" w:eastAsia="宋体" w:cs="Times New Roman"/>
                <w:color w:val="auto"/>
                <w:kern w:val="0"/>
                <w:sz w:val="24"/>
              </w:rPr>
              <w:t>《关于金坛经济开发区发展规划环境影响评价审查意见》〔苏环审〔2015〕52号〕</w:t>
            </w:r>
            <w:r>
              <w:rPr>
                <w:rFonts w:hint="default" w:ascii="Times New Roman" w:hAnsi="Times New Roman" w:eastAsia="宋体" w:cs="Times New Roman"/>
                <w:color w:val="auto"/>
                <w:sz w:val="24"/>
                <w:lang w:eastAsia="zh-CN"/>
              </w:rPr>
              <w:t>相符性分析见下表：</w:t>
            </w:r>
          </w:p>
          <w:p w14:paraId="6A1391A8">
            <w:pPr>
              <w:pStyle w:val="22"/>
              <w:adjustRightInd w:val="0"/>
              <w:snapToGrid w:val="0"/>
              <w:spacing w:before="0" w:beforeAutospacing="0" w:after="0" w:afterAutospacing="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表1-1   与苏环审〔2015〕52号对照分析情况</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fixed"/>
              <w:tblCellMar>
                <w:top w:w="28" w:type="dxa"/>
                <w:left w:w="57" w:type="dxa"/>
                <w:bottom w:w="28" w:type="dxa"/>
                <w:right w:w="57" w:type="dxa"/>
              </w:tblCellMar>
            </w:tblPr>
            <w:tblGrid>
              <w:gridCol w:w="3619"/>
              <w:gridCol w:w="3655"/>
              <w:gridCol w:w="820"/>
            </w:tblGrid>
            <w:tr w14:paraId="394C5D3A">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6367C1F8">
                  <w:pPr>
                    <w:pStyle w:val="45"/>
                    <w:snapToGrid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区域环评审查意见</w:t>
                  </w:r>
                </w:p>
              </w:tc>
              <w:tc>
                <w:tcPr>
                  <w:tcW w:w="2257" w:type="pct"/>
                  <w:noWrap w:val="0"/>
                  <w:vAlign w:val="center"/>
                </w:tcPr>
                <w:p w14:paraId="6D7A62D4">
                  <w:pPr>
                    <w:pStyle w:val="45"/>
                    <w:snapToGrid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w:t>
                  </w:r>
                </w:p>
              </w:tc>
              <w:tc>
                <w:tcPr>
                  <w:tcW w:w="507" w:type="pct"/>
                  <w:noWrap w:val="0"/>
                  <w:vAlign w:val="center"/>
                </w:tcPr>
                <w:p w14:paraId="69C98692">
                  <w:pPr>
                    <w:pStyle w:val="45"/>
                    <w:snapToGrid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相符性</w:t>
                  </w:r>
                </w:p>
              </w:tc>
            </w:tr>
            <w:tr w14:paraId="642ACC16">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25662816">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在园区大气中HCl稳定达标前禁止引进排放大气污染物HCl的企业和项目</w:t>
                  </w:r>
                </w:p>
              </w:tc>
              <w:tc>
                <w:tcPr>
                  <w:tcW w:w="2257" w:type="pct"/>
                  <w:noWrap w:val="0"/>
                  <w:vAlign w:val="center"/>
                </w:tcPr>
                <w:p w14:paraId="1D1B6A0D">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本项目不涉及HCl废气</w:t>
                  </w:r>
                </w:p>
              </w:tc>
              <w:tc>
                <w:tcPr>
                  <w:tcW w:w="507" w:type="pct"/>
                  <w:noWrap w:val="0"/>
                  <w:vAlign w:val="center"/>
                </w:tcPr>
                <w:p w14:paraId="327318DB">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786BAA66">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6277DC3C">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与钱资荡生态红线区边界相邻2000米内用地布置为污染程度低的工业项目</w:t>
                  </w:r>
                </w:p>
              </w:tc>
              <w:tc>
                <w:tcPr>
                  <w:tcW w:w="2257" w:type="pct"/>
                  <w:noWrap w:val="0"/>
                  <w:vAlign w:val="center"/>
                </w:tcPr>
                <w:p w14:paraId="365262DA">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项目距钱资荡直线距离约</w:t>
                  </w:r>
                  <w:r>
                    <w:rPr>
                      <w:rFonts w:hint="default" w:ascii="Times New Roman" w:hAnsi="Times New Roman" w:eastAsia="宋体" w:cs="Times New Roman"/>
                      <w:color w:val="auto"/>
                      <w:sz w:val="21"/>
                      <w:szCs w:val="21"/>
                      <w:lang w:val="en-US" w:eastAsia="zh-CN"/>
                    </w:rPr>
                    <w:t>7</w:t>
                  </w:r>
                  <w:r>
                    <w:rPr>
                      <w:rFonts w:hint="default" w:ascii="Times New Roman" w:hAnsi="Times New Roman" w:eastAsia="宋体" w:cs="Times New Roman"/>
                      <w:color w:val="auto"/>
                      <w:sz w:val="21"/>
                      <w:szCs w:val="21"/>
                    </w:rPr>
                    <w:t>km</w:t>
                  </w:r>
                </w:p>
              </w:tc>
              <w:tc>
                <w:tcPr>
                  <w:tcW w:w="507" w:type="pct"/>
                  <w:noWrap w:val="0"/>
                  <w:vAlign w:val="center"/>
                </w:tcPr>
                <w:p w14:paraId="47097B13">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3D5A87D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66E5419D">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加快环保基础设施建设。园区实施雨污分流、清污分流和污水集中处理，建设完善区内污水管网</w:t>
                  </w:r>
                </w:p>
              </w:tc>
              <w:tc>
                <w:tcPr>
                  <w:tcW w:w="2257" w:type="pct"/>
                  <w:noWrap w:val="0"/>
                  <w:vAlign w:val="center"/>
                </w:tcPr>
                <w:p w14:paraId="48D4D968">
                  <w:pPr>
                    <w:pStyle w:val="45"/>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项目所在地金坛经济开发区已实施雨污分流、清污分流，项目</w:t>
                  </w:r>
                  <w:r>
                    <w:rPr>
                      <w:rFonts w:hint="default" w:ascii="Times New Roman" w:hAnsi="Times New Roman" w:eastAsia="宋体" w:cs="Times New Roman"/>
                      <w:color w:val="auto"/>
                      <w:sz w:val="21"/>
                      <w:szCs w:val="21"/>
                      <w:lang w:val="en-US" w:eastAsia="zh-CN"/>
                    </w:rPr>
                    <w:t>不新增污水排放</w:t>
                  </w:r>
                </w:p>
              </w:tc>
              <w:tc>
                <w:tcPr>
                  <w:tcW w:w="507" w:type="pct"/>
                  <w:noWrap w:val="0"/>
                  <w:vAlign w:val="center"/>
                </w:tcPr>
                <w:p w14:paraId="7B778AC0">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AF9AF3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5042B0E9">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加强固体废物的集中处理处置，危险废物交由有资质的单位处置</w:t>
                  </w:r>
                </w:p>
              </w:tc>
              <w:tc>
                <w:tcPr>
                  <w:tcW w:w="2257" w:type="pct"/>
                  <w:noWrap w:val="0"/>
                  <w:vAlign w:val="center"/>
                </w:tcPr>
                <w:p w14:paraId="726E5013">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项目建设一般固废仓库及危险废物仓库收集、贮存固体废物，危险废物交由有资质单位处置</w:t>
                  </w:r>
                </w:p>
              </w:tc>
              <w:tc>
                <w:tcPr>
                  <w:tcW w:w="507" w:type="pct"/>
                  <w:noWrap w:val="0"/>
                  <w:vAlign w:val="center"/>
                </w:tcPr>
                <w:p w14:paraId="396BA3BF">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09522BA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46009942">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加强区域大气环境保护，严格落实HCl等大气特征污染物防治措施，强化恶臭、VOCs 等特征污染物的控制与治理，严格控制SO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、NOx、VOCs 等大气污染物排放总量</w:t>
                  </w:r>
                </w:p>
              </w:tc>
              <w:tc>
                <w:tcPr>
                  <w:tcW w:w="2257" w:type="pct"/>
                  <w:noWrap w:val="0"/>
                  <w:vAlign w:val="center"/>
                </w:tcPr>
                <w:p w14:paraId="41B8887A">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本项目有机废气经集气罩收集后接入1套二级活性炭吸附装置处理。企业落实废气治理措施情况下污染物均能满足达标排放，污染物排放总量较小</w:t>
                  </w:r>
                </w:p>
              </w:tc>
              <w:tc>
                <w:tcPr>
                  <w:tcW w:w="507" w:type="pct"/>
                  <w:noWrap w:val="0"/>
                  <w:vAlign w:val="center"/>
                </w:tcPr>
                <w:p w14:paraId="1B5E69B3">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5171D0EB">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6EF8D055">
                  <w:pPr>
                    <w:pStyle w:val="7"/>
                    <w:rPr>
                      <w:rFonts w:hint="default" w:ascii="Times New Roman" w:hAnsi="Times New Roman" w:eastAsia="宋体" w:cs="Times New Roman"/>
                      <w:color w:val="auto"/>
                      <w:kern w:val="44"/>
                      <w:sz w:val="21"/>
                      <w:szCs w:val="21"/>
                      <w:lang w:val="en-US" w:eastAsia="zh-CN" w:bidi="ar-SA"/>
                    </w:rPr>
                  </w:pPr>
                  <w:r>
                    <w:rPr>
                      <w:rFonts w:hint="default" w:ascii="Times New Roman" w:hAnsi="Times New Roman" w:eastAsia="宋体" w:cs="Times New Roman"/>
                      <w:color w:val="auto"/>
                      <w:sz w:val="21"/>
                      <w:szCs w:val="21"/>
                    </w:rPr>
                    <w:t>落实</w:t>
                  </w:r>
                  <w:r>
                    <w:rPr>
                      <w:rFonts w:hint="default" w:ascii="Times New Roman" w:hAnsi="Times New Roman" w:eastAsia="宋体" w:cs="Times New Roman"/>
                      <w:color w:val="auto"/>
                      <w:kern w:val="44"/>
                      <w:sz w:val="21"/>
                      <w:szCs w:val="21"/>
                      <w:lang w:val="en-US" w:eastAsia="zh-CN" w:bidi="ar-SA"/>
                    </w:rPr>
                    <w:t>《江苏省太湖水污染防治条例</w:t>
                  </w:r>
                </w:p>
                <w:p w14:paraId="1E8B7207">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44"/>
                      <w:sz w:val="21"/>
                      <w:szCs w:val="21"/>
                      <w:lang w:val="en-US" w:eastAsia="zh-CN" w:bidi="ar-SA"/>
                    </w:rPr>
                    <w:t>》要求，加强太湖流域水环</w:t>
                  </w:r>
                  <w:r>
                    <w:rPr>
                      <w:rFonts w:hint="default" w:ascii="Times New Roman" w:hAnsi="Times New Roman" w:eastAsia="宋体" w:cs="Times New Roman"/>
                      <w:color w:val="auto"/>
                      <w:sz w:val="21"/>
                      <w:szCs w:val="21"/>
                    </w:rPr>
                    <w:t>境保护</w:t>
                  </w:r>
                </w:p>
              </w:tc>
              <w:tc>
                <w:tcPr>
                  <w:tcW w:w="2257" w:type="pct"/>
                  <w:noWrap w:val="0"/>
                  <w:vAlign w:val="center"/>
                </w:tcPr>
                <w:p w14:paraId="5D14E09E">
                  <w:pPr>
                    <w:pStyle w:val="45"/>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本项目位于太湖流域三级保护区内，项目</w:t>
                  </w:r>
                  <w:r>
                    <w:rPr>
                      <w:rFonts w:hint="default" w:ascii="Times New Roman" w:hAnsi="Times New Roman" w:eastAsia="宋体" w:cs="Times New Roman"/>
                      <w:color w:val="auto"/>
                      <w:sz w:val="21"/>
                      <w:szCs w:val="21"/>
                      <w:lang w:val="en-US" w:eastAsia="zh-CN"/>
                    </w:rPr>
                    <w:t>不新增污水排放</w:t>
                  </w:r>
                  <w:r>
                    <w:rPr>
                      <w:rFonts w:hint="default" w:ascii="Times New Roman" w:hAnsi="Times New Roman" w:eastAsia="宋体" w:cs="Times New Roman"/>
                      <w:color w:val="auto"/>
                      <w:sz w:val="21"/>
                      <w:szCs w:val="21"/>
                    </w:rPr>
                    <w:t>，满足《江苏省太湖水污染防治条例》（2018年）相关要求</w:t>
                  </w:r>
                </w:p>
              </w:tc>
              <w:tc>
                <w:tcPr>
                  <w:tcW w:w="507" w:type="pct"/>
                  <w:noWrap w:val="0"/>
                  <w:vAlign w:val="center"/>
                </w:tcPr>
                <w:p w14:paraId="11D6DB8E">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5B22590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28" w:type="dxa"/>
                  <w:left w:w="57" w:type="dxa"/>
                  <w:bottom w:w="28" w:type="dxa"/>
                  <w:right w:w="57" w:type="dxa"/>
                </w:tblCellMar>
              </w:tblPrEx>
              <w:trPr>
                <w:trHeight w:val="340" w:hRule="atLeast"/>
                <w:jc w:val="center"/>
              </w:trPr>
              <w:tc>
                <w:tcPr>
                  <w:tcW w:w="2235" w:type="pct"/>
                  <w:noWrap w:val="0"/>
                  <w:vAlign w:val="center"/>
                </w:tcPr>
                <w:p w14:paraId="6D8CD9C1">
                  <w:pPr>
                    <w:contextualSpacing/>
                    <w:rPr>
                      <w:rFonts w:hint="default" w:ascii="Times New Roman" w:hAnsi="Times New Roman" w:eastAsia="宋体" w:cs="Times New Roman"/>
                      <w:color w:val="auto"/>
                      <w:kern w:val="44"/>
                      <w:szCs w:val="21"/>
                    </w:rPr>
                  </w:pPr>
                  <w:r>
                    <w:rPr>
                      <w:rFonts w:hint="default" w:ascii="Times New Roman" w:hAnsi="Times New Roman" w:eastAsia="宋体" w:cs="Times New Roman"/>
                      <w:color w:val="auto"/>
                      <w:kern w:val="44"/>
                      <w:szCs w:val="21"/>
                    </w:rPr>
                    <w:t>机械装备、电子行业禁止引进电镀、表面处理类项目，化工行业禁止引进与盐化工及下游产品生产不相关的化工项目、农药项目，新材料禁止引进太阳能电池切片、钢铁等传统型金属材料、水泥等传统型非金属材料的生产项目，纺织禁止引进废水排放量较大的纯印染和纯染整类企业和项目。在园区大气中HCI稳定达标前禁止引进排放大气污染物HCl的企业和项目。</w:t>
                  </w:r>
                </w:p>
              </w:tc>
              <w:tc>
                <w:tcPr>
                  <w:tcW w:w="2257" w:type="pct"/>
                  <w:noWrap w:val="0"/>
                  <w:vAlign w:val="center"/>
                </w:tcPr>
                <w:p w14:paraId="24EEC1E2">
                  <w:pPr>
                    <w:contextualSpacing/>
                    <w:jc w:val="center"/>
                    <w:rPr>
                      <w:rFonts w:hint="default" w:ascii="Times New Roman" w:hAnsi="Times New Roman" w:eastAsia="宋体" w:cs="Times New Roman"/>
                      <w:color w:val="auto"/>
                      <w:kern w:val="44"/>
                      <w:szCs w:val="21"/>
                    </w:rPr>
                  </w:pPr>
                  <w:r>
                    <w:rPr>
                      <w:rFonts w:hint="default" w:ascii="Times New Roman" w:hAnsi="Times New Roman" w:eastAsia="宋体" w:cs="Times New Roman"/>
                      <w:color w:val="auto"/>
                      <w:kern w:val="44"/>
                      <w:szCs w:val="21"/>
                    </w:rPr>
                    <w:t>项目不属于禁止引进类项目</w:t>
                  </w:r>
                  <w:r>
                    <w:rPr>
                      <w:rFonts w:hint="default" w:ascii="Times New Roman" w:hAnsi="Times New Roman" w:eastAsia="宋体" w:cs="Times New Roman"/>
                      <w:color w:val="auto"/>
                      <w:szCs w:val="21"/>
                    </w:rPr>
                    <w:t>。</w:t>
                  </w:r>
                </w:p>
              </w:tc>
              <w:tc>
                <w:tcPr>
                  <w:tcW w:w="507" w:type="pct"/>
                  <w:noWrap w:val="0"/>
                  <w:vAlign w:val="center"/>
                </w:tcPr>
                <w:p w14:paraId="497F5C6B">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bl>
          <w:p w14:paraId="384A73D9">
            <w:pPr>
              <w:widowControl/>
              <w:adjustRightInd w:val="0"/>
              <w:snapToGrid w:val="0"/>
              <w:spacing w:line="480" w:lineRule="exact"/>
              <w:ind w:firstLine="482" w:firstLineChars="200"/>
              <w:rPr>
                <w:rFonts w:hint="default" w:ascii="Times New Roman" w:hAnsi="Times New Roman" w:eastAsia="宋体" w:cs="Times New Roman"/>
                <w:b/>
                <w:bCs/>
                <w:color w:val="auto"/>
                <w:sz w:val="24"/>
                <w:lang w:val="en-US" w:eastAsia="zh-CN"/>
              </w:rPr>
            </w:pPr>
          </w:p>
        </w:tc>
      </w:tr>
      <w:tr w14:paraId="59ED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78" w:hRule="atLeast"/>
          <w:jc w:val="center"/>
        </w:trPr>
        <w:tc>
          <w:tcPr>
            <w:tcW w:w="669" w:type="dxa"/>
            <w:vAlign w:val="center"/>
          </w:tcPr>
          <w:p w14:paraId="63D1B9D4">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其他符合性分析</w:t>
            </w:r>
          </w:p>
        </w:tc>
        <w:tc>
          <w:tcPr>
            <w:tcW w:w="8314" w:type="dxa"/>
            <w:gridSpan w:val="4"/>
            <w:vAlign w:val="center"/>
          </w:tcPr>
          <w:p w14:paraId="6067F8CF">
            <w:pPr>
              <w:spacing w:line="360" w:lineRule="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1、产业政策相符性分析</w:t>
            </w:r>
          </w:p>
          <w:p w14:paraId="4A1C5F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 xml:space="preserve">2 </w:t>
            </w:r>
            <w:r>
              <w:rPr>
                <w:rFonts w:hint="default" w:ascii="Times New Roman" w:hAnsi="Times New Roman" w:eastAsia="宋体" w:cs="Times New Roman"/>
                <w:b/>
                <w:bCs/>
                <w:color w:val="auto"/>
                <w:sz w:val="21"/>
                <w:szCs w:val="21"/>
              </w:rPr>
              <w:t>与</w:t>
            </w:r>
            <w:r>
              <w:rPr>
                <w:rFonts w:hint="default" w:ascii="Times New Roman" w:hAnsi="Times New Roman" w:eastAsia="宋体" w:cs="Times New Roman"/>
                <w:b/>
                <w:bCs/>
                <w:color w:val="auto"/>
                <w:sz w:val="21"/>
                <w:szCs w:val="21"/>
                <w:lang w:val="en-US" w:eastAsia="zh-CN"/>
              </w:rPr>
              <w:t>产业政策</w:t>
            </w:r>
            <w:r>
              <w:rPr>
                <w:rFonts w:hint="default" w:ascii="Times New Roman" w:hAnsi="Times New Roman" w:eastAsia="宋体" w:cs="Times New Roman"/>
                <w:b/>
                <w:bCs/>
                <w:color w:val="auto"/>
                <w:sz w:val="21"/>
                <w:szCs w:val="21"/>
              </w:rPr>
              <w:t>相符性分析</w:t>
            </w:r>
          </w:p>
          <w:tbl>
            <w:tblPr>
              <w:tblStyle w:val="28"/>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763"/>
              <w:gridCol w:w="6054"/>
              <w:gridCol w:w="850"/>
            </w:tblGrid>
            <w:tr w14:paraId="7DFCBB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vAlign w:val="center"/>
                </w:tcPr>
                <w:p w14:paraId="7CE293C2">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序号</w:t>
                  </w:r>
                </w:p>
              </w:tc>
              <w:tc>
                <w:tcPr>
                  <w:tcW w:w="471" w:type="pct"/>
                  <w:vAlign w:val="center"/>
                </w:tcPr>
                <w:p w14:paraId="2EA44B27">
                  <w:pPr>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判断类型</w:t>
                  </w:r>
                </w:p>
              </w:tc>
              <w:tc>
                <w:tcPr>
                  <w:tcW w:w="3739" w:type="pct"/>
                  <w:vAlign w:val="center"/>
                </w:tcPr>
                <w:p w14:paraId="3D2ECD25">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对照简析</w:t>
                  </w:r>
                </w:p>
              </w:tc>
              <w:tc>
                <w:tcPr>
                  <w:tcW w:w="525" w:type="pct"/>
                  <w:vAlign w:val="center"/>
                </w:tcPr>
                <w:p w14:paraId="11CFAFEF">
                  <w:pPr>
                    <w:jc w:val="center"/>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是否满足要求</w:t>
                  </w:r>
                </w:p>
              </w:tc>
            </w:tr>
            <w:tr w14:paraId="7C38E8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bottom w:val="single" w:color="auto" w:sz="2" w:space="0"/>
                  </w:tcBorders>
                  <w:vAlign w:val="center"/>
                </w:tcPr>
                <w:p w14:paraId="112C719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471" w:type="pct"/>
                  <w:vMerge w:val="restart"/>
                  <w:vAlign w:val="center"/>
                </w:tcPr>
                <w:p w14:paraId="2DDA06D5">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产业政策</w:t>
                  </w:r>
                </w:p>
              </w:tc>
              <w:tc>
                <w:tcPr>
                  <w:tcW w:w="3739" w:type="pct"/>
                  <w:tcBorders>
                    <w:bottom w:val="single" w:color="auto" w:sz="2" w:space="0"/>
                  </w:tcBorders>
                  <w:vAlign w:val="center"/>
                </w:tcPr>
                <w:p w14:paraId="6E7622BE">
                  <w:pPr>
                    <w:ind w:firstLine="420" w:firstLineChars="20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本项目属于“C3499其他未列明通用设备制造</w:t>
                  </w:r>
                  <w:r>
                    <w:rPr>
                      <w:rFonts w:hint="eastAsia"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t>C2320装订及印刷相关服务”，采用的生产工艺、设备等均不属于国家发改委《产业结构调整指导目录（2024年本）》中限制类和淘汰类项目</w:t>
                  </w:r>
                </w:p>
              </w:tc>
              <w:tc>
                <w:tcPr>
                  <w:tcW w:w="525" w:type="pct"/>
                  <w:tcBorders>
                    <w:bottom w:val="single" w:color="auto" w:sz="2" w:space="0"/>
                  </w:tcBorders>
                  <w:vAlign w:val="center"/>
                </w:tcPr>
                <w:p w14:paraId="2824D06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3D3705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top w:val="single" w:color="auto" w:sz="2" w:space="0"/>
                    <w:bottom w:val="single" w:color="auto" w:sz="2" w:space="0"/>
                  </w:tcBorders>
                  <w:vAlign w:val="center"/>
                </w:tcPr>
                <w:p w14:paraId="0048318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471" w:type="pct"/>
                  <w:vMerge w:val="continue"/>
                  <w:vAlign w:val="center"/>
                </w:tcPr>
                <w:p w14:paraId="1456FDDE">
                  <w:pPr>
                    <w:adjustRightInd w:val="0"/>
                    <w:snapToGrid w:val="0"/>
                    <w:jc w:val="center"/>
                    <w:rPr>
                      <w:rFonts w:hint="default" w:ascii="Times New Roman" w:hAnsi="Times New Roman" w:eastAsia="宋体" w:cs="Times New Roman"/>
                      <w:color w:val="auto"/>
                      <w:sz w:val="21"/>
                      <w:szCs w:val="21"/>
                      <w:lang w:val="en-US" w:eastAsia="zh-CN"/>
                    </w:rPr>
                  </w:pPr>
                </w:p>
              </w:tc>
              <w:tc>
                <w:tcPr>
                  <w:tcW w:w="3739" w:type="pct"/>
                  <w:tcBorders>
                    <w:top w:val="single" w:color="auto" w:sz="2" w:space="0"/>
                    <w:bottom w:val="single" w:color="auto" w:sz="2" w:space="0"/>
                  </w:tcBorders>
                  <w:vAlign w:val="center"/>
                </w:tcPr>
                <w:p w14:paraId="20383B5C">
                  <w:pPr>
                    <w:ind w:firstLine="420" w:firstLineChars="20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本项目属于“C3499其他未列明通用设备制造</w:t>
                  </w:r>
                  <w:r>
                    <w:rPr>
                      <w:rFonts w:hint="eastAsia"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t>C2320装订及印刷相关服务”，经对照不属于《江苏省产业结构调整限制、淘汰和禁止目录（2018年本）》中限制、淘汰和禁止类有关条款。</w:t>
                  </w:r>
                </w:p>
              </w:tc>
              <w:tc>
                <w:tcPr>
                  <w:tcW w:w="525" w:type="pct"/>
                  <w:tcBorders>
                    <w:top w:val="single" w:color="auto" w:sz="2" w:space="0"/>
                    <w:bottom w:val="single" w:color="auto" w:sz="2" w:space="0"/>
                  </w:tcBorders>
                  <w:vAlign w:val="center"/>
                </w:tcPr>
                <w:p w14:paraId="58159CA5">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284257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top w:val="single" w:color="auto" w:sz="2" w:space="0"/>
                    <w:bottom w:val="single" w:color="auto" w:sz="2" w:space="0"/>
                  </w:tcBorders>
                  <w:vAlign w:val="center"/>
                </w:tcPr>
                <w:p w14:paraId="04615D42">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71" w:type="pct"/>
                  <w:vMerge w:val="continue"/>
                  <w:vAlign w:val="center"/>
                </w:tcPr>
                <w:p w14:paraId="195F18CC">
                  <w:pPr>
                    <w:adjustRightInd w:val="0"/>
                    <w:snapToGrid w:val="0"/>
                    <w:jc w:val="center"/>
                    <w:rPr>
                      <w:rFonts w:hint="default" w:ascii="Times New Roman" w:hAnsi="Times New Roman" w:eastAsia="宋体" w:cs="Times New Roman"/>
                      <w:color w:val="auto"/>
                      <w:sz w:val="21"/>
                      <w:szCs w:val="21"/>
                      <w:lang w:val="en-US" w:eastAsia="zh-CN"/>
                    </w:rPr>
                  </w:pPr>
                </w:p>
              </w:tc>
              <w:tc>
                <w:tcPr>
                  <w:tcW w:w="3739" w:type="pct"/>
                  <w:tcBorders>
                    <w:top w:val="single" w:color="auto" w:sz="2" w:space="0"/>
                    <w:bottom w:val="single" w:color="auto" w:sz="2" w:space="0"/>
                  </w:tcBorders>
                  <w:vAlign w:val="center"/>
                </w:tcPr>
                <w:p w14:paraId="5EAFD033">
                  <w:pPr>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本项目属于“C3499其他未列明通用设备制造</w:t>
                  </w:r>
                  <w:r>
                    <w:rPr>
                      <w:rFonts w:hint="eastAsia"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t>C2320装订及印刷相关服务”，不属于《长江经济带发展负面清单指南（试行，2022年版）》未列入长江经济带发展负面清单，也不属于《市场准入负面清单（2022年版）》中禁止准入类</w:t>
                  </w:r>
                </w:p>
              </w:tc>
              <w:tc>
                <w:tcPr>
                  <w:tcW w:w="525" w:type="pct"/>
                  <w:tcBorders>
                    <w:top w:val="single" w:color="auto" w:sz="2" w:space="0"/>
                    <w:bottom w:val="single" w:color="auto" w:sz="2" w:space="0"/>
                  </w:tcBorders>
                  <w:vAlign w:val="center"/>
                </w:tcPr>
                <w:p w14:paraId="6325EF9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70C27A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top w:val="single" w:color="auto" w:sz="2" w:space="0"/>
                    <w:bottom w:val="single" w:color="auto" w:sz="2" w:space="0"/>
                  </w:tcBorders>
                  <w:vAlign w:val="center"/>
                </w:tcPr>
                <w:p w14:paraId="02C32F56">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71" w:type="pct"/>
                  <w:vMerge w:val="continue"/>
                  <w:vAlign w:val="center"/>
                </w:tcPr>
                <w:p w14:paraId="4266C19F">
                  <w:pPr>
                    <w:adjustRightInd w:val="0"/>
                    <w:snapToGrid w:val="0"/>
                    <w:jc w:val="center"/>
                    <w:rPr>
                      <w:rFonts w:hint="default" w:ascii="Times New Roman" w:hAnsi="Times New Roman" w:eastAsia="宋体" w:cs="Times New Roman"/>
                      <w:color w:val="auto"/>
                      <w:sz w:val="21"/>
                      <w:szCs w:val="21"/>
                      <w:lang w:val="en-US" w:eastAsia="zh-CN"/>
                    </w:rPr>
                  </w:pPr>
                </w:p>
              </w:tc>
              <w:tc>
                <w:tcPr>
                  <w:tcW w:w="3739" w:type="pct"/>
                  <w:tcBorders>
                    <w:top w:val="single" w:color="auto" w:sz="2" w:space="0"/>
                    <w:bottom w:val="single" w:color="auto" w:sz="2" w:space="0"/>
                  </w:tcBorders>
                  <w:vAlign w:val="center"/>
                </w:tcPr>
                <w:p w14:paraId="55A1835C">
                  <w:pPr>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本项目产品不在《江苏省太湖流域禁止和限制的产品目录（2024年本）》（苏发改规发〔2024〕3号）中禁止和限制的产业产品目录范围</w:t>
                  </w:r>
                  <w:r>
                    <w:rPr>
                      <w:rFonts w:hint="default" w:ascii="Times New Roman" w:hAnsi="Times New Roman" w:eastAsia="宋体" w:cs="Times New Roman"/>
                      <w:color w:val="auto"/>
                      <w:kern w:val="2"/>
                      <w:sz w:val="21"/>
                      <w:szCs w:val="21"/>
                      <w:lang w:val="en-US" w:eastAsia="zh-CN" w:bidi="ar-SA"/>
                    </w:rPr>
                    <w:tab/>
                  </w:r>
                </w:p>
              </w:tc>
              <w:tc>
                <w:tcPr>
                  <w:tcW w:w="525" w:type="pct"/>
                  <w:tcBorders>
                    <w:top w:val="single" w:color="auto" w:sz="2" w:space="0"/>
                    <w:bottom w:val="single" w:color="auto" w:sz="2" w:space="0"/>
                  </w:tcBorders>
                  <w:vAlign w:val="center"/>
                </w:tcPr>
                <w:p w14:paraId="5C599BB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是</w:t>
                  </w:r>
                </w:p>
              </w:tc>
            </w:tr>
            <w:tr w14:paraId="415C45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top w:val="single" w:color="auto" w:sz="2" w:space="0"/>
                    <w:bottom w:val="single" w:color="auto" w:sz="2" w:space="0"/>
                  </w:tcBorders>
                  <w:vAlign w:val="center"/>
                </w:tcPr>
                <w:p w14:paraId="646D8979">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71" w:type="pct"/>
                  <w:vMerge w:val="continue"/>
                  <w:vAlign w:val="center"/>
                </w:tcPr>
                <w:p w14:paraId="40E20DE5">
                  <w:pPr>
                    <w:adjustRightInd w:val="0"/>
                    <w:snapToGrid w:val="0"/>
                    <w:jc w:val="center"/>
                    <w:rPr>
                      <w:rFonts w:hint="default" w:ascii="Times New Roman" w:hAnsi="Times New Roman" w:eastAsia="宋体" w:cs="Times New Roman"/>
                      <w:color w:val="auto"/>
                      <w:sz w:val="21"/>
                      <w:szCs w:val="21"/>
                      <w:lang w:val="en-US" w:eastAsia="zh-CN"/>
                    </w:rPr>
                  </w:pPr>
                </w:p>
              </w:tc>
              <w:tc>
                <w:tcPr>
                  <w:tcW w:w="3739" w:type="pct"/>
                  <w:tcBorders>
                    <w:top w:val="single" w:color="auto" w:sz="2" w:space="0"/>
                    <w:bottom w:val="single" w:color="auto" w:sz="2" w:space="0"/>
                  </w:tcBorders>
                  <w:vAlign w:val="center"/>
                </w:tcPr>
                <w:p w14:paraId="62A3E1EB">
                  <w:pPr>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本项目产品不属于《环境保护综合名录》（2021年版）中“高污染、高环境风险”产品名录范围</w:t>
                  </w:r>
                  <w:r>
                    <w:rPr>
                      <w:rFonts w:hint="default" w:ascii="Times New Roman" w:hAnsi="Times New Roman" w:eastAsia="宋体" w:cs="Times New Roman"/>
                      <w:color w:val="auto"/>
                      <w:kern w:val="2"/>
                      <w:sz w:val="21"/>
                      <w:szCs w:val="21"/>
                      <w:lang w:val="en-US" w:eastAsia="zh-CN" w:bidi="ar-SA"/>
                    </w:rPr>
                    <w:tab/>
                  </w:r>
                </w:p>
              </w:tc>
              <w:tc>
                <w:tcPr>
                  <w:tcW w:w="525" w:type="pct"/>
                  <w:tcBorders>
                    <w:top w:val="single" w:color="auto" w:sz="2" w:space="0"/>
                    <w:bottom w:val="single" w:color="auto" w:sz="2" w:space="0"/>
                  </w:tcBorders>
                  <w:vAlign w:val="center"/>
                </w:tcPr>
                <w:p w14:paraId="10E6D65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是</w:t>
                  </w:r>
                </w:p>
              </w:tc>
            </w:tr>
            <w:tr w14:paraId="74CE0E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4" w:type="pct"/>
                  <w:tcBorders>
                    <w:top w:val="single" w:color="auto" w:sz="2" w:space="0"/>
                    <w:bottom w:val="single" w:color="auto" w:sz="2" w:space="0"/>
                  </w:tcBorders>
                  <w:vAlign w:val="center"/>
                </w:tcPr>
                <w:p w14:paraId="1E72EE9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471" w:type="pct"/>
                  <w:vMerge w:val="continue"/>
                  <w:tcBorders>
                    <w:bottom w:val="single" w:color="auto" w:sz="2" w:space="0"/>
                  </w:tcBorders>
                  <w:vAlign w:val="center"/>
                </w:tcPr>
                <w:p w14:paraId="580CBF91">
                  <w:pPr>
                    <w:adjustRightInd w:val="0"/>
                    <w:snapToGrid w:val="0"/>
                    <w:jc w:val="center"/>
                    <w:rPr>
                      <w:rFonts w:hint="default" w:ascii="Times New Roman" w:hAnsi="Times New Roman" w:eastAsia="宋体" w:cs="Times New Roman"/>
                      <w:color w:val="auto"/>
                      <w:sz w:val="21"/>
                      <w:szCs w:val="21"/>
                      <w:lang w:val="en-US" w:eastAsia="zh-CN"/>
                    </w:rPr>
                  </w:pPr>
                </w:p>
              </w:tc>
              <w:tc>
                <w:tcPr>
                  <w:tcW w:w="3739" w:type="pct"/>
                  <w:tcBorders>
                    <w:top w:val="single" w:color="auto" w:sz="2" w:space="0"/>
                    <w:bottom w:val="single" w:color="auto" w:sz="2" w:space="0"/>
                  </w:tcBorders>
                  <w:vAlign w:val="center"/>
                </w:tcPr>
                <w:p w14:paraId="3A0F79C6">
                  <w:pPr>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本项目已</w:t>
                  </w:r>
                  <w:r>
                    <w:rPr>
                      <w:rFonts w:hint="default" w:ascii="Times New Roman" w:hAnsi="Times New Roman" w:eastAsia="宋体" w:cs="Times New Roman"/>
                      <w:b w:val="0"/>
                      <w:bCs/>
                      <w:color w:val="auto"/>
                      <w:sz w:val="21"/>
                      <w:szCs w:val="21"/>
                      <w:lang w:val="en-US" w:eastAsia="zh-CN"/>
                    </w:rPr>
                    <w:t>于2024年12月16日</w:t>
                  </w:r>
                  <w:r>
                    <w:rPr>
                      <w:rFonts w:hint="default" w:ascii="Times New Roman" w:hAnsi="Times New Roman" w:eastAsia="宋体" w:cs="Times New Roman"/>
                      <w:color w:val="auto"/>
                      <w:kern w:val="2"/>
                      <w:sz w:val="21"/>
                      <w:szCs w:val="21"/>
                      <w:lang w:val="en-US" w:eastAsia="zh-CN" w:bidi="ar-SA"/>
                    </w:rPr>
                    <w:t>在</w:t>
                  </w:r>
                  <w:r>
                    <w:rPr>
                      <w:rFonts w:hint="default" w:ascii="Times New Roman" w:hAnsi="Times New Roman" w:eastAsia="宋体" w:cs="Times New Roman"/>
                      <w:color w:val="auto"/>
                      <w:sz w:val="21"/>
                      <w:szCs w:val="21"/>
                      <w:lang w:eastAsia="zh-CN"/>
                    </w:rPr>
                    <w:t>金坛经济开发区经济发展局</w:t>
                  </w:r>
                  <w:r>
                    <w:rPr>
                      <w:rFonts w:hint="default" w:ascii="Times New Roman" w:hAnsi="Times New Roman" w:eastAsia="宋体" w:cs="Times New Roman"/>
                      <w:color w:val="auto"/>
                      <w:kern w:val="2"/>
                      <w:sz w:val="21"/>
                      <w:szCs w:val="21"/>
                      <w:lang w:val="en-US" w:eastAsia="zh-CN" w:bidi="ar-SA"/>
                    </w:rPr>
                    <w:t>进行了备案（</w:t>
                  </w:r>
                  <w:r>
                    <w:rPr>
                      <w:rFonts w:hint="default" w:ascii="Times New Roman" w:hAnsi="Times New Roman" w:eastAsia="宋体" w:cs="Times New Roman"/>
                      <w:color w:val="auto"/>
                      <w:sz w:val="21"/>
                      <w:szCs w:val="21"/>
                      <w:lang w:eastAsia="zh-CN"/>
                    </w:rPr>
                    <w:t>坛开经发备字(2024)278号</w:t>
                  </w:r>
                  <w:r>
                    <w:rPr>
                      <w:rFonts w:hint="default" w:ascii="Times New Roman" w:hAnsi="Times New Roman" w:eastAsia="宋体" w:cs="Times New Roman"/>
                      <w:color w:val="auto"/>
                      <w:kern w:val="2"/>
                      <w:sz w:val="21"/>
                      <w:szCs w:val="21"/>
                      <w:lang w:val="en-US" w:eastAsia="zh-CN" w:bidi="ar-SA"/>
                    </w:rPr>
                    <w:t>，见附件1），符合区域产业政策</w:t>
                  </w:r>
                  <w:r>
                    <w:rPr>
                      <w:rFonts w:hint="default" w:ascii="Times New Roman" w:hAnsi="Times New Roman" w:eastAsia="宋体" w:cs="Times New Roman"/>
                      <w:color w:val="auto"/>
                      <w:kern w:val="2"/>
                      <w:sz w:val="21"/>
                      <w:szCs w:val="21"/>
                      <w:lang w:val="en-US" w:eastAsia="zh-CN" w:bidi="ar-SA"/>
                    </w:rPr>
                    <w:tab/>
                  </w:r>
                </w:p>
              </w:tc>
              <w:tc>
                <w:tcPr>
                  <w:tcW w:w="525" w:type="pct"/>
                  <w:tcBorders>
                    <w:top w:val="single" w:color="auto" w:sz="2" w:space="0"/>
                    <w:bottom w:val="single" w:color="auto" w:sz="2" w:space="0"/>
                  </w:tcBorders>
                  <w:vAlign w:val="center"/>
                </w:tcPr>
                <w:p w14:paraId="206B675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是</w:t>
                  </w:r>
                </w:p>
              </w:tc>
            </w:tr>
          </w:tbl>
          <w:p w14:paraId="298353C4">
            <w:pPr>
              <w:keepNext w:val="0"/>
              <w:keepLines w:val="0"/>
              <w:pageBreakBefore w:val="0"/>
              <w:widowControl w:val="0"/>
              <w:kinsoku/>
              <w:wordWrap/>
              <w:overflowPunct/>
              <w:topLinePunct w:val="0"/>
              <w:bidi w:val="0"/>
              <w:snapToGrid w:val="0"/>
              <w:spacing w:line="360" w:lineRule="auto"/>
              <w:textAlignment w:val="auto"/>
              <w:rPr>
                <w:rFonts w:hint="default" w:ascii="Times New Roman" w:hAnsi="Times New Roman" w:eastAsia="宋体" w:cs="Times New Roman"/>
                <w:b/>
                <w:bCs w:val="0"/>
                <w:color w:val="auto"/>
                <w:sz w:val="24"/>
                <w:lang w:eastAsia="zh-CN"/>
              </w:rPr>
            </w:pPr>
            <w:r>
              <w:rPr>
                <w:rFonts w:hint="default" w:ascii="Times New Roman" w:hAnsi="Times New Roman" w:eastAsia="宋体" w:cs="Times New Roman"/>
                <w:b/>
                <w:color w:val="auto"/>
                <w:sz w:val="24"/>
                <w:lang w:val="en-US" w:eastAsia="zh-CN"/>
              </w:rPr>
              <w:t>2</w:t>
            </w:r>
            <w:r>
              <w:rPr>
                <w:rFonts w:hint="default" w:ascii="Times New Roman" w:hAnsi="Times New Roman" w:eastAsia="宋体" w:cs="Times New Roman"/>
                <w:b/>
                <w:color w:val="auto"/>
                <w:sz w:val="24"/>
              </w:rPr>
              <w:t>、</w:t>
            </w:r>
            <w:r>
              <w:rPr>
                <w:rFonts w:hint="default" w:ascii="Times New Roman" w:hAnsi="Times New Roman" w:eastAsia="宋体" w:cs="Times New Roman"/>
                <w:b/>
                <w:bCs w:val="0"/>
                <w:color w:val="auto"/>
                <w:sz w:val="24"/>
                <w:lang w:eastAsia="zh-CN"/>
              </w:rPr>
              <w:t>与金坛区</w:t>
            </w:r>
            <w:r>
              <w:rPr>
                <w:rFonts w:hint="default" w:ascii="Times New Roman" w:hAnsi="Times New Roman" w:eastAsia="宋体" w:cs="Times New Roman"/>
                <w:b/>
                <w:bCs w:val="0"/>
                <w:color w:val="auto"/>
                <w:sz w:val="24"/>
                <w:lang w:val="en-US" w:eastAsia="zh-CN"/>
              </w:rPr>
              <w:t>“</w:t>
            </w:r>
            <w:r>
              <w:rPr>
                <w:rFonts w:hint="default" w:ascii="Times New Roman" w:hAnsi="Times New Roman" w:eastAsia="宋体" w:cs="Times New Roman"/>
                <w:b/>
                <w:bCs w:val="0"/>
                <w:color w:val="auto"/>
                <w:sz w:val="24"/>
                <w:lang w:eastAsia="zh-CN"/>
              </w:rPr>
              <w:t>三区三线</w:t>
            </w:r>
            <w:r>
              <w:rPr>
                <w:rFonts w:hint="default" w:ascii="Times New Roman" w:hAnsi="Times New Roman" w:eastAsia="宋体" w:cs="Times New Roman"/>
                <w:b/>
                <w:bCs w:val="0"/>
                <w:color w:val="auto"/>
                <w:sz w:val="24"/>
                <w:lang w:val="en-US" w:eastAsia="zh-CN"/>
              </w:rPr>
              <w:t>”相符性分析。</w:t>
            </w:r>
          </w:p>
          <w:p w14:paraId="3A0F5BD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color w:val="auto"/>
                <w:sz w:val="24"/>
                <w:lang w:val="en-US" w:eastAsia="zh-CN"/>
              </w:rPr>
              <w:t>金坛区“</w:t>
            </w:r>
            <w:r>
              <w:rPr>
                <w:rFonts w:hint="default" w:ascii="Times New Roman" w:hAnsi="Times New Roman" w:eastAsia="宋体" w:cs="Times New Roman"/>
                <w:color w:val="auto"/>
                <w:sz w:val="24"/>
                <w:lang w:eastAsia="zh-CN"/>
              </w:rPr>
              <w:t>三区三线</w:t>
            </w:r>
            <w:r>
              <w:rPr>
                <w:rFonts w:hint="default" w:ascii="Times New Roman" w:hAnsi="Times New Roman" w:eastAsia="宋体" w:cs="Times New Roman"/>
                <w:color w:val="auto"/>
                <w:sz w:val="24"/>
                <w:lang w:val="en-US" w:eastAsia="zh-CN"/>
              </w:rPr>
              <w:t>”划定成果已正式启用，</w:t>
            </w:r>
            <w:r>
              <w:rPr>
                <w:rFonts w:hint="default" w:ascii="Times New Roman" w:hAnsi="Times New Roman" w:eastAsia="宋体" w:cs="Times New Roman"/>
                <w:color w:val="auto"/>
                <w:sz w:val="24"/>
                <w:lang w:eastAsia="zh-CN"/>
              </w:rPr>
              <w:t>共划定耕地保护目标图斑31.3788万亩，永久基本农田28.264万亩，生态保护红线98.67平方公里，城镇开发边界115.67平方公里。</w:t>
            </w:r>
            <w:r>
              <w:rPr>
                <w:rFonts w:hint="default" w:ascii="Times New Roman" w:hAnsi="Times New Roman" w:eastAsia="宋体" w:cs="Times New Roman"/>
                <w:color w:val="auto"/>
                <w:sz w:val="24"/>
                <w:lang w:val="en-US" w:eastAsia="zh-CN"/>
              </w:rPr>
              <w:t>本项目位于</w:t>
            </w:r>
            <w:r>
              <w:rPr>
                <w:rFonts w:hint="default" w:ascii="Times New Roman" w:hAnsi="Times New Roman" w:eastAsia="宋体" w:cs="Times New Roman"/>
                <w:color w:val="auto"/>
                <w:sz w:val="24"/>
                <w:lang w:eastAsia="zh-CN"/>
              </w:rPr>
              <w:t>常州市金坛区龙湖路10号</w:t>
            </w:r>
            <w:r>
              <w:rPr>
                <w:rFonts w:hint="default" w:ascii="Times New Roman" w:hAnsi="Times New Roman" w:eastAsia="宋体" w:cs="Times New Roman"/>
                <w:color w:val="auto"/>
                <w:sz w:val="24"/>
                <w:lang w:val="en-US" w:eastAsia="zh-CN"/>
              </w:rPr>
              <w:t>，属于工业用地，不属于</w:t>
            </w:r>
            <w:r>
              <w:rPr>
                <w:rFonts w:hint="default" w:ascii="Times New Roman" w:hAnsi="Times New Roman" w:eastAsia="宋体" w:cs="Times New Roman"/>
                <w:color w:val="auto"/>
                <w:sz w:val="24"/>
                <w:lang w:eastAsia="zh-CN"/>
              </w:rPr>
              <w:t>永久基本农田、生态保护红线范围。</w:t>
            </w:r>
          </w:p>
          <w:p w14:paraId="4395689D">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color w:val="auto"/>
                <w:sz w:val="24"/>
                <w:lang w:val="en-US" w:eastAsia="zh-CN"/>
              </w:rPr>
              <w:t>3</w:t>
            </w:r>
            <w:r>
              <w:rPr>
                <w:rFonts w:hint="default" w:ascii="Times New Roman" w:hAnsi="Times New Roman" w:eastAsia="宋体" w:cs="Times New Roman"/>
                <w:b/>
                <w:color w:val="auto"/>
                <w:sz w:val="24"/>
              </w:rPr>
              <w:t>、</w:t>
            </w:r>
            <w:r>
              <w:rPr>
                <w:rFonts w:hint="default" w:ascii="Times New Roman" w:hAnsi="Times New Roman" w:eastAsia="宋体" w:cs="Times New Roman"/>
                <w:b/>
                <w:bCs/>
                <w:color w:val="auto"/>
                <w:sz w:val="24"/>
              </w:rPr>
              <w:t>与</w:t>
            </w:r>
            <w:r>
              <w:rPr>
                <w:rFonts w:hint="default" w:ascii="Times New Roman" w:hAnsi="Times New Roman" w:eastAsia="宋体" w:cs="Times New Roman"/>
                <w:b/>
                <w:bCs/>
                <w:color w:val="auto"/>
                <w:sz w:val="24"/>
                <w:lang w:eastAsia="zh-CN"/>
              </w:rPr>
              <w:t>《江苏省2023年度生态环境分区管控动态更新成果公告》</w:t>
            </w:r>
            <w:r>
              <w:rPr>
                <w:rFonts w:hint="default" w:ascii="Times New Roman" w:hAnsi="Times New Roman" w:eastAsia="宋体" w:cs="Times New Roman"/>
                <w:b/>
                <w:bCs/>
                <w:color w:val="auto"/>
                <w:sz w:val="24"/>
              </w:rPr>
              <w:t>相符性分析</w:t>
            </w:r>
          </w:p>
          <w:p w14:paraId="1E4EB5C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本项目位于</w:t>
            </w:r>
            <w:r>
              <w:rPr>
                <w:rFonts w:hint="default" w:ascii="Times New Roman" w:hAnsi="Times New Roman" w:eastAsia="宋体" w:cs="Times New Roman"/>
                <w:color w:val="auto"/>
                <w:sz w:val="24"/>
                <w:lang w:eastAsia="zh-CN"/>
              </w:rPr>
              <w:t>常州市金坛区龙湖路10号</w:t>
            </w:r>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rPr>
              <w:t>对照《江苏省2023年生态环境分区管控成果动态更新工作方案》可知，项目位于重点管控单元，其重点管控要求与本项目的相符性分析见下表</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auto"/>
                <w:sz w:val="24"/>
              </w:rPr>
              <w:t>其重点管控要求与本项目的相符性分析见</w:t>
            </w:r>
            <w:r>
              <w:rPr>
                <w:rFonts w:hint="default" w:ascii="Times New Roman" w:hAnsi="Times New Roman" w:eastAsia="宋体" w:cs="Times New Roman"/>
                <w:bCs/>
                <w:color w:val="auto"/>
                <w:sz w:val="24"/>
                <w:lang w:val="en-US" w:eastAsia="zh-CN"/>
              </w:rPr>
              <w:t>下表</w:t>
            </w:r>
            <w:r>
              <w:rPr>
                <w:rFonts w:hint="default" w:ascii="Times New Roman" w:hAnsi="Times New Roman" w:eastAsia="宋体" w:cs="Times New Roman"/>
                <w:bCs/>
                <w:color w:val="auto"/>
                <w:sz w:val="24"/>
              </w:rPr>
              <w:t>。</w:t>
            </w:r>
          </w:p>
          <w:p w14:paraId="502B937D">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p>
          <w:p w14:paraId="2D51AEEA">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p>
          <w:p w14:paraId="5328F229">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p>
          <w:p w14:paraId="66F2A90D">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p>
          <w:p w14:paraId="088B9545">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p>
          <w:p w14:paraId="69F68BB1">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3与《</w:t>
            </w:r>
            <w:r>
              <w:rPr>
                <w:rFonts w:hint="default" w:ascii="Times New Roman" w:hAnsi="Times New Roman" w:eastAsia="宋体" w:cs="Times New Roman"/>
                <w:b/>
                <w:bCs/>
                <w:color w:val="auto"/>
                <w:szCs w:val="21"/>
              </w:rPr>
              <w:t>江苏省2023年生态环境分区管控成果动态更新工作方案</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Cs w:val="21"/>
                <w:lang w:val="en-US" w:eastAsia="zh-CN"/>
              </w:rPr>
              <w:t>相符性分析</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94"/>
              <w:gridCol w:w="555"/>
              <w:gridCol w:w="3765"/>
              <w:gridCol w:w="2593"/>
              <w:gridCol w:w="688"/>
            </w:tblGrid>
            <w:tr w14:paraId="5C1849C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noWrap w:val="0"/>
                  <w:tcMar>
                    <w:top w:w="0" w:type="dxa"/>
                    <w:left w:w="0" w:type="dxa"/>
                    <w:bottom w:w="0" w:type="dxa"/>
                    <w:right w:w="0" w:type="dxa"/>
                  </w:tcMar>
                  <w:vAlign w:val="center"/>
                </w:tcPr>
                <w:p w14:paraId="2C14CE39">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2667" w:type="pct"/>
                  <w:gridSpan w:val="2"/>
                  <w:noWrap w:val="0"/>
                  <w:tcMar>
                    <w:top w:w="0" w:type="dxa"/>
                    <w:left w:w="0" w:type="dxa"/>
                    <w:bottom w:w="0" w:type="dxa"/>
                    <w:right w:w="0" w:type="dxa"/>
                  </w:tcMar>
                  <w:vAlign w:val="center"/>
                </w:tcPr>
                <w:p w14:paraId="2BC59451">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管控要求</w:t>
                  </w:r>
                </w:p>
              </w:tc>
              <w:tc>
                <w:tcPr>
                  <w:tcW w:w="1601" w:type="pct"/>
                  <w:noWrap w:val="0"/>
                  <w:tcMar>
                    <w:top w:w="0" w:type="dxa"/>
                    <w:left w:w="0" w:type="dxa"/>
                    <w:bottom w:w="0" w:type="dxa"/>
                    <w:right w:w="0" w:type="dxa"/>
                  </w:tcMar>
                  <w:vAlign w:val="center"/>
                </w:tcPr>
                <w:p w14:paraId="60DB61DC">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本项目相关内容</w:t>
                  </w:r>
                </w:p>
              </w:tc>
              <w:tc>
                <w:tcPr>
                  <w:tcW w:w="425" w:type="pct"/>
                  <w:noWrap w:val="0"/>
                  <w:tcMar>
                    <w:top w:w="0" w:type="dxa"/>
                    <w:left w:w="0" w:type="dxa"/>
                    <w:bottom w:w="0" w:type="dxa"/>
                    <w:right w:w="0" w:type="dxa"/>
                  </w:tcMar>
                  <w:vAlign w:val="center"/>
                </w:tcPr>
                <w:p w14:paraId="2A877730">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相符性</w:t>
                  </w:r>
                </w:p>
              </w:tc>
            </w:tr>
            <w:tr w14:paraId="3E15895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5" w:hRule="atLeast"/>
                <w:jc w:val="center"/>
              </w:trPr>
              <w:tc>
                <w:tcPr>
                  <w:tcW w:w="305" w:type="pct"/>
                  <w:vMerge w:val="restart"/>
                  <w:noWrap w:val="0"/>
                  <w:tcMar>
                    <w:top w:w="0" w:type="dxa"/>
                    <w:left w:w="0" w:type="dxa"/>
                    <w:bottom w:w="0" w:type="dxa"/>
                    <w:right w:w="0" w:type="dxa"/>
                  </w:tcMar>
                  <w:vAlign w:val="center"/>
                </w:tcPr>
                <w:p w14:paraId="253CF82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343" w:type="pct"/>
                  <w:vMerge w:val="restart"/>
                  <w:noWrap w:val="0"/>
                  <w:tcMar>
                    <w:top w:w="0" w:type="dxa"/>
                    <w:left w:w="0" w:type="dxa"/>
                    <w:bottom w:w="0" w:type="dxa"/>
                    <w:right w:w="0" w:type="dxa"/>
                  </w:tcMar>
                  <w:vAlign w:val="center"/>
                </w:tcPr>
                <w:p w14:paraId="62AC37B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空间布局约束</w:t>
                  </w:r>
                </w:p>
              </w:tc>
              <w:tc>
                <w:tcPr>
                  <w:tcW w:w="2324" w:type="pct"/>
                  <w:noWrap w:val="0"/>
                  <w:tcMar>
                    <w:top w:w="0" w:type="dxa"/>
                    <w:left w:w="0" w:type="dxa"/>
                    <w:bottom w:w="0" w:type="dxa"/>
                    <w:right w:w="0" w:type="dxa"/>
                  </w:tcMar>
                  <w:vAlign w:val="center"/>
                </w:tcPr>
                <w:p w14:paraId="18C2817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1．按照《自然资源部 生态环境部 国家林业和草原局关于加强生态保护红线管理的通知（试行）》（自然资发〔2022〕</w:t>
                  </w:r>
                </w:p>
                <w:p w14:paraId="1DE059A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142号）、《省政府关于印发江苏省生态空间管控区域规划的通知》（苏政发〔2020〕1号）、《关于进一步加强生态保护红线监督管理的通知》（苏自然函</w:t>
                  </w:r>
                  <w:r>
                    <w:rPr>
                      <w:rFonts w:hint="default" w:ascii="Times New Roman" w:hAnsi="Times New Roman" w:eastAsia="宋体" w:cs="Times New Roman"/>
                      <w:color w:val="auto"/>
                      <w:szCs w:val="21"/>
                      <w:lang w:eastAsia="zh-CN"/>
                    </w:rPr>
                    <w:t>〔2023〕880号</w:t>
                  </w:r>
                  <w:r>
                    <w:rPr>
                      <w:rFonts w:hint="default" w:ascii="Times New Roman" w:hAnsi="Times New Roman" w:eastAsia="宋体" w:cs="Times New Roman"/>
                      <w:color w:val="auto"/>
                      <w:szCs w:val="21"/>
                    </w:rPr>
                    <w:t>）、《江苏省国土空间规划（2021—2035年）》（国函〔2023〕</w:t>
                  </w:r>
                </w:p>
                <w:p w14:paraId="232F97A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69号），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生态安全。生态保护红线不低于1.82万平方千米，其中海洋生态保护红线不低于0.95万平方千米。</w:t>
                  </w:r>
                </w:p>
              </w:tc>
              <w:tc>
                <w:tcPr>
                  <w:tcW w:w="1601" w:type="pct"/>
                  <w:noWrap w:val="0"/>
                  <w:tcMar>
                    <w:top w:w="0" w:type="dxa"/>
                    <w:left w:w="0" w:type="dxa"/>
                    <w:bottom w:w="0" w:type="dxa"/>
                    <w:right w:w="0" w:type="dxa"/>
                  </w:tcMar>
                  <w:vAlign w:val="center"/>
                </w:tcPr>
                <w:p w14:paraId="11EC317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本项目不在生态保护红线范围内，项目实施后，不会使生态功能降低、不会影响生态空间面积、不会改变生态空间性质。</w:t>
                  </w:r>
                </w:p>
              </w:tc>
              <w:tc>
                <w:tcPr>
                  <w:tcW w:w="425" w:type="pct"/>
                  <w:noWrap w:val="0"/>
                  <w:tcMar>
                    <w:top w:w="0" w:type="dxa"/>
                    <w:left w:w="0" w:type="dxa"/>
                    <w:bottom w:w="0" w:type="dxa"/>
                    <w:right w:w="0" w:type="dxa"/>
                  </w:tcMar>
                  <w:vAlign w:val="center"/>
                </w:tcPr>
                <w:p w14:paraId="51D1458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07960F4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5" w:hRule="atLeast"/>
                <w:jc w:val="center"/>
              </w:trPr>
              <w:tc>
                <w:tcPr>
                  <w:tcW w:w="305" w:type="pct"/>
                  <w:vMerge w:val="continue"/>
                  <w:noWrap w:val="0"/>
                  <w:tcMar>
                    <w:top w:w="0" w:type="dxa"/>
                    <w:left w:w="0" w:type="dxa"/>
                    <w:bottom w:w="0" w:type="dxa"/>
                    <w:right w:w="0" w:type="dxa"/>
                  </w:tcMar>
                  <w:vAlign w:val="center"/>
                </w:tcPr>
                <w:p w14:paraId="5D19B232">
                  <w:pPr>
                    <w:jc w:val="center"/>
                    <w:rPr>
                      <w:rFonts w:hint="default" w:ascii="Times New Roman" w:hAnsi="Times New Roman" w:eastAsia="宋体" w:cs="Times New Roman"/>
                      <w:color w:val="auto"/>
                    </w:rPr>
                  </w:pPr>
                </w:p>
              </w:tc>
              <w:tc>
                <w:tcPr>
                  <w:tcW w:w="343" w:type="pct"/>
                  <w:vMerge w:val="continue"/>
                  <w:noWrap w:val="0"/>
                  <w:tcMar>
                    <w:top w:w="0" w:type="dxa"/>
                    <w:left w:w="0" w:type="dxa"/>
                    <w:bottom w:w="0" w:type="dxa"/>
                    <w:right w:w="0" w:type="dxa"/>
                  </w:tcMar>
                  <w:vAlign w:val="center"/>
                </w:tcPr>
                <w:p w14:paraId="25910BE7">
                  <w:pPr>
                    <w:jc w:val="center"/>
                    <w:rPr>
                      <w:rFonts w:hint="default" w:ascii="Times New Roman" w:hAnsi="Times New Roman" w:eastAsia="宋体" w:cs="Times New Roman"/>
                      <w:color w:val="auto"/>
                    </w:rPr>
                  </w:pPr>
                </w:p>
              </w:tc>
              <w:tc>
                <w:tcPr>
                  <w:tcW w:w="2324" w:type="pct"/>
                  <w:noWrap w:val="0"/>
                  <w:tcMar>
                    <w:top w:w="0" w:type="dxa"/>
                    <w:left w:w="0" w:type="dxa"/>
                    <w:bottom w:w="0" w:type="dxa"/>
                    <w:right w:w="0" w:type="dxa"/>
                  </w:tcMar>
                  <w:vAlign w:val="center"/>
                </w:tcPr>
                <w:p w14:paraId="78F5919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牢牢把握推动长江经济带发展“共抓大保护，不搞大开发”战略导向，对省域范围内需要重点保护的岸线、河段和区域实行严格管控，管住控好排放量大、耗能高、产能过剩的产业，推动长江经济带高质量发展。</w:t>
                  </w:r>
                </w:p>
              </w:tc>
              <w:tc>
                <w:tcPr>
                  <w:tcW w:w="1601" w:type="pct"/>
                  <w:noWrap w:val="0"/>
                  <w:tcMar>
                    <w:top w:w="0" w:type="dxa"/>
                    <w:left w:w="0" w:type="dxa"/>
                    <w:bottom w:w="0" w:type="dxa"/>
                    <w:right w:w="0" w:type="dxa"/>
                  </w:tcMar>
                  <w:vAlign w:val="center"/>
                </w:tcPr>
                <w:p w14:paraId="70404AF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本项目不在重点保护的岸线、河段、区域范围内，不属于排放量</w:t>
                  </w:r>
                  <w:r>
                    <w:rPr>
                      <w:rFonts w:hint="default" w:ascii="Times New Roman" w:hAnsi="Times New Roman" w:eastAsia="宋体" w:cs="Times New Roman"/>
                      <w:color w:val="auto"/>
                      <w:szCs w:val="21"/>
                      <w:lang w:val="en-US" w:eastAsia="zh-CN"/>
                    </w:rPr>
                    <w:t>大</w:t>
                  </w:r>
                  <w:r>
                    <w:rPr>
                      <w:rFonts w:hint="default" w:ascii="Times New Roman" w:hAnsi="Times New Roman" w:eastAsia="宋体" w:cs="Times New Roman"/>
                      <w:color w:val="auto"/>
                      <w:szCs w:val="21"/>
                    </w:rPr>
                    <w:t>、耗能高、产能过剩的产业。</w:t>
                  </w:r>
                </w:p>
              </w:tc>
              <w:tc>
                <w:tcPr>
                  <w:tcW w:w="425" w:type="pct"/>
                  <w:noWrap w:val="0"/>
                  <w:tcMar>
                    <w:top w:w="0" w:type="dxa"/>
                    <w:left w:w="0" w:type="dxa"/>
                    <w:bottom w:w="0" w:type="dxa"/>
                    <w:right w:w="0" w:type="dxa"/>
                  </w:tcMar>
                  <w:vAlign w:val="center"/>
                </w:tcPr>
                <w:p w14:paraId="0AC1902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4871A58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5" w:hRule="atLeast"/>
                <w:jc w:val="center"/>
              </w:trPr>
              <w:tc>
                <w:tcPr>
                  <w:tcW w:w="305" w:type="pct"/>
                  <w:vMerge w:val="continue"/>
                  <w:noWrap w:val="0"/>
                  <w:tcMar>
                    <w:top w:w="0" w:type="dxa"/>
                    <w:left w:w="0" w:type="dxa"/>
                    <w:bottom w:w="0" w:type="dxa"/>
                    <w:right w:w="0" w:type="dxa"/>
                  </w:tcMar>
                  <w:vAlign w:val="center"/>
                </w:tcPr>
                <w:p w14:paraId="13ACC149">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3C094664">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19D502C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大幅压减沿长江干支流两侧1公里范围内、环境敏感区域、城镇人口密集区、化工园区外和规模以下化工生产企业，着力破解“重化围江”突出问题，高起点同步推进沿江地区战略性转型和沿海地区战略性布局。</w:t>
                  </w:r>
                </w:p>
              </w:tc>
              <w:tc>
                <w:tcPr>
                  <w:tcW w:w="1601" w:type="pct"/>
                  <w:noWrap w:val="0"/>
                  <w:tcMar>
                    <w:top w:w="0" w:type="dxa"/>
                    <w:left w:w="0" w:type="dxa"/>
                    <w:bottom w:w="0" w:type="dxa"/>
                    <w:right w:w="0" w:type="dxa"/>
                  </w:tcMar>
                  <w:vAlign w:val="center"/>
                </w:tcPr>
                <w:p w14:paraId="748DDE1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本项目不在长江干支流两侧1公里范围内。</w:t>
                  </w:r>
                </w:p>
              </w:tc>
              <w:tc>
                <w:tcPr>
                  <w:tcW w:w="425" w:type="pct"/>
                  <w:noWrap w:val="0"/>
                  <w:tcMar>
                    <w:top w:w="0" w:type="dxa"/>
                    <w:left w:w="0" w:type="dxa"/>
                    <w:bottom w:w="0" w:type="dxa"/>
                    <w:right w:w="0" w:type="dxa"/>
                  </w:tcMar>
                  <w:vAlign w:val="center"/>
                </w:tcPr>
                <w:p w14:paraId="7927963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04CC263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85" w:hRule="atLeast"/>
                <w:jc w:val="center"/>
              </w:trPr>
              <w:tc>
                <w:tcPr>
                  <w:tcW w:w="305" w:type="pct"/>
                  <w:vMerge w:val="continue"/>
                  <w:noWrap w:val="0"/>
                  <w:tcMar>
                    <w:top w:w="0" w:type="dxa"/>
                    <w:left w:w="0" w:type="dxa"/>
                    <w:bottom w:w="0" w:type="dxa"/>
                    <w:right w:w="0" w:type="dxa"/>
                  </w:tcMar>
                  <w:vAlign w:val="center"/>
                </w:tcPr>
                <w:p w14:paraId="388D035A">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72565A0F">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11130D2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全省钢铁行业坚持布局调整和产能整合相结合，坚持企业搬迁与转型升级相结合，鼓励有条件的企业实施跨地区、跨所有制的兼并重组，高起点、高标准规划建设沿海精品钢基地，做精做优沿江特钢产业基地，加快推动全省钢铁行业转型升级优化布局。</w:t>
                  </w:r>
                </w:p>
              </w:tc>
              <w:tc>
                <w:tcPr>
                  <w:tcW w:w="1601" w:type="pct"/>
                  <w:noWrap w:val="0"/>
                  <w:tcMar>
                    <w:top w:w="0" w:type="dxa"/>
                    <w:left w:w="0" w:type="dxa"/>
                    <w:bottom w:w="0" w:type="dxa"/>
                    <w:right w:w="0" w:type="dxa"/>
                  </w:tcMar>
                  <w:vAlign w:val="center"/>
                </w:tcPr>
                <w:p w14:paraId="007815A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本项目不属于钢铁行业。</w:t>
                  </w:r>
                </w:p>
              </w:tc>
              <w:tc>
                <w:tcPr>
                  <w:tcW w:w="425" w:type="pct"/>
                  <w:noWrap w:val="0"/>
                  <w:tcMar>
                    <w:top w:w="0" w:type="dxa"/>
                    <w:left w:w="0" w:type="dxa"/>
                    <w:bottom w:w="0" w:type="dxa"/>
                    <w:right w:w="0" w:type="dxa"/>
                  </w:tcMar>
                  <w:vAlign w:val="center"/>
                </w:tcPr>
                <w:p w14:paraId="2344A8C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6EADAE1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1BB9EB93">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10A19963">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5CCE41E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对列入国家和省规划，涉及生态保护红线和相关法定保护区的重大民生项目、重大基础设施项目（交通基础设施项目等），应优化空间布局（选线）、主动避让；确实无法避让的，应采取无害化方式（如无害化穿、跨越方式等），依法依规履行行政审批手续，强化减缓生态环境影响和生态补偿措施。</w:t>
                  </w:r>
                </w:p>
              </w:tc>
              <w:tc>
                <w:tcPr>
                  <w:tcW w:w="1601" w:type="pct"/>
                  <w:noWrap w:val="0"/>
                  <w:tcMar>
                    <w:top w:w="0" w:type="dxa"/>
                    <w:left w:w="0" w:type="dxa"/>
                    <w:bottom w:w="0" w:type="dxa"/>
                    <w:right w:w="0" w:type="dxa"/>
                  </w:tcMar>
                  <w:vAlign w:val="center"/>
                </w:tcPr>
                <w:p w14:paraId="3A84814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本项目不涉及生态保护红线、相关法定保护区的重大民生项目、重大基础设施项目。</w:t>
                  </w:r>
                </w:p>
              </w:tc>
              <w:tc>
                <w:tcPr>
                  <w:tcW w:w="425" w:type="pct"/>
                  <w:noWrap w:val="0"/>
                  <w:tcMar>
                    <w:top w:w="0" w:type="dxa"/>
                    <w:left w:w="0" w:type="dxa"/>
                    <w:bottom w:w="0" w:type="dxa"/>
                    <w:right w:w="0" w:type="dxa"/>
                  </w:tcMar>
                  <w:vAlign w:val="center"/>
                </w:tcPr>
                <w:p w14:paraId="4350B74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761F9309">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restart"/>
                  <w:noWrap w:val="0"/>
                  <w:tcMar>
                    <w:top w:w="0" w:type="dxa"/>
                    <w:left w:w="0" w:type="dxa"/>
                    <w:bottom w:w="0" w:type="dxa"/>
                    <w:right w:w="0" w:type="dxa"/>
                  </w:tcMar>
                  <w:vAlign w:val="center"/>
                </w:tcPr>
                <w:p w14:paraId="4E4CC41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343" w:type="pct"/>
                  <w:vMerge w:val="restart"/>
                  <w:noWrap w:val="0"/>
                  <w:tcMar>
                    <w:top w:w="0" w:type="dxa"/>
                    <w:left w:w="0" w:type="dxa"/>
                    <w:bottom w:w="0" w:type="dxa"/>
                    <w:right w:w="0" w:type="dxa"/>
                  </w:tcMar>
                  <w:vAlign w:val="center"/>
                </w:tcPr>
                <w:p w14:paraId="76D51EC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污染物排放管控</w:t>
                  </w:r>
                </w:p>
              </w:tc>
              <w:tc>
                <w:tcPr>
                  <w:tcW w:w="2324" w:type="pct"/>
                  <w:noWrap w:val="0"/>
                  <w:tcMar>
                    <w:top w:w="0" w:type="dxa"/>
                    <w:left w:w="0" w:type="dxa"/>
                    <w:bottom w:w="0" w:type="dxa"/>
                    <w:right w:w="0" w:type="dxa"/>
                  </w:tcMar>
                  <w:vAlign w:val="center"/>
                </w:tcPr>
                <w:p w14:paraId="55E3E8D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1．坚持生态环境质量只能更好、不能变坏，实施污染物总量控制，以环境容量定产业、定项目、定规模，确保开发建设行为不突破生态环境承载力。</w:t>
                  </w:r>
                </w:p>
              </w:tc>
              <w:tc>
                <w:tcPr>
                  <w:tcW w:w="1601" w:type="pct"/>
                  <w:noWrap w:val="0"/>
                  <w:tcMar>
                    <w:top w:w="0" w:type="dxa"/>
                    <w:left w:w="0" w:type="dxa"/>
                    <w:bottom w:w="0" w:type="dxa"/>
                    <w:right w:w="0" w:type="dxa"/>
                  </w:tcMar>
                  <w:vAlign w:val="center"/>
                </w:tcPr>
                <w:p w14:paraId="5BEFE5A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本项目将按要求向常州市金坛生态环境局申请总量。</w:t>
                  </w:r>
                </w:p>
              </w:tc>
              <w:tc>
                <w:tcPr>
                  <w:tcW w:w="425" w:type="pct"/>
                  <w:noWrap w:val="0"/>
                  <w:tcMar>
                    <w:top w:w="0" w:type="dxa"/>
                    <w:left w:w="0" w:type="dxa"/>
                    <w:bottom w:w="0" w:type="dxa"/>
                    <w:right w:w="0" w:type="dxa"/>
                  </w:tcMar>
                  <w:vAlign w:val="center"/>
                </w:tcPr>
                <w:p w14:paraId="56E81B2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1F65CC5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5E4C763C">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21B2F75E">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6EEC7BF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2025年，主要污染物排放减排完成国家下达任务，单位工业增加值二氧化碳排放量下降20%，主要高耗能行业单位产品二氧化碳排放达到世界先进水平。实施氮氧化物（NOx）和VOCs协同减排，推进多污染物和关联区域</w:t>
                  </w:r>
                  <w:r>
                    <w:rPr>
                      <w:rFonts w:hint="default" w:ascii="Times New Roman" w:hAnsi="Times New Roman" w:eastAsia="宋体" w:cs="Times New Roman"/>
                      <w:color w:val="auto"/>
                      <w:szCs w:val="21"/>
                      <w:lang w:eastAsia="zh-CN"/>
                    </w:rPr>
                    <w:t>联</w:t>
                  </w:r>
                  <w:r>
                    <w:rPr>
                      <w:rFonts w:hint="default" w:ascii="Times New Roman" w:hAnsi="Times New Roman" w:eastAsia="宋体" w:cs="Times New Roman"/>
                      <w:color w:val="auto"/>
                      <w:szCs w:val="21"/>
                    </w:rPr>
                    <w:t>防联控。</w:t>
                  </w:r>
                </w:p>
              </w:tc>
              <w:tc>
                <w:tcPr>
                  <w:tcW w:w="1601" w:type="pct"/>
                  <w:noWrap w:val="0"/>
                  <w:tcMar>
                    <w:top w:w="0" w:type="dxa"/>
                    <w:left w:w="0" w:type="dxa"/>
                    <w:bottom w:w="0" w:type="dxa"/>
                    <w:right w:w="0" w:type="dxa"/>
                  </w:tcMar>
                  <w:vAlign w:val="center"/>
                </w:tcPr>
                <w:p w14:paraId="4F9B55B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本项目不属于高能耗工业，本项目有机废气经集气罩收集后进入二级活性炭吸附装置处理。</w:t>
                  </w:r>
                </w:p>
              </w:tc>
              <w:tc>
                <w:tcPr>
                  <w:tcW w:w="425" w:type="pct"/>
                  <w:noWrap w:val="0"/>
                  <w:tcMar>
                    <w:top w:w="0" w:type="dxa"/>
                    <w:left w:w="0" w:type="dxa"/>
                    <w:bottom w:w="0" w:type="dxa"/>
                    <w:right w:w="0" w:type="dxa"/>
                  </w:tcMar>
                  <w:vAlign w:val="center"/>
                </w:tcPr>
                <w:p w14:paraId="0107142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7171C87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restart"/>
                  <w:noWrap w:val="0"/>
                  <w:tcMar>
                    <w:top w:w="0" w:type="dxa"/>
                    <w:left w:w="0" w:type="dxa"/>
                    <w:bottom w:w="0" w:type="dxa"/>
                    <w:right w:w="0" w:type="dxa"/>
                  </w:tcMar>
                  <w:vAlign w:val="center"/>
                </w:tcPr>
                <w:p w14:paraId="6816DC8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343" w:type="pct"/>
                  <w:vMerge w:val="restart"/>
                  <w:noWrap w:val="0"/>
                  <w:tcMar>
                    <w:top w:w="0" w:type="dxa"/>
                    <w:left w:w="0" w:type="dxa"/>
                    <w:bottom w:w="0" w:type="dxa"/>
                    <w:right w:w="0" w:type="dxa"/>
                  </w:tcMar>
                  <w:vAlign w:val="center"/>
                </w:tcPr>
                <w:p w14:paraId="4092C07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环境风险防控</w:t>
                  </w:r>
                </w:p>
              </w:tc>
              <w:tc>
                <w:tcPr>
                  <w:tcW w:w="2324" w:type="pct"/>
                  <w:noWrap w:val="0"/>
                  <w:tcMar>
                    <w:top w:w="0" w:type="dxa"/>
                    <w:left w:w="0" w:type="dxa"/>
                    <w:bottom w:w="0" w:type="dxa"/>
                    <w:right w:w="0" w:type="dxa"/>
                  </w:tcMar>
                  <w:vAlign w:val="center"/>
                </w:tcPr>
                <w:p w14:paraId="211DA7E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强化化工行业环境风险管控。重点加强化学工业园区、涉及大宗危化品使用企业、贮存和运输危化品的港口码头、尾矿库、集中式污水处理厂、危废处理企业的环境风险防控；严厉打击危险废物非法转移、处置和倾倒行为；加强关闭搬迁化工企业及遗留地块的调查评估、风险管控、治理修复。</w:t>
                  </w:r>
                </w:p>
              </w:tc>
              <w:tc>
                <w:tcPr>
                  <w:tcW w:w="1601" w:type="pct"/>
                  <w:noWrap w:val="0"/>
                  <w:tcMar>
                    <w:top w:w="0" w:type="dxa"/>
                    <w:left w:w="0" w:type="dxa"/>
                    <w:bottom w:w="0" w:type="dxa"/>
                    <w:right w:w="0" w:type="dxa"/>
                  </w:tcMar>
                  <w:vAlign w:val="center"/>
                </w:tcPr>
                <w:p w14:paraId="3B69346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本项目不运输剧毒物质和危险化学品；本项目产生的危险废物交由有资质单位处置，零排放。</w:t>
                  </w:r>
                </w:p>
              </w:tc>
              <w:tc>
                <w:tcPr>
                  <w:tcW w:w="425" w:type="pct"/>
                  <w:noWrap w:val="0"/>
                  <w:tcMar>
                    <w:top w:w="0" w:type="dxa"/>
                    <w:left w:w="0" w:type="dxa"/>
                    <w:bottom w:w="0" w:type="dxa"/>
                    <w:right w:w="0" w:type="dxa"/>
                  </w:tcMar>
                  <w:vAlign w:val="center"/>
                </w:tcPr>
                <w:p w14:paraId="4BAFC33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20DC81D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4E3C56B8">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44607EC0">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7F9DE9B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3．强化环境事故应急管理。深化跨部门、跨区域环境应急协调联动，分区域建立环境应急物资储备库。各级工业园区（集聚区）和企业的环境应急装备和储备物资应纳入储备体系。</w:t>
                  </w:r>
                </w:p>
              </w:tc>
              <w:tc>
                <w:tcPr>
                  <w:tcW w:w="1601" w:type="pct"/>
                  <w:noWrap w:val="0"/>
                  <w:tcMar>
                    <w:top w:w="0" w:type="dxa"/>
                    <w:left w:w="0" w:type="dxa"/>
                    <w:bottom w:w="0" w:type="dxa"/>
                    <w:right w:w="0" w:type="dxa"/>
                  </w:tcMar>
                  <w:vAlign w:val="center"/>
                </w:tcPr>
                <w:p w14:paraId="2DDB7B6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项目实施后，按要求配备环境应急装备、储备应急物资。</w:t>
                  </w:r>
                </w:p>
              </w:tc>
              <w:tc>
                <w:tcPr>
                  <w:tcW w:w="425" w:type="pct"/>
                  <w:noWrap w:val="0"/>
                  <w:tcMar>
                    <w:top w:w="0" w:type="dxa"/>
                    <w:left w:w="0" w:type="dxa"/>
                    <w:bottom w:w="0" w:type="dxa"/>
                    <w:right w:w="0" w:type="dxa"/>
                  </w:tcMar>
                  <w:vAlign w:val="center"/>
                </w:tcPr>
                <w:p w14:paraId="18C4FCF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3BD8719C">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4F18565D">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0DFC403D">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0935274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强化环境风险防控能力建设。按照统一信息平台、统一监管力度、统一应急等级、协同应急救援的思路，在沿江发展带、沿海发展带、环太湖等地区构建区域性环境风险预警应急响应机制，实施区域突发环境风险预警联防联控。</w:t>
                  </w:r>
                </w:p>
              </w:tc>
              <w:tc>
                <w:tcPr>
                  <w:tcW w:w="1601" w:type="pct"/>
                  <w:noWrap w:val="0"/>
                  <w:tcMar>
                    <w:top w:w="0" w:type="dxa"/>
                    <w:left w:w="0" w:type="dxa"/>
                    <w:bottom w:w="0" w:type="dxa"/>
                    <w:right w:w="0" w:type="dxa"/>
                  </w:tcMar>
                  <w:vAlign w:val="center"/>
                </w:tcPr>
                <w:p w14:paraId="32C1842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项目实施后，按要求</w:t>
                  </w:r>
                  <w:r>
                    <w:rPr>
                      <w:rFonts w:hint="default" w:ascii="Times New Roman" w:hAnsi="Times New Roman" w:eastAsia="宋体" w:cs="Times New Roman"/>
                      <w:color w:val="auto"/>
                      <w:szCs w:val="21"/>
                      <w:lang w:val="en-US" w:eastAsia="zh-CN"/>
                    </w:rPr>
                    <w:t>修</w:t>
                  </w:r>
                  <w:r>
                    <w:rPr>
                      <w:rFonts w:hint="default" w:ascii="Times New Roman" w:hAnsi="Times New Roman" w:eastAsia="宋体" w:cs="Times New Roman"/>
                      <w:color w:val="auto"/>
                      <w:szCs w:val="21"/>
                    </w:rPr>
                    <w:t>编突发环境事件应急预案、落实预案中的相关风险防范措施并报相关部门备案。</w:t>
                  </w:r>
                </w:p>
              </w:tc>
              <w:tc>
                <w:tcPr>
                  <w:tcW w:w="425" w:type="pct"/>
                  <w:noWrap w:val="0"/>
                  <w:tcMar>
                    <w:top w:w="0" w:type="dxa"/>
                    <w:left w:w="0" w:type="dxa"/>
                    <w:bottom w:w="0" w:type="dxa"/>
                    <w:right w:w="0" w:type="dxa"/>
                  </w:tcMar>
                  <w:vAlign w:val="center"/>
                </w:tcPr>
                <w:p w14:paraId="2ACFBA9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3963A6C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restart"/>
                  <w:noWrap w:val="0"/>
                  <w:tcMar>
                    <w:top w:w="0" w:type="dxa"/>
                    <w:left w:w="0" w:type="dxa"/>
                    <w:bottom w:w="0" w:type="dxa"/>
                    <w:right w:w="0" w:type="dxa"/>
                  </w:tcMar>
                  <w:vAlign w:val="center"/>
                </w:tcPr>
                <w:p w14:paraId="3C6F698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p>
              </w:tc>
              <w:tc>
                <w:tcPr>
                  <w:tcW w:w="343" w:type="pct"/>
                  <w:vMerge w:val="restart"/>
                  <w:noWrap w:val="0"/>
                  <w:tcMar>
                    <w:top w:w="0" w:type="dxa"/>
                    <w:left w:w="0" w:type="dxa"/>
                    <w:bottom w:w="0" w:type="dxa"/>
                    <w:right w:w="0" w:type="dxa"/>
                  </w:tcMar>
                  <w:vAlign w:val="center"/>
                </w:tcPr>
                <w:p w14:paraId="3CAAB59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资源利用效率要求</w:t>
                  </w:r>
                </w:p>
              </w:tc>
              <w:tc>
                <w:tcPr>
                  <w:tcW w:w="2324" w:type="pct"/>
                  <w:noWrap w:val="0"/>
                  <w:tcMar>
                    <w:top w:w="0" w:type="dxa"/>
                    <w:left w:w="0" w:type="dxa"/>
                    <w:bottom w:w="0" w:type="dxa"/>
                    <w:right w:w="0" w:type="dxa"/>
                  </w:tcMar>
                  <w:vAlign w:val="center"/>
                </w:tcPr>
                <w:p w14:paraId="4807749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1．水资源利用总量及效率要求：到2025年，全省用水总量控制在525.9亿立方米以内，万元地区生产总值用水量、万元工业增加值用水量下降完成国家下达目标，农田灌溉水有效利用系数提高到0.625。</w:t>
                  </w:r>
                </w:p>
              </w:tc>
              <w:tc>
                <w:tcPr>
                  <w:tcW w:w="1601" w:type="pct"/>
                  <w:noWrap w:val="0"/>
                  <w:tcMar>
                    <w:top w:w="0" w:type="dxa"/>
                    <w:left w:w="0" w:type="dxa"/>
                    <w:bottom w:w="0" w:type="dxa"/>
                    <w:right w:w="0" w:type="dxa"/>
                  </w:tcMar>
                  <w:vAlign w:val="center"/>
                </w:tcPr>
                <w:p w14:paraId="2BCFBFE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不新增新鲜水消耗</w:t>
                  </w:r>
                </w:p>
              </w:tc>
              <w:tc>
                <w:tcPr>
                  <w:tcW w:w="425" w:type="pct"/>
                  <w:noWrap w:val="0"/>
                  <w:tcMar>
                    <w:top w:w="0" w:type="dxa"/>
                    <w:left w:w="0" w:type="dxa"/>
                    <w:bottom w:w="0" w:type="dxa"/>
                    <w:right w:w="0" w:type="dxa"/>
                  </w:tcMar>
                  <w:vAlign w:val="center"/>
                </w:tcPr>
                <w:p w14:paraId="3D9DA37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相符</w:t>
                  </w:r>
                </w:p>
              </w:tc>
            </w:tr>
            <w:tr w14:paraId="1BBA82C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7CE02D13">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2CBAA8B8">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4AF327E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2．土地资源总量要求：到2025年，江苏省耕地保有量不低于5977万亩，其中永久基本农田保护面积不低于5344万</w:t>
                  </w:r>
                </w:p>
                <w:p w14:paraId="514CA86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亩。</w:t>
                  </w:r>
                </w:p>
              </w:tc>
              <w:tc>
                <w:tcPr>
                  <w:tcW w:w="1601" w:type="pct"/>
                  <w:noWrap w:val="0"/>
                  <w:tcMar>
                    <w:top w:w="0" w:type="dxa"/>
                    <w:left w:w="0" w:type="dxa"/>
                    <w:bottom w:w="0" w:type="dxa"/>
                    <w:right w:w="0" w:type="dxa"/>
                  </w:tcMar>
                  <w:vAlign w:val="center"/>
                </w:tcPr>
                <w:p w14:paraId="4849BF4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本项目不新增工业用地。</w:t>
                  </w:r>
                </w:p>
              </w:tc>
              <w:tc>
                <w:tcPr>
                  <w:tcW w:w="425" w:type="pct"/>
                  <w:noWrap w:val="0"/>
                  <w:tcMar>
                    <w:top w:w="0" w:type="dxa"/>
                    <w:left w:w="0" w:type="dxa"/>
                    <w:bottom w:w="0" w:type="dxa"/>
                    <w:right w:w="0" w:type="dxa"/>
                  </w:tcMar>
                  <w:vAlign w:val="center"/>
                </w:tcPr>
                <w:p w14:paraId="2B0B792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38D0EE84">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05" w:type="pct"/>
                  <w:vMerge w:val="continue"/>
                  <w:noWrap w:val="0"/>
                  <w:tcMar>
                    <w:top w:w="0" w:type="dxa"/>
                    <w:left w:w="0" w:type="dxa"/>
                    <w:bottom w:w="0" w:type="dxa"/>
                    <w:right w:w="0" w:type="dxa"/>
                  </w:tcMar>
                  <w:vAlign w:val="center"/>
                </w:tcPr>
                <w:p w14:paraId="4139F7AC">
                  <w:pPr>
                    <w:jc w:val="center"/>
                    <w:rPr>
                      <w:rFonts w:hint="default" w:ascii="Times New Roman" w:hAnsi="Times New Roman" w:eastAsia="宋体" w:cs="Times New Roman"/>
                      <w:color w:val="auto"/>
                      <w:szCs w:val="21"/>
                    </w:rPr>
                  </w:pPr>
                </w:p>
              </w:tc>
              <w:tc>
                <w:tcPr>
                  <w:tcW w:w="343" w:type="pct"/>
                  <w:vMerge w:val="continue"/>
                  <w:noWrap w:val="0"/>
                  <w:tcMar>
                    <w:top w:w="0" w:type="dxa"/>
                    <w:left w:w="0" w:type="dxa"/>
                    <w:bottom w:w="0" w:type="dxa"/>
                    <w:right w:w="0" w:type="dxa"/>
                  </w:tcMar>
                  <w:vAlign w:val="center"/>
                </w:tcPr>
                <w:p w14:paraId="112404F3">
                  <w:pPr>
                    <w:jc w:val="center"/>
                    <w:rPr>
                      <w:rFonts w:hint="default" w:ascii="Times New Roman" w:hAnsi="Times New Roman" w:eastAsia="宋体" w:cs="Times New Roman"/>
                      <w:color w:val="auto"/>
                      <w:szCs w:val="21"/>
                    </w:rPr>
                  </w:pPr>
                </w:p>
              </w:tc>
              <w:tc>
                <w:tcPr>
                  <w:tcW w:w="2324" w:type="pct"/>
                  <w:noWrap w:val="0"/>
                  <w:tcMar>
                    <w:top w:w="0" w:type="dxa"/>
                    <w:left w:w="0" w:type="dxa"/>
                    <w:bottom w:w="0" w:type="dxa"/>
                    <w:right w:w="0" w:type="dxa"/>
                  </w:tcMar>
                  <w:vAlign w:val="center"/>
                </w:tcPr>
                <w:p w14:paraId="67CFB5F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3．禁燃区要求：在禁燃区内，禁止销售、燃用高污染燃料；禁止新建、扩建燃用高污染燃料的设施，已建成的，应当在城市人民政府规定的期限内改用天然气、页岩气、液化石油气、电或者其他清洁能源。</w:t>
                  </w:r>
                </w:p>
              </w:tc>
              <w:tc>
                <w:tcPr>
                  <w:tcW w:w="1601" w:type="pct"/>
                  <w:noWrap w:val="0"/>
                  <w:tcMar>
                    <w:top w:w="0" w:type="dxa"/>
                    <w:left w:w="0" w:type="dxa"/>
                    <w:bottom w:w="0" w:type="dxa"/>
                    <w:right w:w="0" w:type="dxa"/>
                  </w:tcMar>
                  <w:vAlign w:val="center"/>
                </w:tcPr>
                <w:p w14:paraId="4DEEB84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本项目使用电作为清洁能源。</w:t>
                  </w:r>
                </w:p>
              </w:tc>
              <w:tc>
                <w:tcPr>
                  <w:tcW w:w="425" w:type="pct"/>
                  <w:noWrap w:val="0"/>
                  <w:tcMar>
                    <w:top w:w="0" w:type="dxa"/>
                    <w:left w:w="0" w:type="dxa"/>
                    <w:bottom w:w="0" w:type="dxa"/>
                    <w:right w:w="0" w:type="dxa"/>
                  </w:tcMar>
                  <w:vAlign w:val="center"/>
                </w:tcPr>
                <w:p w14:paraId="23260F9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bl>
          <w:p w14:paraId="091FAD20">
            <w:pPr>
              <w:autoSpaceDE w:val="0"/>
              <w:autoSpaceDN w:val="0"/>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综上，本项目与</w:t>
            </w:r>
            <w:r>
              <w:rPr>
                <w:rFonts w:hint="default" w:ascii="Times New Roman" w:hAnsi="Times New Roman" w:eastAsia="宋体" w:cs="Times New Roman"/>
                <w:color w:val="auto"/>
                <w:sz w:val="24"/>
              </w:rPr>
              <w:t>《江苏省2023年生态环境分区管控成果动态更新工作方案》</w:t>
            </w:r>
            <w:r>
              <w:rPr>
                <w:rFonts w:hint="default" w:ascii="Times New Roman" w:hAnsi="Times New Roman" w:eastAsia="宋体" w:cs="Times New Roman"/>
                <w:bCs/>
                <w:color w:val="auto"/>
                <w:sz w:val="24"/>
              </w:rPr>
              <w:t>的要求相符。</w:t>
            </w:r>
          </w:p>
          <w:p w14:paraId="5D12CE87">
            <w:pPr>
              <w:autoSpaceDE w:val="0"/>
              <w:autoSpaceDN w:val="0"/>
              <w:snapToGrid w:val="0"/>
              <w:spacing w:line="500" w:lineRule="exact"/>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rPr>
              <w:t>与</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bCs/>
                <w:color w:val="auto"/>
                <w:sz w:val="24"/>
                <w:szCs w:val="24"/>
              </w:rPr>
              <w:t>常州市2023年生态环境分区管控动态更新成果</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color w:val="auto"/>
                <w:sz w:val="24"/>
              </w:rPr>
              <w:t>相符性分析</w:t>
            </w:r>
          </w:p>
          <w:p w14:paraId="03F31559">
            <w:pPr>
              <w:autoSpaceDE w:val="0"/>
              <w:autoSpaceDN w:val="0"/>
              <w:adjustRightInd w:val="0"/>
              <w:snapToGrid w:val="0"/>
              <w:spacing w:line="500" w:lineRule="exact"/>
              <w:ind w:firstLine="480" w:firstLineChars="200"/>
              <w:jc w:val="left"/>
              <w:rPr>
                <w:rFonts w:hint="default" w:ascii="Times New Roman" w:hAnsi="Times New Roman" w:eastAsia="宋体" w:cs="Times New Roman"/>
                <w:b/>
                <w:color w:val="auto"/>
                <w:sz w:val="24"/>
              </w:rPr>
            </w:pPr>
            <w:r>
              <w:rPr>
                <w:rFonts w:hint="default" w:ascii="Times New Roman" w:hAnsi="Times New Roman" w:eastAsia="宋体" w:cs="Times New Roman"/>
                <w:bCs/>
                <w:color w:val="auto"/>
                <w:sz w:val="24"/>
              </w:rPr>
              <w:t>本项目位于</w:t>
            </w:r>
            <w:r>
              <w:rPr>
                <w:rFonts w:hint="default" w:ascii="Times New Roman" w:hAnsi="Times New Roman" w:eastAsia="宋体" w:cs="Times New Roman"/>
                <w:bCs/>
                <w:color w:val="auto"/>
                <w:sz w:val="24"/>
                <w:lang w:eastAsia="zh-CN"/>
              </w:rPr>
              <w:t>常州市金坛区龙湖路10号</w:t>
            </w:r>
            <w:r>
              <w:rPr>
                <w:rFonts w:hint="default" w:ascii="Times New Roman" w:hAnsi="Times New Roman" w:eastAsia="宋体" w:cs="Times New Roman"/>
                <w:b w:val="0"/>
                <w:bCs/>
                <w:color w:val="auto"/>
                <w:sz w:val="24"/>
              </w:rPr>
              <w:t>，根据</w:t>
            </w:r>
            <w:r>
              <w:rPr>
                <w:rFonts w:hint="default" w:ascii="Times New Roman" w:hAnsi="Times New Roman" w:eastAsia="宋体" w:cs="Times New Roman"/>
                <w:b w:val="0"/>
                <w:bCs/>
                <w:color w:val="auto"/>
                <w:sz w:val="24"/>
                <w:szCs w:val="24"/>
              </w:rPr>
              <w:t>《常州市2023年生态环境分区管控动态更新成果》</w:t>
            </w:r>
            <w:r>
              <w:rPr>
                <w:rFonts w:hint="default" w:ascii="Times New Roman" w:hAnsi="Times New Roman" w:eastAsia="宋体" w:cs="Times New Roman"/>
                <w:b w:val="0"/>
                <w:bCs/>
                <w:color w:val="auto"/>
                <w:sz w:val="24"/>
              </w:rPr>
              <w:t>可知，项目位于重点管</w:t>
            </w:r>
            <w:r>
              <w:rPr>
                <w:rFonts w:hint="default" w:ascii="Times New Roman" w:hAnsi="Times New Roman" w:eastAsia="宋体" w:cs="Times New Roman"/>
                <w:bCs/>
                <w:color w:val="auto"/>
                <w:sz w:val="24"/>
              </w:rPr>
              <w:t>控单元，其重点管控要求与本项目的相符性分析见</w:t>
            </w:r>
            <w:r>
              <w:rPr>
                <w:rFonts w:hint="default" w:ascii="Times New Roman" w:hAnsi="Times New Roman" w:eastAsia="宋体" w:cs="Times New Roman"/>
                <w:bCs/>
                <w:color w:val="auto"/>
                <w:sz w:val="24"/>
                <w:lang w:val="en-US" w:eastAsia="zh-CN"/>
              </w:rPr>
              <w:t>下表</w:t>
            </w:r>
            <w:r>
              <w:rPr>
                <w:rFonts w:hint="default" w:ascii="Times New Roman" w:hAnsi="Times New Roman" w:eastAsia="宋体" w:cs="Times New Roman"/>
                <w:bCs/>
                <w:color w:val="auto"/>
                <w:sz w:val="24"/>
              </w:rPr>
              <w:t>。</w:t>
            </w:r>
          </w:p>
          <w:p w14:paraId="39E45FD1">
            <w:pPr>
              <w:pStyle w:val="6"/>
              <w:keepNext w:val="0"/>
              <w:keepLines w:val="0"/>
              <w:pageBreakBefore w:val="0"/>
              <w:widowControl w:val="0"/>
              <w:kinsoku/>
              <w:wordWrap/>
              <w:overflowPunct/>
              <w:topLinePunct w:val="0"/>
              <w:autoSpaceDE/>
              <w:autoSpaceDN/>
              <w:bidi w:val="0"/>
              <w:adjustRightInd w:val="0"/>
              <w:snapToGrid w:val="0"/>
              <w:spacing w:before="95" w:beforeLines="30"/>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 xml:space="preserve">4 </w:t>
            </w:r>
            <w:r>
              <w:rPr>
                <w:rFonts w:hint="default" w:ascii="Times New Roman" w:hAnsi="Times New Roman" w:eastAsia="宋体" w:cs="Times New Roman"/>
                <w:b/>
                <w:bCs/>
                <w:color w:val="auto"/>
                <w:sz w:val="21"/>
                <w:szCs w:val="21"/>
              </w:rPr>
              <w:t>与常州市2023年生态环境分区管控动态更新成果相符性</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0"/>
              <w:gridCol w:w="746"/>
              <w:gridCol w:w="4474"/>
              <w:gridCol w:w="1587"/>
              <w:gridCol w:w="688"/>
            </w:tblGrid>
            <w:tr w14:paraId="709F82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0" w:type="pct"/>
                  <w:noWrap w:val="0"/>
                  <w:tcMar>
                    <w:top w:w="0" w:type="dxa"/>
                    <w:left w:w="0" w:type="dxa"/>
                    <w:bottom w:w="0" w:type="dxa"/>
                    <w:right w:w="0" w:type="dxa"/>
                  </w:tcMar>
                  <w:vAlign w:val="center"/>
                </w:tcPr>
                <w:p w14:paraId="006006C1">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3223" w:type="pct"/>
                  <w:gridSpan w:val="2"/>
                  <w:noWrap w:val="0"/>
                  <w:tcMar>
                    <w:top w:w="0" w:type="dxa"/>
                    <w:left w:w="0" w:type="dxa"/>
                    <w:bottom w:w="0" w:type="dxa"/>
                    <w:right w:w="0" w:type="dxa"/>
                  </w:tcMar>
                  <w:vAlign w:val="center"/>
                </w:tcPr>
                <w:p w14:paraId="5FF2378E">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管控要求</w:t>
                  </w:r>
                </w:p>
              </w:tc>
              <w:tc>
                <w:tcPr>
                  <w:tcW w:w="980" w:type="pct"/>
                  <w:noWrap w:val="0"/>
                  <w:tcMar>
                    <w:top w:w="0" w:type="dxa"/>
                    <w:left w:w="0" w:type="dxa"/>
                    <w:bottom w:w="0" w:type="dxa"/>
                    <w:right w:w="0" w:type="dxa"/>
                  </w:tcMar>
                  <w:vAlign w:val="center"/>
                </w:tcPr>
                <w:p w14:paraId="54F48738">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color w:val="auto"/>
                      <w:szCs w:val="21"/>
                    </w:rPr>
                    <w:t>本项目相关内容</w:t>
                  </w:r>
                </w:p>
              </w:tc>
              <w:tc>
                <w:tcPr>
                  <w:tcW w:w="425" w:type="pct"/>
                  <w:noWrap w:val="0"/>
                  <w:tcMar>
                    <w:top w:w="0" w:type="dxa"/>
                    <w:left w:w="0" w:type="dxa"/>
                    <w:bottom w:w="0" w:type="dxa"/>
                    <w:right w:w="0" w:type="dxa"/>
                  </w:tcMar>
                  <w:vAlign w:val="center"/>
                </w:tcPr>
                <w:p w14:paraId="12AC32F1">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相符性</w:t>
                  </w:r>
                </w:p>
              </w:tc>
            </w:tr>
            <w:tr w14:paraId="5550F9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0" w:type="pct"/>
                  <w:noWrap w:val="0"/>
                  <w:tcMar>
                    <w:top w:w="0" w:type="dxa"/>
                    <w:left w:w="0" w:type="dxa"/>
                    <w:bottom w:w="0" w:type="dxa"/>
                    <w:right w:w="0" w:type="dxa"/>
                  </w:tcMar>
                  <w:vAlign w:val="center"/>
                </w:tcPr>
                <w:p w14:paraId="402FE5F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460" w:type="pct"/>
                  <w:noWrap w:val="0"/>
                  <w:tcMar>
                    <w:top w:w="0" w:type="dxa"/>
                    <w:left w:w="0" w:type="dxa"/>
                    <w:bottom w:w="0" w:type="dxa"/>
                    <w:right w:w="0" w:type="dxa"/>
                  </w:tcMar>
                  <w:vAlign w:val="center"/>
                </w:tcPr>
                <w:p w14:paraId="7B9B85D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空间布局约束</w:t>
                  </w:r>
                </w:p>
              </w:tc>
              <w:tc>
                <w:tcPr>
                  <w:tcW w:w="2762" w:type="pct"/>
                  <w:noWrap w:val="0"/>
                  <w:tcMar>
                    <w:top w:w="0" w:type="dxa"/>
                    <w:left w:w="0" w:type="dxa"/>
                    <w:bottom w:w="0" w:type="dxa"/>
                    <w:right w:w="0" w:type="dxa"/>
                  </w:tcMar>
                  <w:vAlign w:val="center"/>
                </w:tcPr>
                <w:p w14:paraId="0ECEA0B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禁止引进：列入《产业结构调整指导目录（2019年本）》、《江苏省产业结构调整限制、淘汰和禁止目录》、《江苏省工业和信息产业结构调整、限制、淘汰目录及能耗限额》淘汰类的产业；列入《外商投资产业指导目录》禁止类的产业。</w:t>
                  </w:r>
                </w:p>
                <w:p w14:paraId="1CA881E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根据《长江经济带发展负面清单指南(试行，2022年版)》江苏省实施细则：禁止在距离长江干支流岸线一公里范围内新建、扩建化工园区和化工项目；禁止在长江干流岸线三公里范围内新建、改建、扩建尾矿库、冶炼渣库和磷石膏库，以提升安全、生态环境保护水平为目的的改建除外；禁止在太湖流域一、二、三级保护区内开展《江苏省太湖水污染防治条例》禁止的投资建设活动；禁止在沿江地区新建、扩建未纳入国家和省布局规划的燃煤发电项目；禁止在合规园区外新建、扩建钢铁、石化、化工、焦化、建材、有色、制浆造纸等高污染项目；禁止在取消化工定位的园区(集中区)内新建化工项目。</w:t>
                  </w:r>
                </w:p>
              </w:tc>
              <w:tc>
                <w:tcPr>
                  <w:tcW w:w="980" w:type="pct"/>
                  <w:noWrap w:val="0"/>
                  <w:tcMar>
                    <w:top w:w="0" w:type="dxa"/>
                    <w:left w:w="0" w:type="dxa"/>
                    <w:bottom w:w="0" w:type="dxa"/>
                    <w:right w:w="0" w:type="dxa"/>
                  </w:tcMar>
                  <w:vAlign w:val="center"/>
                </w:tcPr>
                <w:p w14:paraId="01F0E26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（1）本项目不属于以上禁止类、淘汰类的产业。</w:t>
                  </w:r>
                </w:p>
                <w:p w14:paraId="6C86883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（2）本项目不属于以上禁止项目</w:t>
                  </w:r>
                </w:p>
              </w:tc>
              <w:tc>
                <w:tcPr>
                  <w:tcW w:w="425" w:type="pct"/>
                  <w:noWrap w:val="0"/>
                  <w:tcMar>
                    <w:top w:w="0" w:type="dxa"/>
                    <w:left w:w="0" w:type="dxa"/>
                    <w:bottom w:w="0" w:type="dxa"/>
                    <w:right w:w="0" w:type="dxa"/>
                  </w:tcMar>
                  <w:vAlign w:val="center"/>
                </w:tcPr>
                <w:p w14:paraId="71F2027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33551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0" w:type="pct"/>
                  <w:noWrap w:val="0"/>
                  <w:tcMar>
                    <w:top w:w="0" w:type="dxa"/>
                    <w:left w:w="0" w:type="dxa"/>
                    <w:bottom w:w="0" w:type="dxa"/>
                    <w:right w:w="0" w:type="dxa"/>
                  </w:tcMar>
                  <w:vAlign w:val="center"/>
                </w:tcPr>
                <w:p w14:paraId="74E53A5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460" w:type="pct"/>
                  <w:noWrap w:val="0"/>
                  <w:tcMar>
                    <w:top w:w="0" w:type="dxa"/>
                    <w:left w:w="0" w:type="dxa"/>
                    <w:bottom w:w="0" w:type="dxa"/>
                    <w:right w:w="0" w:type="dxa"/>
                  </w:tcMar>
                  <w:vAlign w:val="center"/>
                </w:tcPr>
                <w:p w14:paraId="23A4EF6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污染物排放管控</w:t>
                  </w:r>
                </w:p>
              </w:tc>
              <w:tc>
                <w:tcPr>
                  <w:tcW w:w="2762" w:type="pct"/>
                  <w:noWrap w:val="0"/>
                  <w:tcMar>
                    <w:top w:w="0" w:type="dxa"/>
                    <w:left w:w="0" w:type="dxa"/>
                    <w:bottom w:w="0" w:type="dxa"/>
                    <w:right w:w="0" w:type="dxa"/>
                  </w:tcMar>
                  <w:vAlign w:val="center"/>
                </w:tcPr>
                <w:p w14:paraId="3156D3B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（1）坚持生态环境质量只能更好、不能变坏，实施污染物总量控制，以环境容量定产业、定项目、定规模，确保开发建设行为不突破生态环境承载力。</w:t>
                  </w:r>
                </w:p>
                <w:p w14:paraId="0BEA528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常州市“十四五”生态环境保护规划》（常政办发〔2021〕130号），到2025年，常州市主要污染物减排满足省下达指标要求。全面贯彻落实《江苏省工业园区（集中区）污染物排放限值限量管理工作方案（试行）》（苏环办〔2021〕232号），完善工业园区主要污染物排放总量控制措施，实现主要污染物排放浓度和总量“双控”。</w:t>
                  </w:r>
                </w:p>
              </w:tc>
              <w:tc>
                <w:tcPr>
                  <w:tcW w:w="980" w:type="pct"/>
                  <w:noWrap w:val="0"/>
                  <w:tcMar>
                    <w:top w:w="0" w:type="dxa"/>
                    <w:left w:w="0" w:type="dxa"/>
                    <w:bottom w:w="0" w:type="dxa"/>
                    <w:right w:w="0" w:type="dxa"/>
                  </w:tcMar>
                  <w:vAlign w:val="center"/>
                </w:tcPr>
                <w:p w14:paraId="410CBC4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（1）建设项目将根据要求向常州市金坛生态环境局申请总量。（2）本项目有机废气收集后进入二级活性炭吸附装置处理，排放总量不会突破金坛经济开发区总量指标；项目</w:t>
                  </w:r>
                  <w:r>
                    <w:rPr>
                      <w:rFonts w:hint="default" w:ascii="Times New Roman" w:hAnsi="Times New Roman" w:eastAsia="宋体" w:cs="Times New Roman"/>
                      <w:color w:val="auto"/>
                      <w:szCs w:val="21"/>
                      <w:lang w:val="en-US" w:eastAsia="zh-CN"/>
                    </w:rPr>
                    <w:t>不新增生活污水和</w:t>
                  </w:r>
                  <w:r>
                    <w:rPr>
                      <w:rFonts w:hint="default" w:ascii="Times New Roman" w:hAnsi="Times New Roman" w:eastAsia="宋体" w:cs="Times New Roman"/>
                      <w:color w:val="auto"/>
                      <w:szCs w:val="21"/>
                    </w:rPr>
                    <w:t>生产废水；固废收集处理不外排。</w:t>
                  </w:r>
                </w:p>
              </w:tc>
              <w:tc>
                <w:tcPr>
                  <w:tcW w:w="425" w:type="pct"/>
                  <w:noWrap w:val="0"/>
                  <w:tcMar>
                    <w:top w:w="0" w:type="dxa"/>
                    <w:left w:w="0" w:type="dxa"/>
                    <w:bottom w:w="0" w:type="dxa"/>
                    <w:right w:w="0" w:type="dxa"/>
                  </w:tcMar>
                  <w:vAlign w:val="center"/>
                </w:tcPr>
                <w:p w14:paraId="0352711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7B232C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0" w:type="pct"/>
                  <w:noWrap w:val="0"/>
                  <w:tcMar>
                    <w:top w:w="0" w:type="dxa"/>
                    <w:left w:w="0" w:type="dxa"/>
                    <w:bottom w:w="0" w:type="dxa"/>
                    <w:right w:w="0" w:type="dxa"/>
                  </w:tcMar>
                  <w:vAlign w:val="center"/>
                </w:tcPr>
                <w:p w14:paraId="26E2BC2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w:t>
                  </w:r>
                </w:p>
              </w:tc>
              <w:tc>
                <w:tcPr>
                  <w:tcW w:w="460" w:type="pct"/>
                  <w:noWrap w:val="0"/>
                  <w:tcMar>
                    <w:top w:w="0" w:type="dxa"/>
                    <w:left w:w="0" w:type="dxa"/>
                    <w:bottom w:w="0" w:type="dxa"/>
                    <w:right w:w="0" w:type="dxa"/>
                  </w:tcMar>
                  <w:vAlign w:val="center"/>
                </w:tcPr>
                <w:p w14:paraId="4C9EAEE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环境风险防控</w:t>
                  </w:r>
                </w:p>
              </w:tc>
              <w:tc>
                <w:tcPr>
                  <w:tcW w:w="2762" w:type="pct"/>
                  <w:noWrap w:val="0"/>
                  <w:tcMar>
                    <w:top w:w="0" w:type="dxa"/>
                    <w:left w:w="0" w:type="dxa"/>
                    <w:bottom w:w="0" w:type="dxa"/>
                    <w:right w:w="0" w:type="dxa"/>
                  </w:tcMar>
                  <w:vAlign w:val="center"/>
                </w:tcPr>
                <w:p w14:paraId="1CC69F0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根据《常州市长江生态优先绿色发展三年行动计划（2019-2021年）》（常长江发〔2019〕3号），大幅压减沿江地区化工生产企业数量，沿江1公里范围内凡是与化工园区无产业链关联、安全和环保隐患大的企业2020年底前依法关停退出。</w:t>
                  </w:r>
                </w:p>
                <w:p w14:paraId="1C9B08F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完善废弃危险化学品等危险废物（以下简称“危险废物”）、重点环保设施和项目、涉爆粉尘企业等分级管控和隐患排查治理的责任体系、制度标准、工作机制；重点加强化学工业园区、涉及大宗危化品使用企业、贮存和运输危化品的港口码头、尾矿库、集中式污水处理厂、危废处理企业的环境风险防控；建立覆盖危险废物产生、收集、贮存、转移、运输、利用、处置等全过程的监督体系，严厉打击危险废物非法转移、处置和倾倒行为。</w:t>
                  </w:r>
                </w:p>
              </w:tc>
              <w:tc>
                <w:tcPr>
                  <w:tcW w:w="980" w:type="pct"/>
                  <w:noWrap w:val="0"/>
                  <w:tcMar>
                    <w:top w:w="0" w:type="dxa"/>
                    <w:left w:w="0" w:type="dxa"/>
                    <w:bottom w:w="0" w:type="dxa"/>
                    <w:right w:w="0" w:type="dxa"/>
                  </w:tcMar>
                  <w:vAlign w:val="center"/>
                </w:tcPr>
                <w:p w14:paraId="615C0A5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（1）本项目不在长江1公里范围内。（2）项目实施后，按要求建立环境应急体系、</w:t>
                  </w:r>
                  <w:r>
                    <w:rPr>
                      <w:rFonts w:hint="default" w:ascii="Times New Roman" w:hAnsi="Times New Roman" w:eastAsia="宋体" w:cs="Times New Roman"/>
                      <w:color w:val="auto"/>
                      <w:szCs w:val="21"/>
                      <w:lang w:val="en-US" w:eastAsia="zh-CN"/>
                    </w:rPr>
                    <w:t>修编</w:t>
                  </w:r>
                  <w:r>
                    <w:rPr>
                      <w:rFonts w:hint="default" w:ascii="Times New Roman" w:hAnsi="Times New Roman" w:eastAsia="宋体" w:cs="Times New Roman"/>
                      <w:color w:val="auto"/>
                      <w:szCs w:val="21"/>
                    </w:rPr>
                    <w:t>突发环境事件应急预案，落实预案中的相关要求，并报环保部门备案。本项目产生的危险废物交由有资质单位处置，零排放。</w:t>
                  </w:r>
                </w:p>
              </w:tc>
              <w:tc>
                <w:tcPr>
                  <w:tcW w:w="425" w:type="pct"/>
                  <w:noWrap w:val="0"/>
                  <w:tcMar>
                    <w:top w:w="0" w:type="dxa"/>
                    <w:left w:w="0" w:type="dxa"/>
                    <w:bottom w:w="0" w:type="dxa"/>
                    <w:right w:w="0" w:type="dxa"/>
                  </w:tcMar>
                  <w:vAlign w:val="center"/>
                </w:tcPr>
                <w:p w14:paraId="7AAD5E5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r w14:paraId="1D2822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0" w:type="pct"/>
                  <w:noWrap w:val="0"/>
                  <w:tcMar>
                    <w:top w:w="0" w:type="dxa"/>
                    <w:left w:w="0" w:type="dxa"/>
                    <w:bottom w:w="0" w:type="dxa"/>
                    <w:right w:w="0" w:type="dxa"/>
                  </w:tcMar>
                  <w:vAlign w:val="center"/>
                </w:tcPr>
                <w:p w14:paraId="17B9FFD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w:t>
                  </w:r>
                </w:p>
              </w:tc>
              <w:tc>
                <w:tcPr>
                  <w:tcW w:w="460" w:type="pct"/>
                  <w:noWrap w:val="0"/>
                  <w:tcMar>
                    <w:top w:w="0" w:type="dxa"/>
                    <w:left w:w="0" w:type="dxa"/>
                    <w:bottom w:w="0" w:type="dxa"/>
                    <w:right w:w="0" w:type="dxa"/>
                  </w:tcMar>
                  <w:vAlign w:val="center"/>
                </w:tcPr>
                <w:p w14:paraId="37F856F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资源利用效率要求</w:t>
                  </w:r>
                </w:p>
              </w:tc>
              <w:tc>
                <w:tcPr>
                  <w:tcW w:w="2762" w:type="pct"/>
                  <w:noWrap w:val="0"/>
                  <w:tcMar>
                    <w:top w:w="0" w:type="dxa"/>
                    <w:left w:w="0" w:type="dxa"/>
                    <w:bottom w:w="0" w:type="dxa"/>
                    <w:right w:w="0" w:type="dxa"/>
                  </w:tcMar>
                  <w:vAlign w:val="center"/>
                </w:tcPr>
                <w:p w14:paraId="634FD5B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根据《市政府关于公布常州市高污染燃料禁燃区类别的通告》（常政发〔2017〕163号）、《市政府关于公布溧阳市高污染燃料禁燃区控制类别的通告》（溧政发〔2018〕6号），常州市禁燃区内禁止新建、扩建燃用高污染燃料的项目和设施，已建成的应逐步或依法限期改用天然气、电或者其他清洁能源。禁止燃用的燃料主要包括：①“II类”（较严），具体包括：除单台出力大于等于20蒸吨/小时锅炉以外燃用的煤炭及其制品；石油焦、油页岩、原油、重油、渣油、煤焦油。②“III类”（严格），具体包括：煤炭及其制品（包括原煤、散煤、煤矸石、煤泥、煤粉、水煤浆、型煤、焦炭、兰炭等）；石油焦、油页岩、原油、重油、渣油、煤焦油；非专用锅炉或未配置高效除尘设施的专用锅炉燃用的生物质成型燃料；国家规定的其它高污染燃料。</w:t>
                  </w:r>
                </w:p>
              </w:tc>
              <w:tc>
                <w:tcPr>
                  <w:tcW w:w="980" w:type="pct"/>
                  <w:noWrap w:val="0"/>
                  <w:tcMar>
                    <w:top w:w="0" w:type="dxa"/>
                    <w:left w:w="0" w:type="dxa"/>
                    <w:bottom w:w="0" w:type="dxa"/>
                    <w:right w:w="0" w:type="dxa"/>
                  </w:tcMar>
                  <w:vAlign w:val="center"/>
                </w:tcPr>
                <w:p w14:paraId="1999461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本项目不使用以上禁止燃用的燃料；使用清洁能源电；不建设燃煤设施。</w:t>
                  </w:r>
                </w:p>
              </w:tc>
              <w:tc>
                <w:tcPr>
                  <w:tcW w:w="425" w:type="pct"/>
                  <w:noWrap w:val="0"/>
                  <w:tcMar>
                    <w:top w:w="0" w:type="dxa"/>
                    <w:left w:w="0" w:type="dxa"/>
                    <w:bottom w:w="0" w:type="dxa"/>
                    <w:right w:w="0" w:type="dxa"/>
                  </w:tcMar>
                  <w:vAlign w:val="center"/>
                </w:tcPr>
                <w:p w14:paraId="5B37F27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相符</w:t>
                  </w:r>
                </w:p>
              </w:tc>
            </w:tr>
          </w:tbl>
          <w:p w14:paraId="020EDC46">
            <w:pPr>
              <w:autoSpaceDE w:val="0"/>
              <w:autoSpaceDN w:val="0"/>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综上，本项目与《关于印发常州市</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三线一单</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生态环境分区管控实施方案的通知》（常环〔2020〕95号）的要求相符。</w:t>
            </w:r>
          </w:p>
          <w:p w14:paraId="307E678B">
            <w:pPr>
              <w:autoSpaceDE w:val="0"/>
              <w:autoSpaceDN w:val="0"/>
              <w:adjustRightInd w:val="0"/>
              <w:snapToGrid w:val="0"/>
              <w:spacing w:line="500" w:lineRule="exac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rPr>
              <w:t>、与太湖流域环境政策相符性分析</w:t>
            </w:r>
          </w:p>
          <w:p w14:paraId="7295B9D1">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jc w:val="both"/>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sz w:val="24"/>
                <w:szCs w:val="24"/>
                <w:highlight w:val="none"/>
              </w:rPr>
              <w:t>（1）对照《江苏省太湖流域三级保护区范围》（苏政办发〔2012〕221号），本项目位于太湖流域三级保护区内。</w:t>
            </w:r>
          </w:p>
          <w:p w14:paraId="1A00A9B1">
            <w:pPr>
              <w:keepNext w:val="0"/>
              <w:keepLines w:val="0"/>
              <w:pageBreakBefore w:val="0"/>
              <w:widowControl w:val="0"/>
              <w:kinsoku/>
              <w:wordWrap/>
              <w:overflowPunct/>
              <w:topLinePunct w:val="0"/>
              <w:autoSpaceDE w:val="0"/>
              <w:autoSpaceDN w:val="0"/>
              <w:bidi w:val="0"/>
              <w:adjustRightInd w:val="0"/>
              <w:snapToGrid w:val="0"/>
              <w:spacing w:line="500" w:lineRule="exact"/>
              <w:ind w:firstLine="482" w:firstLineChars="200"/>
              <w:jc w:val="both"/>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（2）与《太湖流域管理条例》（国务院令第604号）相符性分析</w:t>
            </w:r>
          </w:p>
          <w:p w14:paraId="129D9981">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与国务院令第604号的相符性分析</w:t>
            </w:r>
          </w:p>
          <w:tbl>
            <w:tblPr>
              <w:tblStyle w:val="28"/>
              <w:tblW w:w="488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3"/>
              <w:gridCol w:w="6082"/>
              <w:gridCol w:w="1132"/>
            </w:tblGrid>
            <w:tr w14:paraId="051F41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 w:type="pct"/>
                  <w:vAlign w:val="center"/>
                </w:tcPr>
                <w:p w14:paraId="507C5E1D">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rPr>
                    <w:t>条款</w:t>
                  </w:r>
                </w:p>
              </w:tc>
              <w:tc>
                <w:tcPr>
                  <w:tcW w:w="3841" w:type="pct"/>
                  <w:vAlign w:val="center"/>
                </w:tcPr>
                <w:p w14:paraId="3DCF8202">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rPr>
                    <w:t>内容</w:t>
                  </w:r>
                </w:p>
              </w:tc>
              <w:tc>
                <w:tcPr>
                  <w:tcW w:w="714" w:type="pct"/>
                  <w:vAlign w:val="center"/>
                </w:tcPr>
                <w:p w14:paraId="08DB95A8">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相符性分析</w:t>
                  </w:r>
                </w:p>
              </w:tc>
            </w:tr>
            <w:tr w14:paraId="5A482A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444" w:type="pct"/>
                  <w:tcBorders>
                    <w:bottom w:val="single" w:color="auto" w:sz="2" w:space="0"/>
                  </w:tcBorders>
                  <w:vAlign w:val="center"/>
                </w:tcPr>
                <w:p w14:paraId="3B186E5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第二十八条</w:t>
                  </w:r>
                </w:p>
              </w:tc>
              <w:tc>
                <w:tcPr>
                  <w:tcW w:w="3841" w:type="pct"/>
                  <w:tcBorders>
                    <w:bottom w:val="single" w:color="auto" w:sz="2" w:space="0"/>
                  </w:tcBorders>
                  <w:vAlign w:val="center"/>
                </w:tcPr>
                <w:p w14:paraId="22E71A57">
                  <w:pPr>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排污单位排放水污染物，不得超过经核定的水污染物排放总量，并应当按照规定设置便于检查、采样的规范化排污口，悬挂标志牌；不得私设暗管或者采取其他规避监管的方式排放水污染物。</w:t>
                  </w:r>
                </w:p>
                <w:p w14:paraId="7BAFDC8D">
                  <w:pPr>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禁止在太湖流域设置不符合国家产业政策和水环境综合治理要求的造纸、制革、酒精、淀粉、冶金、酿造、印染、电镀等排放水污染物的生产项目，现有的生产项目不能实现达标排放的，应当依法关闭。</w:t>
                  </w:r>
                </w:p>
                <w:p w14:paraId="2D81FCFD">
                  <w:pPr>
                    <w:ind w:firstLine="420" w:firstLineChars="20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rPr>
                    <w:t>在太湖流域新设企业应当符合国家规定的清洁生产要求，现有的企业尚未达到清洁生产要求的，应当按照清洁生产规划要求进行技术改造，两省一市人民政府应当加强监督检查。</w:t>
                  </w:r>
                </w:p>
              </w:tc>
              <w:tc>
                <w:tcPr>
                  <w:tcW w:w="714" w:type="pct"/>
                  <w:tcBorders>
                    <w:bottom w:val="single" w:color="auto" w:sz="2" w:space="0"/>
                  </w:tcBorders>
                  <w:vAlign w:val="center"/>
                </w:tcPr>
                <w:p w14:paraId="031BA9EF">
                  <w:pPr>
                    <w:rPr>
                      <w:rFonts w:hint="default" w:ascii="Times New Roman" w:hAnsi="Times New Roman" w:eastAsia="宋体" w:cs="Times New Roman"/>
                      <w:color w:val="auto"/>
                    </w:rPr>
                  </w:pPr>
                  <w:r>
                    <w:rPr>
                      <w:rFonts w:hint="default" w:ascii="Times New Roman" w:hAnsi="Times New Roman" w:eastAsia="宋体" w:cs="Times New Roman"/>
                      <w:color w:val="auto"/>
                    </w:rPr>
                    <w:t>本项目属于</w:t>
                  </w:r>
                  <w:r>
                    <w:rPr>
                      <w:rFonts w:hint="default" w:ascii="Times New Roman" w:hAnsi="Times New Roman" w:eastAsia="宋体" w:cs="Times New Roman"/>
                      <w:color w:val="auto"/>
                      <w:kern w:val="2"/>
                      <w:sz w:val="21"/>
                      <w:szCs w:val="21"/>
                      <w:lang w:val="en-US" w:eastAsia="zh-CN" w:bidi="ar-SA"/>
                    </w:rPr>
                    <w:t>C3499其他未列明通用设备制造</w:t>
                  </w:r>
                  <w:r>
                    <w:rPr>
                      <w:rFonts w:hint="eastAsia"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t>C2320装订及印刷相关服务</w:t>
                  </w:r>
                  <w:r>
                    <w:rPr>
                      <w:rFonts w:hint="default" w:ascii="Times New Roman" w:hAnsi="Times New Roman" w:eastAsia="宋体" w:cs="Times New Roman"/>
                      <w:color w:val="auto"/>
                    </w:rPr>
                    <w:t>，不属于禁止类项目。</w:t>
                  </w:r>
                </w:p>
              </w:tc>
            </w:tr>
            <w:tr w14:paraId="700218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3" w:hRule="atLeast"/>
                <w:jc w:val="center"/>
              </w:trPr>
              <w:tc>
                <w:tcPr>
                  <w:tcW w:w="444" w:type="pct"/>
                  <w:tcBorders>
                    <w:top w:val="single" w:color="auto" w:sz="2" w:space="0"/>
                    <w:bottom w:val="single" w:color="auto" w:sz="2" w:space="0"/>
                  </w:tcBorders>
                  <w:vAlign w:val="center"/>
                </w:tcPr>
                <w:p w14:paraId="2A3D8EC8">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第二十九条</w:t>
                  </w:r>
                </w:p>
              </w:tc>
              <w:tc>
                <w:tcPr>
                  <w:tcW w:w="3841" w:type="pct"/>
                  <w:tcBorders>
                    <w:top w:val="single" w:color="auto" w:sz="2" w:space="0"/>
                    <w:bottom w:val="single" w:color="auto" w:sz="2" w:space="0"/>
                  </w:tcBorders>
                  <w:vAlign w:val="center"/>
                </w:tcPr>
                <w:p w14:paraId="75DD7B7E">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新孟河、望虞河以外的其他主要入太湖河道，自河口1万米上溯至5万米河道岸线内及其岸线两侧各1000米范围内，禁止下列行为：</w:t>
                  </w:r>
                </w:p>
                <w:p w14:paraId="6FCC2490">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（一）新建、扩建化工、医药生产项目；</w:t>
                  </w:r>
                </w:p>
                <w:p w14:paraId="466582E7">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（二）新建、扩建污水集中处理设施排污口以外的排污口；</w:t>
                  </w:r>
                </w:p>
                <w:p w14:paraId="086C90FD">
                  <w:pPr>
                    <w:ind w:firstLine="420" w:firstLineChars="20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（三）扩大水产养殖规模。</w:t>
                  </w:r>
                </w:p>
              </w:tc>
              <w:tc>
                <w:tcPr>
                  <w:tcW w:w="714" w:type="pct"/>
                  <w:tcBorders>
                    <w:top w:val="single" w:color="auto" w:sz="2" w:space="0"/>
                    <w:bottom w:val="single" w:color="auto" w:sz="2" w:space="0"/>
                  </w:tcBorders>
                  <w:vAlign w:val="center"/>
                </w:tcPr>
                <w:p w14:paraId="69D27645">
                  <w:pPr>
                    <w:rPr>
                      <w:rFonts w:hint="default" w:ascii="Times New Roman" w:hAnsi="Times New Roman" w:eastAsia="宋体" w:cs="Times New Roman"/>
                      <w:color w:val="auto"/>
                    </w:rPr>
                  </w:pPr>
                  <w:r>
                    <w:rPr>
                      <w:rFonts w:hint="default" w:ascii="Times New Roman" w:hAnsi="Times New Roman" w:eastAsia="宋体" w:cs="Times New Roman"/>
                      <w:color w:val="auto"/>
                    </w:rPr>
                    <w:t>本项目周边不涉及入太湖河道</w:t>
                  </w:r>
                  <w:r>
                    <w:rPr>
                      <w:rFonts w:hint="default" w:ascii="Times New Roman" w:hAnsi="Times New Roman" w:eastAsia="宋体" w:cs="Times New Roman"/>
                      <w:color w:val="auto"/>
                      <w:lang w:eastAsia="zh-CN"/>
                    </w:rPr>
                    <w:t>且不属于禁止建设类项目</w:t>
                  </w:r>
                  <w:r>
                    <w:rPr>
                      <w:rFonts w:hint="default" w:ascii="Times New Roman" w:hAnsi="Times New Roman" w:eastAsia="宋体" w:cs="Times New Roman"/>
                      <w:color w:val="auto"/>
                    </w:rPr>
                    <w:t>。</w:t>
                  </w:r>
                </w:p>
              </w:tc>
            </w:tr>
            <w:tr w14:paraId="37414A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9" w:hRule="atLeast"/>
                <w:jc w:val="center"/>
              </w:trPr>
              <w:tc>
                <w:tcPr>
                  <w:tcW w:w="444" w:type="pct"/>
                  <w:tcBorders>
                    <w:top w:val="single" w:color="auto" w:sz="2" w:space="0"/>
                  </w:tcBorders>
                  <w:vAlign w:val="center"/>
                </w:tcPr>
                <w:p w14:paraId="5D2F1ED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第三十条</w:t>
                  </w:r>
                </w:p>
              </w:tc>
              <w:tc>
                <w:tcPr>
                  <w:tcW w:w="3841" w:type="pct"/>
                  <w:tcBorders>
                    <w:top w:val="single" w:color="auto" w:sz="2" w:space="0"/>
                  </w:tcBorders>
                  <w:vAlign w:val="center"/>
                </w:tcPr>
                <w:p w14:paraId="40EB52F7">
                  <w:pPr>
                    <w:ind w:firstLine="420" w:firstLineChars="20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rPr>
                    <w:t>太湖岸线内和岸线周边5000米范围内，淀山湖岸线内和岸线周边2000米范围内，太浦河、新孟河、望虞河岸线内和岸线两侧各1000米范围内，其他主要入太湖河道自河口上溯至1万米河道岸线内及其岸线两侧各1000米范围内，禁止下列行为：（一）设置剧毒物质、危险化学品的贮存、输送设施和废物回收场、垃圾场；（二）设置水上餐饮经营设施；（三）新建、扩建高尔夫球场；（四）新建、扩建畜禽养殖场；（五）新建、扩建向水体排放污染物的建设项目；（六）本条例第二十九条规定的行为。已经设置前款第一项、第二项规定设施的，当地县级人民政府应当责令拆除或者关闭的项目。</w:t>
                  </w:r>
                </w:p>
              </w:tc>
              <w:tc>
                <w:tcPr>
                  <w:tcW w:w="714" w:type="pct"/>
                  <w:tcBorders>
                    <w:top w:val="single" w:color="auto" w:sz="2" w:space="0"/>
                  </w:tcBorders>
                  <w:vAlign w:val="center"/>
                </w:tcPr>
                <w:p w14:paraId="10112B82">
                  <w:pPr>
                    <w:rPr>
                      <w:rFonts w:hint="default" w:ascii="Times New Roman" w:hAnsi="Times New Roman" w:eastAsia="宋体" w:cs="Times New Roman"/>
                      <w:color w:val="auto"/>
                    </w:rPr>
                  </w:pPr>
                  <w:r>
                    <w:rPr>
                      <w:rFonts w:hint="default" w:ascii="Times New Roman" w:hAnsi="Times New Roman" w:eastAsia="宋体" w:cs="Times New Roman"/>
                      <w:color w:val="auto"/>
                    </w:rPr>
                    <w:t>本项目不属于上述区域内。</w:t>
                  </w:r>
                </w:p>
              </w:tc>
            </w:tr>
          </w:tbl>
          <w:p w14:paraId="1C455FC7">
            <w:pPr>
              <w:autoSpaceDE w:val="0"/>
              <w:autoSpaceDN w:val="0"/>
              <w:adjustRightInd w:val="0"/>
              <w:snapToGrid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综上，本项目与《太湖流域管理条例》（国务院令第604号）的要求相符。</w:t>
            </w:r>
          </w:p>
          <w:p w14:paraId="39143C43">
            <w:pPr>
              <w:autoSpaceDE w:val="0"/>
              <w:autoSpaceDN w:val="0"/>
              <w:adjustRightInd w:val="0"/>
              <w:snapToGrid w:val="0"/>
              <w:spacing w:line="500" w:lineRule="exact"/>
              <w:ind w:firstLine="482" w:firstLineChars="200"/>
              <w:jc w:val="left"/>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（3）与《江苏省太湖水污染防治条例》（2021年修订）相符性分析</w:t>
            </w:r>
          </w:p>
          <w:p w14:paraId="4053C9AD">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《江苏省太湖水污染防治条例》分析对照表</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4"/>
              <w:gridCol w:w="5996"/>
              <w:gridCol w:w="1366"/>
            </w:tblGrid>
            <w:tr w14:paraId="58A0A8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53" w:type="pct"/>
                  <w:noWrap w:val="0"/>
                  <w:vAlign w:val="center"/>
                </w:tcPr>
                <w:p w14:paraId="1D3FB5F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条款</w:t>
                  </w:r>
                </w:p>
              </w:tc>
              <w:tc>
                <w:tcPr>
                  <w:tcW w:w="3703" w:type="pct"/>
                  <w:noWrap w:val="0"/>
                  <w:vAlign w:val="center"/>
                </w:tcPr>
                <w:p w14:paraId="0D0189C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内容</w:t>
                  </w:r>
                </w:p>
              </w:tc>
              <w:tc>
                <w:tcPr>
                  <w:tcW w:w="843" w:type="pct"/>
                  <w:noWrap w:val="0"/>
                  <w:vAlign w:val="center"/>
                </w:tcPr>
                <w:p w14:paraId="263B19F0">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相符性分析</w:t>
                  </w:r>
                </w:p>
              </w:tc>
            </w:tr>
            <w:tr w14:paraId="21A303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53" w:type="pct"/>
                  <w:noWrap w:val="0"/>
                  <w:vAlign w:val="center"/>
                </w:tcPr>
                <w:p w14:paraId="0B70B1B6">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第四十三条</w:t>
                  </w:r>
                </w:p>
              </w:tc>
              <w:tc>
                <w:tcPr>
                  <w:tcW w:w="3703" w:type="pct"/>
                  <w:noWrap w:val="0"/>
                  <w:vAlign w:val="center"/>
                </w:tcPr>
                <w:p w14:paraId="34CE1A6C">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太湖流域一、二、三级保护区禁止下列行为：</w:t>
                  </w:r>
                </w:p>
                <w:p w14:paraId="581147B8">
                  <w:pPr>
                    <w:spacing w:line="240" w:lineRule="auto"/>
                    <w:ind w:firstLine="420" w:firstLineChars="200"/>
                    <w:rPr>
                      <w:rFonts w:hint="default" w:ascii="Times New Roman" w:hAnsi="Times New Roman" w:eastAsia="宋体" w:cs="Times New Roman"/>
                      <w:i w:val="0"/>
                      <w:iCs w:val="0"/>
                      <w:caps w:val="0"/>
                      <w:color w:val="auto"/>
                      <w:spacing w:val="0"/>
                      <w:kern w:val="0"/>
                      <w:sz w:val="21"/>
                      <w:szCs w:val="21"/>
                      <w:lang w:val="en-US" w:eastAsia="zh-CN" w:bidi="ar"/>
                    </w:rPr>
                  </w:pPr>
                  <w:r>
                    <w:rPr>
                      <w:rFonts w:hint="default" w:ascii="Times New Roman" w:hAnsi="Times New Roman" w:eastAsia="宋体" w:cs="Times New Roman"/>
                      <w:color w:val="auto"/>
                      <w:sz w:val="21"/>
                      <w:szCs w:val="21"/>
                    </w:rPr>
                    <w:t>（一）</w:t>
                  </w:r>
                  <w:r>
                    <w:rPr>
                      <w:rFonts w:hint="default" w:ascii="Times New Roman" w:hAnsi="Times New Roman" w:eastAsia="宋体" w:cs="Times New Roman"/>
                      <w:i w:val="0"/>
                      <w:iCs w:val="0"/>
                      <w:caps w:val="0"/>
                      <w:color w:val="auto"/>
                      <w:spacing w:val="0"/>
                      <w:kern w:val="0"/>
                      <w:sz w:val="21"/>
                      <w:szCs w:val="21"/>
                      <w:lang w:val="en-US" w:eastAsia="zh-CN" w:bidi="ar"/>
                    </w:rPr>
                    <w:t>新建、改建、扩建化学制浆造纸、制革、酿造、染料、印染、电镀以及其他排放含磷、氮等污染物的企业和项目，城镇污水集中处理等环境基础设施项目和第四十六条规定的情形除外；</w:t>
                  </w:r>
                </w:p>
                <w:p w14:paraId="7496B45D">
                  <w:pPr>
                    <w:spacing w:line="240" w:lineRule="auto"/>
                    <w:ind w:firstLine="420" w:firstLineChars="200"/>
                    <w:rPr>
                      <w:rFonts w:hint="default" w:ascii="Times New Roman" w:hAnsi="Times New Roman" w:eastAsia="宋体" w:cs="Times New Roman"/>
                      <w:i w:val="0"/>
                      <w:iCs w:val="0"/>
                      <w:caps w:val="0"/>
                      <w:color w:val="auto"/>
                      <w:spacing w:val="0"/>
                      <w:kern w:val="0"/>
                      <w:sz w:val="21"/>
                      <w:szCs w:val="21"/>
                      <w:lang w:val="en-US" w:eastAsia="zh-CN" w:bidi="ar"/>
                    </w:rPr>
                  </w:pPr>
                  <w:r>
                    <w:rPr>
                      <w:rFonts w:hint="default" w:ascii="Times New Roman" w:hAnsi="Times New Roman" w:eastAsia="宋体" w:cs="Times New Roman"/>
                      <w:i w:val="0"/>
                      <w:iCs w:val="0"/>
                      <w:caps w:val="0"/>
                      <w:color w:val="auto"/>
                      <w:spacing w:val="0"/>
                      <w:kern w:val="0"/>
                      <w:sz w:val="21"/>
                      <w:szCs w:val="21"/>
                      <w:lang w:val="en-US" w:eastAsia="zh-CN" w:bidi="ar"/>
                    </w:rPr>
                    <w:t>（二）销售、使用含磷洗涤用品；</w:t>
                  </w:r>
                </w:p>
                <w:p w14:paraId="53FF41E2">
                  <w:pPr>
                    <w:spacing w:line="240" w:lineRule="auto"/>
                    <w:ind w:firstLine="420" w:firstLineChars="200"/>
                    <w:rPr>
                      <w:rFonts w:hint="default" w:ascii="Times New Roman" w:hAnsi="Times New Roman" w:eastAsia="宋体" w:cs="Times New Roman"/>
                      <w:i w:val="0"/>
                      <w:iCs w:val="0"/>
                      <w:caps w:val="0"/>
                      <w:color w:val="auto"/>
                      <w:spacing w:val="0"/>
                      <w:kern w:val="0"/>
                      <w:sz w:val="21"/>
                      <w:szCs w:val="21"/>
                      <w:lang w:val="en-US" w:eastAsia="zh-CN" w:bidi="ar"/>
                    </w:rPr>
                  </w:pPr>
                  <w:r>
                    <w:rPr>
                      <w:rFonts w:hint="default" w:ascii="Times New Roman" w:hAnsi="Times New Roman" w:eastAsia="宋体" w:cs="Times New Roman"/>
                      <w:i w:val="0"/>
                      <w:iCs w:val="0"/>
                      <w:caps w:val="0"/>
                      <w:color w:val="auto"/>
                      <w:spacing w:val="0"/>
                      <w:kern w:val="0"/>
                      <w:sz w:val="21"/>
                      <w:szCs w:val="21"/>
                      <w:lang w:val="en-US" w:eastAsia="zh-CN" w:bidi="ar"/>
                    </w:rPr>
                    <w:t>（三）向水体排放或者倾倒油类、酸液、碱液、剧毒废渣废液、含放射性废渣废液、含病原体污水、工业废渣以及其他废弃物；</w:t>
                  </w:r>
                </w:p>
                <w:p w14:paraId="260A7603">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aps w:val="0"/>
                      <w:color w:val="auto"/>
                      <w:spacing w:val="0"/>
                      <w:kern w:val="0"/>
                      <w:sz w:val="21"/>
                      <w:szCs w:val="21"/>
                      <w:lang w:val="en-US" w:eastAsia="zh-CN" w:bidi="ar"/>
                    </w:rPr>
                    <w:t>（四）在水体清洗装贮过油类或者有毒有害污染物的车辆、船舶和容器等</w:t>
                  </w:r>
                  <w:r>
                    <w:rPr>
                      <w:rFonts w:hint="default" w:ascii="Times New Roman" w:hAnsi="Times New Roman" w:eastAsia="宋体" w:cs="Times New Roman"/>
                      <w:color w:val="auto"/>
                      <w:sz w:val="21"/>
                      <w:szCs w:val="21"/>
                    </w:rPr>
                    <w:t>；</w:t>
                  </w:r>
                </w:p>
                <w:p w14:paraId="3FD7743D">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（五）使用农药等有毒物毒杀水生生物；</w:t>
                  </w:r>
                </w:p>
                <w:p w14:paraId="5FB66E26">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（六）向水体直接排放人畜粪便、倾倒垃圾；</w:t>
                  </w:r>
                </w:p>
                <w:p w14:paraId="4189B0E5">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（七）围湖造地；</w:t>
                  </w:r>
                </w:p>
                <w:p w14:paraId="6DF4F080">
                  <w:pPr>
                    <w:spacing w:line="24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（八）违法开山采石，或者进行破坏林木、植被、水生生物的活动；</w:t>
                  </w:r>
                </w:p>
                <w:p w14:paraId="55BD50AA">
                  <w:pPr>
                    <w:adjustRightInd w:val="0"/>
                    <w:snapToGrid w:val="0"/>
                    <w:spacing w:line="240" w:lineRule="auto"/>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（九）法律、法规禁止的其他行为。</w:t>
                  </w:r>
                </w:p>
              </w:tc>
              <w:tc>
                <w:tcPr>
                  <w:tcW w:w="843" w:type="pct"/>
                  <w:noWrap w:val="0"/>
                  <w:vAlign w:val="center"/>
                </w:tcPr>
                <w:p w14:paraId="6ECA26D3">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rPr>
                    <w:t>属于</w:t>
                  </w:r>
                  <w:r>
                    <w:rPr>
                      <w:rFonts w:hint="default" w:ascii="Times New Roman" w:hAnsi="Times New Roman" w:eastAsia="宋体" w:cs="Times New Roman"/>
                      <w:color w:val="auto"/>
                      <w:kern w:val="2"/>
                      <w:sz w:val="21"/>
                      <w:szCs w:val="21"/>
                      <w:lang w:val="en-US" w:eastAsia="zh-CN" w:bidi="ar-SA"/>
                    </w:rPr>
                    <w:t>C3499其他未列明通用设备制造</w:t>
                  </w:r>
                  <w:r>
                    <w:rPr>
                      <w:rFonts w:hint="eastAsia" w:ascii="Times New Roman" w:hAnsi="Times New Roman" w:eastAsia="宋体" w:cs="Times New Roman"/>
                      <w:color w:val="auto"/>
                      <w:kern w:val="2"/>
                      <w:sz w:val="21"/>
                      <w:szCs w:val="21"/>
                      <w:lang w:val="en-US" w:eastAsia="zh-CN" w:bidi="ar-SA"/>
                    </w:rPr>
                    <w:t>和</w:t>
                  </w:r>
                  <w:r>
                    <w:rPr>
                      <w:rFonts w:hint="default" w:ascii="Times New Roman" w:hAnsi="Times New Roman" w:eastAsia="宋体" w:cs="Times New Roman"/>
                      <w:color w:val="auto"/>
                      <w:kern w:val="2"/>
                      <w:sz w:val="21"/>
                      <w:szCs w:val="21"/>
                      <w:lang w:val="en-US" w:eastAsia="zh-CN" w:bidi="ar-SA"/>
                    </w:rPr>
                    <w:t>C2320装订及印刷相关服务</w:t>
                  </w:r>
                  <w:r>
                    <w:rPr>
                      <w:rFonts w:hint="default" w:ascii="Times New Roman" w:hAnsi="Times New Roman" w:eastAsia="宋体" w:cs="Times New Roman"/>
                      <w:color w:val="auto"/>
                    </w:rPr>
                    <w:t>，</w:t>
                  </w:r>
                  <w:r>
                    <w:rPr>
                      <w:rFonts w:hint="default" w:ascii="Times New Roman" w:hAnsi="Times New Roman" w:eastAsia="宋体" w:cs="Times New Roman"/>
                      <w:color w:val="auto"/>
                      <w:sz w:val="21"/>
                      <w:szCs w:val="21"/>
                    </w:rPr>
                    <w:t>位于太湖流域三级保护区内，生产过程中无含磷、氮生产废水排放</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不属于禁止类。</w:t>
                  </w:r>
                </w:p>
              </w:tc>
            </w:tr>
          </w:tbl>
          <w:p w14:paraId="09CBDFD0">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color w:val="auto"/>
                <w:sz w:val="24"/>
                <w:lang w:val="en-US" w:eastAsia="zh-CN"/>
              </w:rPr>
              <w:t>5</w:t>
            </w:r>
            <w:r>
              <w:rPr>
                <w:rFonts w:hint="default" w:ascii="Times New Roman" w:hAnsi="Times New Roman" w:eastAsia="宋体" w:cs="Times New Roman"/>
                <w:b/>
                <w:color w:val="auto"/>
                <w:sz w:val="24"/>
              </w:rPr>
              <w:t>、</w:t>
            </w:r>
            <w:r>
              <w:rPr>
                <w:rFonts w:hint="default" w:ascii="Times New Roman" w:hAnsi="Times New Roman" w:eastAsia="宋体" w:cs="Times New Roman"/>
                <w:b/>
                <w:bCs/>
                <w:color w:val="auto"/>
                <w:sz w:val="24"/>
              </w:rPr>
              <w:t>与其他环境保护管理要求的相符性分析</w:t>
            </w:r>
          </w:p>
          <w:p w14:paraId="1CEF6B29">
            <w:pPr>
              <w:pStyle w:val="86"/>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（1）与《油墨中可挥发性有机化合物（VOCs）含量的限值》（GB38507-2020）、《清洗剂挥发性有机化合物含量限值》（GB 38508-2020）相符性分析</w:t>
            </w:r>
          </w:p>
          <w:p w14:paraId="51A3453E">
            <w:pPr>
              <w:pStyle w:val="100"/>
              <w:bidi w:val="0"/>
              <w:ind w:left="0" w:leftChars="0" w:firstLine="0" w:firstLineChars="0"/>
              <w:jc w:val="center"/>
              <w:rPr>
                <w:rFonts w:hint="default" w:ascii="Times New Roman" w:hAnsi="Times New Roman" w:eastAsia="宋体" w:cs="Times New Roman"/>
                <w:color w:val="auto"/>
              </w:rPr>
            </w:pPr>
          </w:p>
          <w:p w14:paraId="191B4AFE">
            <w:pPr>
              <w:pStyle w:val="100"/>
              <w:bidi w:val="0"/>
              <w:ind w:left="0" w:leftChars="0" w:firstLine="0" w:firstLineChars="0"/>
              <w:jc w:val="center"/>
              <w:rPr>
                <w:rFonts w:hint="default" w:ascii="Times New Roman" w:hAnsi="Times New Roman" w:eastAsia="宋体" w:cs="Times New Roman"/>
                <w:color w:val="auto"/>
              </w:rPr>
            </w:pPr>
          </w:p>
          <w:p w14:paraId="0810B5A4">
            <w:pPr>
              <w:pStyle w:val="100"/>
              <w:bidi w:val="0"/>
              <w:ind w:left="0" w:leftChars="0" w:firstLine="0" w:firstLineChars="0"/>
              <w:jc w:val="center"/>
              <w:rPr>
                <w:rFonts w:hint="default" w:ascii="Times New Roman" w:hAnsi="Times New Roman" w:eastAsia="宋体" w:cs="Times New Roman"/>
                <w:color w:val="auto"/>
              </w:rPr>
            </w:pPr>
          </w:p>
          <w:p w14:paraId="7FDDF7E0">
            <w:pPr>
              <w:pStyle w:val="100"/>
              <w:bidi w:val="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表 </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7与</w:t>
            </w:r>
            <w:r>
              <w:rPr>
                <w:rFonts w:hint="default" w:ascii="Times New Roman" w:hAnsi="Times New Roman" w:eastAsia="宋体" w:cs="Times New Roman"/>
                <w:b/>
                <w:bCs w:val="0"/>
                <w:color w:val="auto"/>
                <w:kern w:val="2"/>
                <w:sz w:val="21"/>
                <w:szCs w:val="21"/>
                <w:lang w:val="en-US" w:eastAsia="zh-CN" w:bidi="ar-SA"/>
              </w:rPr>
              <w:t>GB38507-2020、GB 38508-2020</w:t>
            </w:r>
            <w:r>
              <w:rPr>
                <w:rFonts w:hint="default" w:ascii="Times New Roman" w:hAnsi="Times New Roman" w:eastAsia="宋体" w:cs="Times New Roman"/>
                <w:color w:val="auto"/>
                <w:sz w:val="21"/>
                <w:szCs w:val="21"/>
                <w:lang w:val="en-US" w:eastAsia="zh-CN"/>
              </w:rPr>
              <w:t>相符性对照</w:t>
            </w:r>
          </w:p>
          <w:tbl>
            <w:tblPr>
              <w:tblStyle w:val="28"/>
              <w:tblW w:w="4996"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993"/>
              <w:gridCol w:w="1568"/>
              <w:gridCol w:w="899"/>
              <w:gridCol w:w="2024"/>
              <w:gridCol w:w="941"/>
              <w:gridCol w:w="831"/>
            </w:tblGrid>
            <w:tr w14:paraId="3F7C4E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516" w:type="pct"/>
                  <w:vAlign w:val="center"/>
                </w:tcPr>
                <w:p w14:paraId="49DD1FCE">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613" w:type="pct"/>
                  <w:vAlign w:val="center"/>
                </w:tcPr>
                <w:p w14:paraId="53A6F1BA">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品种</w:t>
                  </w:r>
                </w:p>
              </w:tc>
              <w:tc>
                <w:tcPr>
                  <w:tcW w:w="968" w:type="pct"/>
                  <w:vAlign w:val="center"/>
                </w:tcPr>
                <w:p w14:paraId="15A535DE">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成分</w:t>
                  </w:r>
                </w:p>
              </w:tc>
              <w:tc>
                <w:tcPr>
                  <w:tcW w:w="555" w:type="pct"/>
                  <w:vAlign w:val="center"/>
                </w:tcPr>
                <w:p w14:paraId="7169A6E2">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含量</w:t>
                  </w:r>
                </w:p>
              </w:tc>
              <w:tc>
                <w:tcPr>
                  <w:tcW w:w="1250" w:type="pct"/>
                  <w:vAlign w:val="center"/>
                </w:tcPr>
                <w:p w14:paraId="29C98B01">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标准文件</w:t>
                  </w:r>
                </w:p>
              </w:tc>
              <w:tc>
                <w:tcPr>
                  <w:tcW w:w="581" w:type="pct"/>
                  <w:vAlign w:val="center"/>
                </w:tcPr>
                <w:p w14:paraId="4D32AF2E">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限值含量</w:t>
                  </w:r>
                </w:p>
              </w:tc>
              <w:tc>
                <w:tcPr>
                  <w:tcW w:w="513" w:type="pct"/>
                  <w:vAlign w:val="center"/>
                </w:tcPr>
                <w:p w14:paraId="720CA159">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是否满足要求</w:t>
                  </w:r>
                </w:p>
              </w:tc>
            </w:tr>
            <w:tr w14:paraId="2F54D5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7B5F8BE4">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丝网印刷油墨</w:t>
                  </w:r>
                </w:p>
              </w:tc>
              <w:tc>
                <w:tcPr>
                  <w:tcW w:w="613" w:type="pct"/>
                  <w:vAlign w:val="center"/>
                </w:tcPr>
                <w:p w14:paraId="3CBDA209">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溶剂油墨</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网印</w:t>
                  </w:r>
                  <w:r>
                    <w:rPr>
                      <w:rFonts w:hint="default" w:ascii="Times New Roman" w:hAnsi="Times New Roman" w:eastAsia="宋体" w:cs="Times New Roman"/>
                      <w:bCs/>
                      <w:color w:val="auto"/>
                      <w:sz w:val="21"/>
                      <w:szCs w:val="21"/>
                      <w:lang w:val="en-US" w:eastAsia="zh-CN"/>
                    </w:rPr>
                    <w:t>油墨</w:t>
                  </w:r>
                </w:p>
              </w:tc>
              <w:tc>
                <w:tcPr>
                  <w:tcW w:w="968" w:type="pct"/>
                  <w:vMerge w:val="restart"/>
                  <w:vAlign w:val="center"/>
                </w:tcPr>
                <w:p w14:paraId="043C7E39">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w:t>
                  </w:r>
                </w:p>
              </w:tc>
              <w:tc>
                <w:tcPr>
                  <w:tcW w:w="555" w:type="pct"/>
                  <w:vAlign w:val="center"/>
                </w:tcPr>
                <w:p w14:paraId="75EFE07A">
                  <w:pPr>
                    <w:pStyle w:val="101"/>
                    <w:bidi w:val="0"/>
                    <w:ind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lang w:val="en-US" w:eastAsia="zh-CN"/>
                    </w:rPr>
                    <w:t>18.9</w:t>
                  </w:r>
                  <w:r>
                    <w:rPr>
                      <w:rFonts w:hint="default" w:ascii="Times New Roman" w:hAnsi="Times New Roman" w:eastAsia="宋体" w:cs="Times New Roman"/>
                      <w:b w:val="0"/>
                      <w:bCs/>
                      <w:color w:val="auto"/>
                      <w:sz w:val="21"/>
                      <w:szCs w:val="21"/>
                    </w:rPr>
                    <w:t>%</w:t>
                  </w:r>
                </w:p>
              </w:tc>
              <w:tc>
                <w:tcPr>
                  <w:tcW w:w="1250" w:type="pct"/>
                  <w:vMerge w:val="restart"/>
                  <w:vAlign w:val="center"/>
                </w:tcPr>
                <w:p w14:paraId="64E87E73">
                  <w:pPr>
                    <w:pStyle w:val="101"/>
                    <w:bidi w:val="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lang w:val="en-US" w:eastAsia="zh-CN" w:bidi="ar-SA"/>
                    </w:rPr>
                    <w:t>《油墨中可挥发性有机化合物（VOCs）含量的限值》（GB38507-2020）</w:t>
                  </w:r>
                </w:p>
              </w:tc>
              <w:tc>
                <w:tcPr>
                  <w:tcW w:w="581" w:type="pct"/>
                  <w:vAlign w:val="center"/>
                </w:tcPr>
                <w:p w14:paraId="2AF69AD4">
                  <w:pPr>
                    <w:pStyle w:val="10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lang w:val="en-US" w:eastAsia="zh-CN"/>
                    </w:rPr>
                    <w:t>75</w:t>
                  </w:r>
                  <w:r>
                    <w:rPr>
                      <w:rFonts w:hint="default" w:ascii="Times New Roman" w:hAnsi="Times New Roman" w:eastAsia="宋体" w:cs="Times New Roman"/>
                      <w:bCs/>
                      <w:color w:val="auto"/>
                      <w:sz w:val="21"/>
                      <w:szCs w:val="21"/>
                    </w:rPr>
                    <w:t>%</w:t>
                  </w:r>
                </w:p>
              </w:tc>
              <w:tc>
                <w:tcPr>
                  <w:tcW w:w="513" w:type="pct"/>
                  <w:vAlign w:val="center"/>
                </w:tcPr>
                <w:p w14:paraId="636351A1">
                  <w:pPr>
                    <w:pStyle w:val="10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是</w:t>
                  </w:r>
                </w:p>
              </w:tc>
            </w:tr>
            <w:tr w14:paraId="29E86B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0B322EAC">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UV油墨</w:t>
                  </w:r>
                </w:p>
              </w:tc>
              <w:tc>
                <w:tcPr>
                  <w:tcW w:w="613" w:type="pct"/>
                  <w:vAlign w:val="center"/>
                </w:tcPr>
                <w:p w14:paraId="5F672D19">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能量固化油墨</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喷墨印刷油墨</w:t>
                  </w:r>
                </w:p>
              </w:tc>
              <w:tc>
                <w:tcPr>
                  <w:tcW w:w="968" w:type="pct"/>
                  <w:vMerge w:val="continue"/>
                  <w:vAlign w:val="center"/>
                </w:tcPr>
                <w:p w14:paraId="086F6A25">
                  <w:pPr>
                    <w:pStyle w:val="101"/>
                    <w:bidi w:val="0"/>
                    <w:jc w:val="center"/>
                    <w:rPr>
                      <w:rFonts w:hint="default" w:ascii="Times New Roman" w:hAnsi="Times New Roman" w:eastAsia="宋体" w:cs="Times New Roman"/>
                      <w:color w:val="auto"/>
                      <w:sz w:val="21"/>
                      <w:szCs w:val="21"/>
                      <w:highlight w:val="none"/>
                      <w:lang w:val="en-US" w:eastAsia="zh-CN"/>
                    </w:rPr>
                  </w:pPr>
                </w:p>
              </w:tc>
              <w:tc>
                <w:tcPr>
                  <w:tcW w:w="555" w:type="pct"/>
                  <w:vAlign w:val="center"/>
                </w:tcPr>
                <w:p w14:paraId="3E67F3A9">
                  <w:pPr>
                    <w:pStyle w:val="101"/>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1.5%</w:t>
                  </w:r>
                </w:p>
              </w:tc>
              <w:tc>
                <w:tcPr>
                  <w:tcW w:w="1250" w:type="pct"/>
                  <w:vMerge w:val="continue"/>
                  <w:vAlign w:val="center"/>
                </w:tcPr>
                <w:p w14:paraId="2614039E">
                  <w:pPr>
                    <w:pStyle w:val="101"/>
                    <w:bidi w:val="0"/>
                    <w:jc w:val="center"/>
                    <w:rPr>
                      <w:rFonts w:hint="default" w:ascii="Times New Roman" w:hAnsi="Times New Roman" w:eastAsia="宋体" w:cs="Times New Roman"/>
                      <w:b w:val="0"/>
                      <w:bCs/>
                      <w:color w:val="auto"/>
                      <w:sz w:val="21"/>
                      <w:szCs w:val="21"/>
                      <w:highlight w:val="none"/>
                    </w:rPr>
                  </w:pPr>
                </w:p>
              </w:tc>
              <w:tc>
                <w:tcPr>
                  <w:tcW w:w="581" w:type="pct"/>
                  <w:vAlign w:val="center"/>
                </w:tcPr>
                <w:p w14:paraId="2381B5D6">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513" w:type="pct"/>
                  <w:vAlign w:val="center"/>
                </w:tcPr>
                <w:p w14:paraId="4746FC7A">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r>
            <w:tr w14:paraId="5993AA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41310549">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写真机油墨</w:t>
                  </w:r>
                </w:p>
              </w:tc>
              <w:tc>
                <w:tcPr>
                  <w:tcW w:w="613" w:type="pct"/>
                  <w:vAlign w:val="center"/>
                </w:tcPr>
                <w:p w14:paraId="5B31ACFB">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溶剂油墨</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喷墨印刷油墨</w:t>
                  </w:r>
                </w:p>
              </w:tc>
              <w:tc>
                <w:tcPr>
                  <w:tcW w:w="968" w:type="pct"/>
                  <w:vMerge w:val="continue"/>
                  <w:vAlign w:val="center"/>
                </w:tcPr>
                <w:p w14:paraId="19B1AF33">
                  <w:pPr>
                    <w:pStyle w:val="101"/>
                    <w:bidi w:val="0"/>
                    <w:jc w:val="center"/>
                    <w:rPr>
                      <w:rFonts w:hint="default" w:ascii="Times New Roman" w:hAnsi="Times New Roman" w:eastAsia="宋体" w:cs="Times New Roman"/>
                      <w:color w:val="auto"/>
                      <w:sz w:val="21"/>
                      <w:szCs w:val="21"/>
                      <w:highlight w:val="none"/>
                      <w:lang w:val="en-US" w:eastAsia="zh-CN"/>
                    </w:rPr>
                  </w:pPr>
                </w:p>
              </w:tc>
              <w:tc>
                <w:tcPr>
                  <w:tcW w:w="555" w:type="pct"/>
                  <w:vAlign w:val="center"/>
                </w:tcPr>
                <w:p w14:paraId="7F5C9F66">
                  <w:pPr>
                    <w:pStyle w:val="101"/>
                    <w:bidi w:val="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90.1%</w:t>
                  </w:r>
                </w:p>
              </w:tc>
              <w:tc>
                <w:tcPr>
                  <w:tcW w:w="1250" w:type="pct"/>
                  <w:vMerge w:val="continue"/>
                  <w:vAlign w:val="center"/>
                </w:tcPr>
                <w:p w14:paraId="51FBC5C6">
                  <w:pPr>
                    <w:pStyle w:val="101"/>
                    <w:bidi w:val="0"/>
                    <w:jc w:val="center"/>
                    <w:rPr>
                      <w:rFonts w:hint="default" w:ascii="Times New Roman" w:hAnsi="Times New Roman" w:eastAsia="宋体" w:cs="Times New Roman"/>
                      <w:color w:val="auto"/>
                      <w:kern w:val="2"/>
                      <w:sz w:val="21"/>
                      <w:szCs w:val="21"/>
                      <w:highlight w:val="none"/>
                      <w:lang w:val="en-US" w:eastAsia="zh-CN" w:bidi="ar-SA"/>
                    </w:rPr>
                  </w:pPr>
                </w:p>
              </w:tc>
              <w:tc>
                <w:tcPr>
                  <w:tcW w:w="581" w:type="pct"/>
                  <w:vAlign w:val="center"/>
                </w:tcPr>
                <w:p w14:paraId="2C7FB8E7">
                  <w:pPr>
                    <w:pStyle w:val="10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95%</w:t>
                  </w:r>
                </w:p>
              </w:tc>
              <w:tc>
                <w:tcPr>
                  <w:tcW w:w="513" w:type="pct"/>
                  <w:vAlign w:val="center"/>
                </w:tcPr>
                <w:p w14:paraId="60138FE6">
                  <w:pPr>
                    <w:pStyle w:val="10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是</w:t>
                  </w:r>
                </w:p>
              </w:tc>
            </w:tr>
            <w:tr w14:paraId="634EDE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449A338E">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乙醇</w:t>
                  </w:r>
                </w:p>
              </w:tc>
              <w:tc>
                <w:tcPr>
                  <w:tcW w:w="613" w:type="pct"/>
                  <w:vAlign w:val="center"/>
                </w:tcPr>
                <w:p w14:paraId="13968B0D">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溶剂型清洗剂</w:t>
                  </w:r>
                </w:p>
              </w:tc>
              <w:tc>
                <w:tcPr>
                  <w:tcW w:w="968" w:type="pct"/>
                  <w:vAlign w:val="center"/>
                </w:tcPr>
                <w:p w14:paraId="549D24D8">
                  <w:pPr>
                    <w:pStyle w:val="101"/>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挥发性有机化合物(VOC)</w:t>
                  </w:r>
                </w:p>
              </w:tc>
              <w:tc>
                <w:tcPr>
                  <w:tcW w:w="555" w:type="pct"/>
                  <w:vAlign w:val="center"/>
                </w:tcPr>
                <w:p w14:paraId="32D25671">
                  <w:pPr>
                    <w:pStyle w:val="101"/>
                    <w:bidi w:val="0"/>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lang w:val="en-US" w:eastAsia="zh-CN"/>
                    </w:rPr>
                    <w:t>781</w:t>
                  </w:r>
                  <w:r>
                    <w:rPr>
                      <w:rFonts w:hint="default" w:ascii="Times New Roman" w:hAnsi="Times New Roman" w:eastAsia="宋体" w:cs="Times New Roman"/>
                      <w:color w:val="auto"/>
                      <w:sz w:val="21"/>
                      <w:szCs w:val="21"/>
                    </w:rPr>
                    <w:t>g/</w:t>
                  </w:r>
                  <w:r>
                    <w:rPr>
                      <w:rFonts w:hint="default" w:ascii="Times New Roman" w:hAnsi="Times New Roman" w:eastAsia="宋体" w:cs="Times New Roman"/>
                      <w:color w:val="auto"/>
                      <w:sz w:val="21"/>
                      <w:szCs w:val="21"/>
                      <w:lang w:val="en-US" w:eastAsia="zh-CN"/>
                    </w:rPr>
                    <w:t>L</w:t>
                  </w:r>
                </w:p>
              </w:tc>
              <w:tc>
                <w:tcPr>
                  <w:tcW w:w="1250" w:type="pct"/>
                  <w:vAlign w:val="center"/>
                </w:tcPr>
                <w:p w14:paraId="60E7F003">
                  <w:pPr>
                    <w:pStyle w:val="101"/>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《清洗剂挥发性有机化合物含量限值》（GB 38508-2020）</w:t>
                  </w:r>
                </w:p>
              </w:tc>
              <w:tc>
                <w:tcPr>
                  <w:tcW w:w="581" w:type="pct"/>
                  <w:vAlign w:val="center"/>
                </w:tcPr>
                <w:p w14:paraId="24753EBE">
                  <w:pPr>
                    <w:pStyle w:val="101"/>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rPr>
                    <w:t>900g/L</w:t>
                  </w:r>
                </w:p>
              </w:tc>
              <w:tc>
                <w:tcPr>
                  <w:tcW w:w="513" w:type="pct"/>
                  <w:vAlign w:val="center"/>
                </w:tcPr>
                <w:p w14:paraId="2003B56C">
                  <w:pPr>
                    <w:pStyle w:val="101"/>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r>
          </w:tbl>
          <w:p w14:paraId="70C787C2">
            <w:pPr>
              <w:pStyle w:val="103"/>
              <w:bidi w:val="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根据上表本项目使用的油墨均符合</w:t>
            </w:r>
            <w:r>
              <w:rPr>
                <w:rFonts w:hint="default" w:ascii="Times New Roman" w:hAnsi="Times New Roman" w:eastAsia="宋体" w:cs="Times New Roman"/>
                <w:b w:val="0"/>
                <w:bCs/>
                <w:color w:val="auto"/>
                <w:kern w:val="2"/>
                <w:sz w:val="21"/>
                <w:szCs w:val="21"/>
                <w:lang w:val="en-US" w:eastAsia="zh-CN" w:bidi="ar-SA"/>
              </w:rPr>
              <w:t>《油墨中可挥发性有机化合物（VOCs）含量的限值》（GB38507-2020）</w:t>
            </w:r>
            <w:r>
              <w:rPr>
                <w:rFonts w:hint="default" w:ascii="Times New Roman" w:hAnsi="Times New Roman" w:eastAsia="宋体" w:cs="Times New Roman"/>
                <w:color w:val="auto"/>
                <w:kern w:val="2"/>
                <w:sz w:val="24"/>
                <w:szCs w:val="24"/>
                <w:lang w:val="en-US" w:eastAsia="zh-CN" w:bidi="ar-SA"/>
              </w:rPr>
              <w:t>的限值要求，清洗剂乙醇符合《清洗剂挥发性有机化合物含量限值》（GB 38508-2020）的限值要求。</w:t>
            </w:r>
          </w:p>
          <w:p w14:paraId="06DF6023">
            <w:pPr>
              <w:keepNext w:val="0"/>
              <w:keepLines w:val="0"/>
              <w:pageBreakBefore w:val="0"/>
              <w:widowControl/>
              <w:kinsoku/>
              <w:wordWrap/>
              <w:overflowPunct/>
              <w:topLinePunct w:val="0"/>
              <w:autoSpaceDE/>
              <w:autoSpaceDN/>
              <w:bidi w:val="0"/>
              <w:adjustRightInd w:val="0"/>
              <w:snapToGrid/>
              <w:spacing w:line="500" w:lineRule="exact"/>
              <w:ind w:firstLine="482" w:firstLineChars="200"/>
              <w:textAlignment w:val="auto"/>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lang w:eastAsia="zh-CN"/>
              </w:rPr>
              <w:t>（</w:t>
            </w:r>
            <w:r>
              <w:rPr>
                <w:rFonts w:hint="default" w:ascii="Times New Roman" w:hAnsi="Times New Roman" w:eastAsia="宋体" w:cs="Times New Roman"/>
                <w:b/>
                <w:bCs w:val="0"/>
                <w:color w:val="auto"/>
                <w:sz w:val="24"/>
                <w:lang w:val="en-US" w:eastAsia="zh-CN"/>
              </w:rPr>
              <w:t>2</w:t>
            </w:r>
            <w:r>
              <w:rPr>
                <w:rFonts w:hint="default" w:ascii="Times New Roman" w:hAnsi="Times New Roman" w:eastAsia="宋体" w:cs="Times New Roman"/>
                <w:b/>
                <w:bCs w:val="0"/>
                <w:color w:val="auto"/>
                <w:sz w:val="24"/>
                <w:lang w:eastAsia="zh-CN"/>
              </w:rPr>
              <w:t>）</w:t>
            </w:r>
            <w:r>
              <w:rPr>
                <w:rFonts w:hint="default" w:ascii="Times New Roman" w:hAnsi="Times New Roman" w:eastAsia="宋体" w:cs="Times New Roman"/>
                <w:b/>
                <w:bCs w:val="0"/>
                <w:color w:val="auto"/>
                <w:sz w:val="24"/>
              </w:rPr>
              <w:t>与《江苏省大气污染防治条例》（2018年修正）相符性分析</w:t>
            </w:r>
          </w:p>
          <w:p w14:paraId="787B6F63">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rPr>
              <w:t xml:space="preserve"> 与《江苏省大气污染防治条例》（2018年修正）相符性分析</w:t>
            </w:r>
          </w:p>
          <w:tbl>
            <w:tblPr>
              <w:tblStyle w:val="28"/>
              <w:tblW w:w="48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43"/>
              <w:gridCol w:w="3087"/>
            </w:tblGrid>
            <w:tr w14:paraId="729847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3053" w:type="pct"/>
                  <w:vAlign w:val="center"/>
                </w:tcPr>
                <w:p w14:paraId="769D4C3B">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要求</w:t>
                  </w:r>
                </w:p>
              </w:tc>
              <w:tc>
                <w:tcPr>
                  <w:tcW w:w="1946" w:type="pct"/>
                  <w:vAlign w:val="center"/>
                </w:tcPr>
                <w:p w14:paraId="151D8422">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相符性分析</w:t>
                  </w:r>
                </w:p>
              </w:tc>
            </w:tr>
            <w:tr w14:paraId="6024BD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3" w:type="pct"/>
                  <w:vAlign w:val="center"/>
                </w:tcPr>
                <w:p w14:paraId="7398DF14">
                  <w:pPr>
                    <w:autoSpaceDE w:val="0"/>
                    <w:autoSpaceDN w:val="0"/>
                    <w:snapToGrid w:val="0"/>
                    <w:ind w:firstLine="420" w:firstLineChars="20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第三十九条  产生挥发性有机物废气的生产经营活动，应当在密闭空间或者设备中进行，并设置废气收集和处理系统等污染防治设施，保持其正常使用；造船等无法在密闭空间进行的生产经营活动，应当采取有效措施，减少挥发性有机物排放量。</w:t>
                  </w:r>
                </w:p>
              </w:tc>
              <w:tc>
                <w:tcPr>
                  <w:tcW w:w="1946" w:type="pct"/>
                  <w:vAlign w:val="center"/>
                </w:tcPr>
                <w:p w14:paraId="08BB6E83">
                  <w:pPr>
                    <w:autoSpaceDE w:val="0"/>
                    <w:autoSpaceDN w:val="0"/>
                    <w:snapToGrid w:val="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highlight w:val="none"/>
                    </w:rPr>
                    <w:t>本项目</w:t>
                  </w:r>
                  <w:r>
                    <w:rPr>
                      <w:rFonts w:hint="default" w:ascii="Times New Roman" w:hAnsi="Times New Roman" w:eastAsia="宋体" w:cs="Times New Roman"/>
                      <w:color w:val="auto"/>
                      <w:kern w:val="0"/>
                      <w:szCs w:val="21"/>
                      <w:highlight w:val="none"/>
                      <w:lang w:val="en-US" w:eastAsia="zh-CN"/>
                    </w:rPr>
                    <w:t>印刷工序</w:t>
                  </w:r>
                  <w:r>
                    <w:rPr>
                      <w:rFonts w:hint="default" w:ascii="Times New Roman" w:hAnsi="Times New Roman" w:eastAsia="宋体" w:cs="Times New Roman"/>
                      <w:color w:val="auto"/>
                      <w:kern w:val="0"/>
                      <w:szCs w:val="21"/>
                      <w:highlight w:val="none"/>
                      <w:lang w:eastAsia="zh-CN"/>
                    </w:rPr>
                    <w:t>在相对密闭的空间进行，</w:t>
                  </w:r>
                  <w:r>
                    <w:rPr>
                      <w:rFonts w:hint="default" w:ascii="Times New Roman" w:hAnsi="Times New Roman" w:eastAsia="宋体" w:cs="Times New Roman"/>
                      <w:color w:val="auto"/>
                      <w:kern w:val="0"/>
                      <w:szCs w:val="21"/>
                      <w:highlight w:val="none"/>
                      <w:lang w:val="en-US" w:eastAsia="zh-CN"/>
                    </w:rPr>
                    <w:t>印刷</w:t>
                  </w:r>
                  <w:r>
                    <w:rPr>
                      <w:rFonts w:hint="default" w:ascii="Times New Roman" w:hAnsi="Times New Roman" w:eastAsia="宋体" w:cs="Times New Roman"/>
                      <w:color w:val="auto"/>
                      <w:kern w:val="0"/>
                      <w:szCs w:val="21"/>
                      <w:highlight w:val="none"/>
                      <w:lang w:eastAsia="zh-CN"/>
                    </w:rPr>
                    <w:t>有机</w:t>
                  </w:r>
                  <w:r>
                    <w:rPr>
                      <w:rFonts w:hint="default" w:ascii="Times New Roman" w:hAnsi="Times New Roman" w:eastAsia="宋体" w:cs="Times New Roman"/>
                      <w:color w:val="auto"/>
                      <w:kern w:val="0"/>
                      <w:szCs w:val="21"/>
                      <w:highlight w:val="none"/>
                      <w:lang w:val="en-US" w:eastAsia="zh-CN"/>
                    </w:rPr>
                    <w:t>废气采用二级活性炭吸附设备处理</w:t>
                  </w:r>
                  <w:r>
                    <w:rPr>
                      <w:rFonts w:hint="default" w:ascii="Times New Roman" w:hAnsi="Times New Roman" w:eastAsia="宋体" w:cs="Times New Roman"/>
                      <w:color w:val="auto"/>
                      <w:kern w:val="0"/>
                      <w:szCs w:val="21"/>
                      <w:highlight w:val="none"/>
                    </w:rPr>
                    <w:t>，可有效减少挥发性</w:t>
                  </w:r>
                  <w:r>
                    <w:rPr>
                      <w:rFonts w:hint="default" w:ascii="Times New Roman" w:hAnsi="Times New Roman" w:eastAsia="宋体" w:cs="Times New Roman"/>
                      <w:color w:val="auto"/>
                      <w:szCs w:val="21"/>
                      <w:highlight w:val="none"/>
                    </w:rPr>
                    <w:t>有机物</w:t>
                  </w:r>
                  <w:r>
                    <w:rPr>
                      <w:rFonts w:hint="default" w:ascii="Times New Roman" w:hAnsi="Times New Roman" w:eastAsia="宋体" w:cs="Times New Roman"/>
                      <w:color w:val="auto"/>
                      <w:kern w:val="0"/>
                      <w:szCs w:val="21"/>
                      <w:highlight w:val="none"/>
                    </w:rPr>
                    <w:t>排放量。</w:t>
                  </w:r>
                </w:p>
              </w:tc>
            </w:tr>
          </w:tbl>
          <w:p w14:paraId="2407B07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综上，本项目建设与《江苏省大气污染防治条例》（2018年修正）相符。</w:t>
            </w:r>
          </w:p>
          <w:p w14:paraId="4F23D121">
            <w:pPr>
              <w:keepNext w:val="0"/>
              <w:keepLines w:val="0"/>
              <w:pageBreakBefore w:val="0"/>
              <w:widowControl/>
              <w:kinsoku/>
              <w:wordWrap/>
              <w:overflowPunct/>
              <w:topLinePunct w:val="0"/>
              <w:autoSpaceDE/>
              <w:autoSpaceDN/>
              <w:bidi w:val="0"/>
              <w:adjustRightInd w:val="0"/>
              <w:snapToGrid/>
              <w:spacing w:line="500" w:lineRule="exact"/>
              <w:ind w:firstLine="482" w:firstLineChars="200"/>
              <w:textAlignment w:val="auto"/>
              <w:rPr>
                <w:rFonts w:hint="default" w:ascii="Times New Roman" w:hAnsi="Times New Roman" w:eastAsia="宋体" w:cs="Times New Roman"/>
                <w:b/>
                <w:bCs w:val="0"/>
                <w:color w:val="auto"/>
                <w:sz w:val="24"/>
              </w:rPr>
            </w:pPr>
            <w:r>
              <w:rPr>
                <w:rFonts w:hint="default" w:ascii="Times New Roman" w:hAnsi="Times New Roman" w:eastAsia="宋体" w:cs="Times New Roman"/>
                <w:b/>
                <w:bCs w:val="0"/>
                <w:color w:val="auto"/>
                <w:sz w:val="24"/>
              </w:rPr>
              <w:t>（</w:t>
            </w:r>
            <w:r>
              <w:rPr>
                <w:rFonts w:hint="default" w:ascii="Times New Roman" w:hAnsi="Times New Roman" w:eastAsia="宋体" w:cs="Times New Roman"/>
                <w:b/>
                <w:bCs w:val="0"/>
                <w:color w:val="auto"/>
                <w:sz w:val="24"/>
                <w:lang w:val="en-US" w:eastAsia="zh-CN"/>
              </w:rPr>
              <w:t>2</w:t>
            </w:r>
            <w:r>
              <w:rPr>
                <w:rFonts w:hint="default" w:ascii="Times New Roman" w:hAnsi="Times New Roman" w:eastAsia="宋体" w:cs="Times New Roman"/>
                <w:b/>
                <w:bCs w:val="0"/>
                <w:color w:val="auto"/>
                <w:sz w:val="24"/>
              </w:rPr>
              <w:t>）与《江苏省挥发性有机物污染物防治管理办法》（省政府令第119号）相符性分析</w:t>
            </w:r>
          </w:p>
          <w:p w14:paraId="2F9A4008">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9</w:t>
            </w:r>
            <w:r>
              <w:rPr>
                <w:rFonts w:hint="default" w:ascii="Times New Roman" w:hAnsi="Times New Roman" w:eastAsia="宋体" w:cs="Times New Roman"/>
                <w:b/>
                <w:bCs/>
                <w:color w:val="auto"/>
                <w:sz w:val="21"/>
                <w:szCs w:val="21"/>
              </w:rPr>
              <w:t xml:space="preserve"> 与省政府令第119号的相符性分析</w:t>
            </w:r>
          </w:p>
          <w:tbl>
            <w:tblPr>
              <w:tblStyle w:val="28"/>
              <w:tblW w:w="779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79"/>
              <w:gridCol w:w="2517"/>
            </w:tblGrid>
            <w:tr w14:paraId="533E5A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79" w:type="dxa"/>
                  <w:vAlign w:val="center"/>
                </w:tcPr>
                <w:p w14:paraId="083CF802">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要求</w:t>
                  </w:r>
                </w:p>
              </w:tc>
              <w:tc>
                <w:tcPr>
                  <w:tcW w:w="2517" w:type="dxa"/>
                  <w:vAlign w:val="center"/>
                </w:tcPr>
                <w:p w14:paraId="116D7706">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相符性分析</w:t>
                  </w:r>
                </w:p>
              </w:tc>
            </w:tr>
            <w:tr w14:paraId="202902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1" w:hRule="atLeast"/>
                <w:jc w:val="center"/>
              </w:trPr>
              <w:tc>
                <w:tcPr>
                  <w:tcW w:w="5279" w:type="dxa"/>
                  <w:tcBorders>
                    <w:bottom w:val="single" w:color="auto" w:sz="2" w:space="0"/>
                  </w:tcBorders>
                  <w:vAlign w:val="center"/>
                </w:tcPr>
                <w:p w14:paraId="09F4408B">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根据《江苏省挥发性有机物污染物防治管理办法》：</w:t>
                  </w:r>
                </w:p>
                <w:p w14:paraId="774B1563">
                  <w:pPr>
                    <w:rPr>
                      <w:rFonts w:hint="default" w:ascii="Times New Roman" w:hAnsi="Times New Roman" w:eastAsia="宋体" w:cs="Times New Roman"/>
                      <w:color w:val="auto"/>
                    </w:rPr>
                  </w:pPr>
                  <w:r>
                    <w:rPr>
                      <w:rFonts w:hint="default" w:ascii="Times New Roman" w:hAnsi="Times New Roman" w:eastAsia="宋体" w:cs="Times New Roman"/>
                      <w:color w:val="auto"/>
                    </w:rPr>
                    <w:t>第十三条：新建、改建、扩建排放挥发性有机物的建设项目，应当依法进行环境影响评价。新增挥发性有机物排放总量指标的不足部分，可以依照有关规定通过排污权交易取得。</w:t>
                  </w:r>
                </w:p>
                <w:p w14:paraId="76958FAD">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建设项目的环境影响评价文件未经审查或者审查后未予批准的，建设单位不得开工建设。</w:t>
                  </w:r>
                </w:p>
              </w:tc>
              <w:tc>
                <w:tcPr>
                  <w:tcW w:w="2517" w:type="dxa"/>
                  <w:tcBorders>
                    <w:bottom w:val="single" w:color="auto" w:sz="2" w:space="0"/>
                  </w:tcBorders>
                  <w:vAlign w:val="center"/>
                </w:tcPr>
                <w:p w14:paraId="3AD1F4C7">
                  <w:pPr>
                    <w:rPr>
                      <w:rFonts w:hint="default" w:ascii="Times New Roman" w:hAnsi="Times New Roman" w:eastAsia="宋体" w:cs="Times New Roman"/>
                      <w:color w:val="auto"/>
                    </w:rPr>
                  </w:pPr>
                  <w:r>
                    <w:rPr>
                      <w:rFonts w:hint="default" w:ascii="Times New Roman" w:hAnsi="Times New Roman" w:eastAsia="宋体" w:cs="Times New Roman"/>
                      <w:color w:val="auto"/>
                    </w:rPr>
                    <w:t>本项目建设性质为</w:t>
                  </w:r>
                  <w:r>
                    <w:rPr>
                      <w:rFonts w:hint="default" w:ascii="Times New Roman" w:hAnsi="Times New Roman" w:eastAsia="宋体" w:cs="Times New Roman"/>
                      <w:color w:val="auto"/>
                      <w:lang w:val="en-US" w:eastAsia="zh-CN"/>
                    </w:rPr>
                    <w:t>技改</w:t>
                  </w:r>
                  <w:r>
                    <w:rPr>
                      <w:rFonts w:hint="default" w:ascii="Times New Roman" w:hAnsi="Times New Roman" w:eastAsia="宋体" w:cs="Times New Roman"/>
                      <w:color w:val="auto"/>
                    </w:rPr>
                    <w:t>，正在进行环境影响评价流程，在环评审批前将严格落实主要污染物排放总量指标控制制度，取得主要污染物排放总量的控制指标和平衡方案，故符合文件要求。</w:t>
                  </w:r>
                </w:p>
              </w:tc>
            </w:tr>
            <w:tr w14:paraId="437673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8" w:hRule="atLeast"/>
                <w:jc w:val="center"/>
              </w:trPr>
              <w:tc>
                <w:tcPr>
                  <w:tcW w:w="5279" w:type="dxa"/>
                  <w:tcBorders>
                    <w:top w:val="single" w:color="auto" w:sz="2" w:space="0"/>
                  </w:tcBorders>
                  <w:vAlign w:val="center"/>
                </w:tcPr>
                <w:p w14:paraId="59E110DC">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第二十一条：产生挥发性有机物废气的生产经营活动应当在密闭空间或者密闭设备中进行。生产场所、生产设备应当按照环境保护和安全生产等要求设计、安装和有效运行挥发性有机物回收或者净化设施；固体废物、废水、废气处理系统产生的废气应当收集和处理；含有挥发性有机物的物料应当密闭储存、运输、装卸，禁止敞口和露天放置。</w:t>
                  </w:r>
                </w:p>
                <w:p w14:paraId="4967DF21">
                  <w:pPr>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无法在密闭空间进行的生产经营活动应当采取有效措施，减少挥发性有机物排放量。</w:t>
                  </w:r>
                </w:p>
              </w:tc>
              <w:tc>
                <w:tcPr>
                  <w:tcW w:w="2517" w:type="dxa"/>
                  <w:tcBorders>
                    <w:top w:val="single" w:color="auto" w:sz="2" w:space="0"/>
                  </w:tcBorders>
                  <w:vAlign w:val="center"/>
                </w:tcPr>
                <w:p w14:paraId="6A1ADCDE">
                  <w:pP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highlight w:val="none"/>
                    </w:rPr>
                    <w:t>本项目</w:t>
                  </w:r>
                  <w:r>
                    <w:rPr>
                      <w:rFonts w:hint="default" w:ascii="Times New Roman" w:hAnsi="Times New Roman" w:eastAsia="宋体" w:cs="Times New Roman"/>
                      <w:color w:val="auto"/>
                      <w:kern w:val="0"/>
                      <w:szCs w:val="21"/>
                      <w:highlight w:val="none"/>
                      <w:lang w:val="en-US" w:eastAsia="zh-CN"/>
                    </w:rPr>
                    <w:t>印刷</w:t>
                  </w:r>
                  <w:r>
                    <w:rPr>
                      <w:rFonts w:hint="default" w:ascii="Times New Roman" w:hAnsi="Times New Roman" w:eastAsia="宋体" w:cs="Times New Roman"/>
                      <w:color w:val="auto"/>
                      <w:kern w:val="0"/>
                      <w:szCs w:val="21"/>
                      <w:highlight w:val="none"/>
                      <w:lang w:eastAsia="zh-CN"/>
                    </w:rPr>
                    <w:t>在相对密闭的空间进行，</w:t>
                  </w:r>
                  <w:r>
                    <w:rPr>
                      <w:rFonts w:hint="default" w:ascii="Times New Roman" w:hAnsi="Times New Roman" w:eastAsia="宋体" w:cs="Times New Roman"/>
                      <w:color w:val="auto"/>
                      <w:kern w:val="0"/>
                      <w:szCs w:val="21"/>
                      <w:highlight w:val="none"/>
                      <w:lang w:val="en-US" w:eastAsia="zh-CN"/>
                    </w:rPr>
                    <w:t>印刷</w:t>
                  </w:r>
                  <w:r>
                    <w:rPr>
                      <w:rFonts w:hint="default" w:ascii="Times New Roman" w:hAnsi="Times New Roman" w:eastAsia="宋体" w:cs="Times New Roman"/>
                      <w:color w:val="auto"/>
                      <w:kern w:val="0"/>
                      <w:szCs w:val="21"/>
                      <w:highlight w:val="none"/>
                      <w:lang w:eastAsia="zh-CN"/>
                    </w:rPr>
                    <w:t>有机</w:t>
                  </w:r>
                  <w:r>
                    <w:rPr>
                      <w:rFonts w:hint="default" w:ascii="Times New Roman" w:hAnsi="Times New Roman" w:eastAsia="宋体" w:cs="Times New Roman"/>
                      <w:color w:val="auto"/>
                      <w:kern w:val="0"/>
                      <w:szCs w:val="21"/>
                      <w:highlight w:val="none"/>
                      <w:lang w:val="en-US" w:eastAsia="zh-CN"/>
                    </w:rPr>
                    <w:t>废气采用二级活性炭吸附设备处理</w:t>
                  </w:r>
                  <w:r>
                    <w:rPr>
                      <w:rFonts w:hint="default" w:ascii="Times New Roman" w:hAnsi="Times New Roman" w:eastAsia="宋体" w:cs="Times New Roman"/>
                      <w:color w:val="auto"/>
                      <w:kern w:val="0"/>
                      <w:szCs w:val="21"/>
                      <w:highlight w:val="none"/>
                      <w:lang w:eastAsia="zh-CN"/>
                    </w:rPr>
                    <w:t>后可达标排放</w:t>
                  </w:r>
                  <w:r>
                    <w:rPr>
                      <w:rFonts w:hint="default" w:ascii="Times New Roman" w:hAnsi="Times New Roman" w:eastAsia="宋体" w:cs="Times New Roman"/>
                      <w:color w:val="auto"/>
                    </w:rPr>
                    <w:t>，符合相关要求。</w:t>
                  </w:r>
                </w:p>
              </w:tc>
            </w:tr>
          </w:tbl>
          <w:p w14:paraId="17C1308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color w:val="auto"/>
                <w:sz w:val="24"/>
              </w:rPr>
              <w:t>综上，本项目与</w:t>
            </w:r>
            <w:r>
              <w:rPr>
                <w:rFonts w:hint="default" w:ascii="Times New Roman" w:hAnsi="Times New Roman" w:eastAsia="宋体" w:cs="Times New Roman"/>
                <w:bCs/>
                <w:color w:val="auto"/>
                <w:sz w:val="24"/>
              </w:rPr>
              <w:t>《江苏省挥发性有机物污染物防治管理办法》（省政府令第119号）</w:t>
            </w:r>
            <w:r>
              <w:rPr>
                <w:rFonts w:hint="default" w:ascii="Times New Roman" w:hAnsi="Times New Roman" w:eastAsia="宋体" w:cs="Times New Roman"/>
                <w:color w:val="auto"/>
                <w:sz w:val="24"/>
              </w:rPr>
              <w:t>的要求相符。</w:t>
            </w:r>
          </w:p>
          <w:p w14:paraId="3191268A">
            <w:pPr>
              <w:keepNext w:val="0"/>
              <w:keepLines w:val="0"/>
              <w:pageBreakBefore w:val="0"/>
              <w:widowControl/>
              <w:kinsoku/>
              <w:wordWrap/>
              <w:overflowPunct/>
              <w:topLinePunct w:val="0"/>
              <w:autoSpaceDE/>
              <w:autoSpaceDN/>
              <w:bidi w:val="0"/>
              <w:adjustRightInd w:val="0"/>
              <w:snapToGrid/>
              <w:spacing w:line="500" w:lineRule="exact"/>
              <w:ind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lang w:eastAsia="zh-CN"/>
              </w:rPr>
              <w:t>）与关于印发《2020年挥发性有机物治理攻坚方案》的通知（环大气〔2020〕33号）相符性分析</w:t>
            </w:r>
          </w:p>
          <w:p w14:paraId="11CB3D92">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rPr>
              <w:t>与环大气</w:t>
            </w:r>
            <w:r>
              <w:rPr>
                <w:rFonts w:hint="default" w:ascii="Times New Roman" w:hAnsi="Times New Roman" w:eastAsia="宋体" w:cs="Times New Roman"/>
                <w:b/>
                <w:bCs/>
                <w:color w:val="auto"/>
                <w:sz w:val="21"/>
                <w:szCs w:val="21"/>
                <w:lang w:eastAsia="zh-CN"/>
              </w:rPr>
              <w:t>〔2020〕33号</w:t>
            </w:r>
            <w:r>
              <w:rPr>
                <w:rFonts w:hint="default" w:ascii="Times New Roman" w:hAnsi="Times New Roman" w:eastAsia="宋体" w:cs="Times New Roman"/>
                <w:b/>
                <w:bCs/>
                <w:color w:val="auto"/>
                <w:sz w:val="21"/>
                <w:szCs w:val="21"/>
              </w:rPr>
              <w:t>相符性分析</w:t>
            </w:r>
          </w:p>
          <w:tbl>
            <w:tblPr>
              <w:tblStyle w:val="2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75"/>
              <w:gridCol w:w="1823"/>
            </w:tblGrid>
            <w:tr w14:paraId="0EA208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4" w:type="pct"/>
                  <w:noWrap w:val="0"/>
                  <w:vAlign w:val="center"/>
                </w:tcPr>
                <w:p w14:paraId="3AE84DE2">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要求</w:t>
                  </w:r>
                </w:p>
              </w:tc>
              <w:tc>
                <w:tcPr>
                  <w:tcW w:w="1125" w:type="pct"/>
                  <w:noWrap w:val="0"/>
                  <w:vAlign w:val="center"/>
                </w:tcPr>
                <w:p w14:paraId="45549C3E">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相符性分析</w:t>
                  </w:r>
                </w:p>
              </w:tc>
            </w:tr>
            <w:tr w14:paraId="1B81E7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74" w:type="pct"/>
                  <w:noWrap w:val="0"/>
                  <w:vAlign w:val="center"/>
                </w:tcPr>
                <w:p w14:paraId="5531E1AD">
                  <w:pPr>
                    <w:rPr>
                      <w:rFonts w:hint="default" w:ascii="Times New Roman" w:hAnsi="Times New Roman" w:eastAsia="宋体" w:cs="Times New Roman"/>
                      <w:color w:val="auto"/>
                    </w:rPr>
                  </w:pPr>
                  <w:r>
                    <w:rPr>
                      <w:rFonts w:hint="default" w:ascii="Times New Roman" w:hAnsi="Times New Roman" w:eastAsia="宋体" w:cs="Times New Roman"/>
                      <w:color w:val="auto"/>
                    </w:rPr>
                    <w:t>（三）聚焦治污设施</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三率</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，提升综合治理效率</w:t>
                  </w:r>
                </w:p>
                <w:p w14:paraId="02442E31">
                  <w:pPr>
                    <w:rPr>
                      <w:rFonts w:hint="default" w:ascii="Times New Roman" w:hAnsi="Times New Roman" w:eastAsia="宋体" w:cs="Times New Roman"/>
                      <w:color w:val="auto"/>
                    </w:rPr>
                  </w:pPr>
                  <w:r>
                    <w:rPr>
                      <w:rFonts w:hint="default" w:ascii="Times New Roman" w:hAnsi="Times New Roman" w:eastAsia="宋体" w:cs="Times New Roman"/>
                      <w:color w:val="auto"/>
                    </w:rPr>
                    <w:t>组织企业对现有VOCs废气收集率、治理设施同步运行率和去除率开展自查，重点关注单一采用光氧化、光催化、低温等离子、一次性活性炭吸附、喷淋吸收等工艺的治理设施，7月15日前完成。对达不到要求的VOCs收集、治理设施进行更换或升级改造，确保实现达标排放。除恶臭异味治理外，一般不采用低温等离子、光催化、光氧化等技术。行业排放标准中规定特别排放限值和控制要求的，应按相关规定执行；未制定行业标准的应执行大气污染物综合排放标准和挥发性有机物无组织排放控制标准；已制定更严格地方排放标准的，按地方标准执行。</w:t>
                  </w:r>
                </w:p>
              </w:tc>
              <w:tc>
                <w:tcPr>
                  <w:tcW w:w="1125" w:type="pct"/>
                  <w:noWrap w:val="0"/>
                  <w:vAlign w:val="center"/>
                </w:tcPr>
                <w:p w14:paraId="045FA798">
                  <w:pP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highlight w:val="none"/>
                    </w:rPr>
                    <w:t>本项目</w:t>
                  </w:r>
                  <w:r>
                    <w:rPr>
                      <w:rFonts w:hint="default" w:ascii="Times New Roman" w:hAnsi="Times New Roman" w:eastAsia="宋体" w:cs="Times New Roman"/>
                      <w:color w:val="auto"/>
                      <w:kern w:val="0"/>
                      <w:szCs w:val="21"/>
                      <w:highlight w:val="none"/>
                      <w:lang w:val="en-US" w:eastAsia="zh-CN"/>
                    </w:rPr>
                    <w:t>非甲烷总烃废气收集后进入二级活性炭吸附设备处理</w:t>
                  </w:r>
                  <w:r>
                    <w:rPr>
                      <w:rFonts w:hint="default" w:ascii="Times New Roman" w:hAnsi="Times New Roman" w:eastAsia="宋体" w:cs="Times New Roman"/>
                      <w:color w:val="auto"/>
                    </w:rPr>
                    <w:t>，与上述内容相符。</w:t>
                  </w:r>
                </w:p>
              </w:tc>
            </w:tr>
          </w:tbl>
          <w:p w14:paraId="3E648ECB">
            <w:pPr>
              <w:keepNext w:val="0"/>
              <w:keepLines w:val="0"/>
              <w:pageBreakBefore w:val="0"/>
              <w:widowControl w:val="0"/>
              <w:kinsoku/>
              <w:wordWrap/>
              <w:overflowPunct/>
              <w:topLinePunct w:val="0"/>
              <w:autoSpaceDE w:val="0"/>
              <w:autoSpaceDN w:val="0"/>
              <w:bidi w:val="0"/>
              <w:adjustRightInd/>
              <w:snapToGrid w:val="0"/>
              <w:spacing w:line="500" w:lineRule="exact"/>
              <w:ind w:firstLine="480" w:firstLineChars="200"/>
              <w:textAlignment w:val="auto"/>
              <w:rPr>
                <w:rFonts w:hint="default" w:ascii="Times New Roman" w:hAnsi="Times New Roman" w:eastAsia="宋体" w:cs="Times New Roman"/>
                <w:b w:val="0"/>
                <w:bCs w:val="0"/>
                <w:color w:val="auto"/>
                <w:sz w:val="24"/>
                <w:lang w:eastAsia="zh-CN"/>
              </w:rPr>
            </w:pPr>
            <w:r>
              <w:rPr>
                <w:rFonts w:hint="default" w:ascii="Times New Roman" w:hAnsi="Times New Roman" w:eastAsia="宋体" w:cs="Times New Roman"/>
                <w:b w:val="0"/>
                <w:bCs w:val="0"/>
                <w:color w:val="auto"/>
                <w:sz w:val="24"/>
                <w:lang w:eastAsia="zh-CN"/>
              </w:rPr>
              <w:t>综上，本项目与《2020年挥发性有机物治理攻坚方案》的通知（环大气〔2020〕33号）的要求相符。</w:t>
            </w:r>
          </w:p>
          <w:p w14:paraId="67FACF93">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与</w:t>
            </w:r>
            <w:r>
              <w:rPr>
                <w:rFonts w:hint="default" w:ascii="Times New Roman" w:hAnsi="Times New Roman" w:eastAsia="宋体" w:cs="Times New Roman"/>
                <w:b/>
                <w:bCs/>
                <w:color w:val="auto"/>
                <w:sz w:val="24"/>
              </w:rPr>
              <w:t>《挥发性有机物无组织排放控制标准》（GB37822-2019）相符性分析</w:t>
            </w:r>
          </w:p>
          <w:p w14:paraId="052694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表1-1</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与《挥发性有机物无组织排放控制标准》相符性分析</w:t>
            </w:r>
          </w:p>
          <w:tbl>
            <w:tblPr>
              <w:tblStyle w:val="28"/>
              <w:tblW w:w="496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7"/>
              <w:gridCol w:w="2558"/>
            </w:tblGrid>
            <w:tr w14:paraId="57BED0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pct"/>
                  <w:vAlign w:val="center"/>
                </w:tcPr>
                <w:p w14:paraId="57562104">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要求</w:t>
                  </w:r>
                </w:p>
              </w:tc>
              <w:tc>
                <w:tcPr>
                  <w:tcW w:w="1591" w:type="pct"/>
                  <w:vAlign w:val="center"/>
                </w:tcPr>
                <w:p w14:paraId="4F010AEC">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相符性分析</w:t>
                  </w:r>
                </w:p>
              </w:tc>
            </w:tr>
            <w:tr w14:paraId="0BEA43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pct"/>
                  <w:vAlign w:val="center"/>
                </w:tcPr>
                <w:p w14:paraId="471127FB">
                  <w:pPr>
                    <w:rPr>
                      <w:rFonts w:hint="default" w:ascii="Times New Roman" w:hAnsi="Times New Roman" w:eastAsia="宋体" w:cs="Times New Roman"/>
                      <w:color w:val="auto"/>
                    </w:rPr>
                  </w:pPr>
                  <w:r>
                    <w:rPr>
                      <w:rFonts w:hint="default" w:ascii="Times New Roman" w:hAnsi="Times New Roman" w:eastAsia="宋体" w:cs="Times New Roman"/>
                      <w:color w:val="auto"/>
                      <w:szCs w:val="21"/>
                    </w:rPr>
                    <w:t>VOCs物料应储存于密闭的容器、包装袋、储罐、储库、料仓中；盛装VOCs物料的容器或包装袋应存放于室内，或存放于设置有雨棚、遮阳和防渗设施的专用场地；盛装VOCs物料的容器或包装袋在非取用状态时应加盖、封口，保持密闭；</w:t>
                  </w:r>
                </w:p>
              </w:tc>
              <w:tc>
                <w:tcPr>
                  <w:tcW w:w="1591" w:type="pct"/>
                  <w:vAlign w:val="center"/>
                </w:tcPr>
                <w:p w14:paraId="693FFA27">
                  <w:pPr>
                    <w:rPr>
                      <w:rFonts w:hint="default" w:ascii="Times New Roman" w:hAnsi="Times New Roman" w:eastAsia="宋体" w:cs="Times New Roman"/>
                      <w:color w:val="auto"/>
                    </w:rPr>
                  </w:pPr>
                  <w:r>
                    <w:rPr>
                      <w:rFonts w:hint="default" w:ascii="Times New Roman" w:hAnsi="Times New Roman" w:eastAsia="宋体" w:cs="Times New Roman"/>
                      <w:color w:val="auto"/>
                      <w:szCs w:val="21"/>
                    </w:rPr>
                    <w:t>本项目VOCs</w:t>
                  </w:r>
                  <w:r>
                    <w:rPr>
                      <w:rFonts w:hint="default" w:ascii="Times New Roman" w:hAnsi="Times New Roman" w:eastAsia="宋体" w:cs="Times New Roman"/>
                      <w:color w:val="auto"/>
                      <w:szCs w:val="21"/>
                      <w:lang w:val="en-US" w:eastAsia="zh-CN"/>
                    </w:rPr>
                    <w:t>物料储存于密闭的桶中，存放于室内，非取用状态时密闭</w:t>
                  </w:r>
                  <w:r>
                    <w:rPr>
                      <w:rFonts w:hint="default" w:ascii="Times New Roman" w:hAnsi="Times New Roman" w:eastAsia="宋体" w:cs="Times New Roman"/>
                      <w:color w:val="auto"/>
                      <w:szCs w:val="21"/>
                    </w:rPr>
                    <w:t>。</w:t>
                  </w:r>
                </w:p>
              </w:tc>
            </w:tr>
            <w:tr w14:paraId="439F21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pct"/>
                  <w:vAlign w:val="center"/>
                </w:tcPr>
                <w:p w14:paraId="07192DBC">
                  <w:pP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VOCs占比大于等于10%的含VOCs产品，其使用过程应采用密闭设备或在密闭空间内操作，废气应排放至VOCs废气收集处理系统；无法密闭的，应采取局部气体收集措施，废气应排放至VOCs废气收集处理系统</w:t>
                  </w:r>
                </w:p>
              </w:tc>
              <w:tc>
                <w:tcPr>
                  <w:tcW w:w="1591" w:type="pct"/>
                  <w:vMerge w:val="restart"/>
                  <w:vAlign w:val="center"/>
                </w:tcPr>
                <w:p w14:paraId="287E769C">
                  <w:pP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highlight w:val="none"/>
                    </w:rPr>
                    <w:t>本项目</w:t>
                  </w:r>
                  <w:r>
                    <w:rPr>
                      <w:rFonts w:hint="default" w:ascii="Times New Roman" w:hAnsi="Times New Roman" w:eastAsia="宋体" w:cs="Times New Roman"/>
                      <w:color w:val="auto"/>
                      <w:kern w:val="0"/>
                      <w:szCs w:val="21"/>
                      <w:highlight w:val="none"/>
                      <w:lang w:val="en-US" w:eastAsia="zh-CN"/>
                    </w:rPr>
                    <w:t>使用的油墨调配、印刷均</w:t>
                  </w:r>
                  <w:r>
                    <w:rPr>
                      <w:rFonts w:hint="default" w:ascii="Times New Roman" w:hAnsi="Times New Roman" w:eastAsia="宋体" w:cs="Times New Roman"/>
                      <w:color w:val="auto"/>
                      <w:kern w:val="0"/>
                      <w:szCs w:val="21"/>
                      <w:highlight w:val="none"/>
                      <w:lang w:eastAsia="zh-CN"/>
                    </w:rPr>
                    <w:t>在密闭的</w:t>
                  </w:r>
                  <w:r>
                    <w:rPr>
                      <w:rFonts w:hint="default" w:ascii="Times New Roman" w:hAnsi="Times New Roman" w:eastAsia="宋体" w:cs="Times New Roman"/>
                      <w:color w:val="auto"/>
                      <w:kern w:val="0"/>
                      <w:szCs w:val="21"/>
                      <w:highlight w:val="none"/>
                      <w:lang w:val="en-US" w:eastAsia="zh-CN"/>
                    </w:rPr>
                    <w:t>印刷间</w:t>
                  </w:r>
                  <w:r>
                    <w:rPr>
                      <w:rFonts w:hint="default" w:ascii="Times New Roman" w:hAnsi="Times New Roman" w:eastAsia="宋体" w:cs="Times New Roman"/>
                      <w:color w:val="auto"/>
                      <w:kern w:val="0"/>
                      <w:szCs w:val="21"/>
                      <w:highlight w:val="none"/>
                      <w:lang w:eastAsia="zh-CN"/>
                    </w:rPr>
                    <w:t>进行，</w:t>
                  </w:r>
                  <w:r>
                    <w:rPr>
                      <w:rFonts w:hint="default" w:ascii="Times New Roman" w:hAnsi="Times New Roman" w:eastAsia="宋体" w:cs="Times New Roman"/>
                      <w:color w:val="auto"/>
                      <w:kern w:val="0"/>
                      <w:szCs w:val="21"/>
                      <w:highlight w:val="none"/>
                      <w:lang w:val="en-US" w:eastAsia="zh-CN"/>
                    </w:rPr>
                    <w:t>印刷过程产生的</w:t>
                  </w:r>
                  <w:r>
                    <w:rPr>
                      <w:rFonts w:hint="default" w:ascii="Times New Roman" w:hAnsi="Times New Roman" w:eastAsia="宋体" w:cs="Times New Roman"/>
                      <w:color w:val="auto"/>
                      <w:kern w:val="0"/>
                      <w:szCs w:val="21"/>
                      <w:highlight w:val="none"/>
                      <w:lang w:eastAsia="zh-CN"/>
                    </w:rPr>
                    <w:t>有机</w:t>
                  </w:r>
                  <w:r>
                    <w:rPr>
                      <w:rFonts w:hint="default" w:ascii="Times New Roman" w:hAnsi="Times New Roman" w:eastAsia="宋体" w:cs="Times New Roman"/>
                      <w:color w:val="auto"/>
                      <w:kern w:val="0"/>
                      <w:szCs w:val="21"/>
                      <w:highlight w:val="none"/>
                      <w:lang w:val="en-US" w:eastAsia="zh-CN"/>
                    </w:rPr>
                    <w:t>废气采用二级活性炭吸附设备处理</w:t>
                  </w:r>
                  <w:r>
                    <w:rPr>
                      <w:rFonts w:hint="default" w:ascii="Times New Roman" w:hAnsi="Times New Roman" w:eastAsia="宋体" w:cs="Times New Roman"/>
                      <w:color w:val="auto"/>
                      <w:kern w:val="0"/>
                      <w:szCs w:val="21"/>
                      <w:highlight w:val="none"/>
                      <w:lang w:eastAsia="zh-CN"/>
                    </w:rPr>
                    <w:t>后可达标排放</w:t>
                  </w:r>
                  <w:r>
                    <w:rPr>
                      <w:rFonts w:hint="default" w:ascii="Times New Roman" w:hAnsi="Times New Roman" w:eastAsia="宋体" w:cs="Times New Roman"/>
                      <w:color w:val="auto"/>
                      <w:szCs w:val="21"/>
                    </w:rPr>
                    <w:t>，废气收集</w:t>
                  </w:r>
                  <w:r>
                    <w:rPr>
                      <w:rFonts w:hint="default" w:ascii="Times New Roman" w:hAnsi="Times New Roman" w:eastAsia="宋体" w:cs="Times New Roman"/>
                      <w:color w:val="auto"/>
                      <w:szCs w:val="21"/>
                      <w:lang w:val="en-US" w:eastAsia="zh-CN"/>
                    </w:rPr>
                    <w:t>约</w:t>
                  </w:r>
                  <w:r>
                    <w:rPr>
                      <w:rFonts w:hint="default" w:ascii="Times New Roman" w:hAnsi="Times New Roman" w:eastAsia="宋体" w:cs="Times New Roman"/>
                      <w:color w:val="auto"/>
                      <w:szCs w:val="21"/>
                    </w:rPr>
                    <w:t>9</w:t>
                  </w:r>
                  <w:r>
                    <w:rPr>
                      <w:rFonts w:hint="default"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%，处理效率为</w:t>
                  </w:r>
                  <w:r>
                    <w:rPr>
                      <w:rFonts w:hint="default" w:ascii="Times New Roman" w:hAnsi="Times New Roman" w:eastAsia="宋体" w:cs="Times New Roman"/>
                      <w:color w:val="auto"/>
                      <w:szCs w:val="21"/>
                      <w:lang w:val="en-US" w:eastAsia="zh-CN"/>
                    </w:rPr>
                    <w:t>90</w:t>
                  </w:r>
                  <w:r>
                    <w:rPr>
                      <w:rFonts w:hint="default" w:ascii="Times New Roman" w:hAnsi="Times New Roman" w:eastAsia="宋体" w:cs="Times New Roman"/>
                      <w:color w:val="auto"/>
                      <w:szCs w:val="21"/>
                    </w:rPr>
                    <w:t>%，符合相关要求。</w:t>
                  </w:r>
                </w:p>
              </w:tc>
            </w:tr>
            <w:tr w14:paraId="176F97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pct"/>
                  <w:vAlign w:val="center"/>
                </w:tcPr>
                <w:p w14:paraId="12811C73">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VOCs废气收集处理系统应与生产工艺设备同步运行；VOCs废气收集处理系统污染物排放应符合GB16297或相关行业排放标准的规定；对于重点地区，收集的废气中NMHC初始排放速率≥2kg/h时，应配置VOCs处理设施，处理效率不应低于80%</w:t>
                  </w:r>
                </w:p>
              </w:tc>
              <w:tc>
                <w:tcPr>
                  <w:tcW w:w="1591" w:type="pct"/>
                  <w:vMerge w:val="continue"/>
                  <w:vAlign w:val="center"/>
                </w:tcPr>
                <w:p w14:paraId="4D812B99">
                  <w:pPr>
                    <w:ind w:firstLine="420" w:firstLineChars="200"/>
                    <w:rPr>
                      <w:rFonts w:hint="default" w:ascii="Times New Roman" w:hAnsi="Times New Roman" w:eastAsia="宋体" w:cs="Times New Roman"/>
                      <w:color w:val="auto"/>
                    </w:rPr>
                  </w:pPr>
                </w:p>
              </w:tc>
            </w:tr>
          </w:tbl>
          <w:p w14:paraId="710200EF">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综上，本项目建设与《挥发性有机物无组织排放控制标准》（GB37822-2019）相符。</w:t>
            </w:r>
          </w:p>
          <w:p w14:paraId="2B5DD7FC">
            <w:pPr>
              <w:keepNext w:val="0"/>
              <w:keepLines w:val="0"/>
              <w:pageBreakBefore w:val="0"/>
              <w:widowControl w:val="0"/>
              <w:kinsoku/>
              <w:wordWrap/>
              <w:overflowPunct/>
              <w:topLinePunct w:val="0"/>
              <w:autoSpaceDE w:val="0"/>
              <w:autoSpaceDN w:val="0"/>
              <w:bidi w:val="0"/>
              <w:adjustRightInd/>
              <w:snapToGrid w:val="0"/>
              <w:spacing w:line="500" w:lineRule="exact"/>
              <w:ind w:firstLine="482" w:firstLineChars="200"/>
              <w:jc w:val="left"/>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 xml:space="preserve">(6)与《省大气办关于印发&lt;江苏省挥发性有机物清洁原料替代工作方案&gt; </w:t>
            </w:r>
          </w:p>
          <w:p w14:paraId="647FAA4D">
            <w:pPr>
              <w:keepNext w:val="0"/>
              <w:keepLines w:val="0"/>
              <w:pageBreakBefore w:val="0"/>
              <w:widowControl w:val="0"/>
              <w:kinsoku/>
              <w:wordWrap/>
              <w:overflowPunct/>
              <w:topLinePunct w:val="0"/>
              <w:autoSpaceDE w:val="0"/>
              <w:autoSpaceDN w:val="0"/>
              <w:bidi w:val="0"/>
              <w:adjustRightInd/>
              <w:snapToGrid w:val="0"/>
              <w:spacing w:line="500" w:lineRule="exact"/>
              <w:jc w:val="left"/>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的通知》（苏大气办〔2021〕2号）相符性分析</w:t>
            </w:r>
          </w:p>
          <w:p w14:paraId="771FBB58">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lang w:val="zh-CN" w:eastAsia="zh-CN"/>
              </w:rPr>
            </w:pPr>
            <w:r>
              <w:rPr>
                <w:rFonts w:hint="default" w:ascii="Times New Roman" w:hAnsi="Times New Roman" w:eastAsia="宋体" w:cs="Times New Roman"/>
                <w:b/>
                <w:bCs/>
                <w:color w:val="auto"/>
                <w:sz w:val="21"/>
                <w:szCs w:val="21"/>
                <w:lang w:val="zh-CN" w:eastAsia="zh-CN"/>
              </w:rPr>
              <w:t>表</w:t>
            </w:r>
            <w:r>
              <w:rPr>
                <w:rFonts w:hint="default" w:ascii="Times New Roman" w:hAnsi="Times New Roman" w:eastAsia="宋体" w:cs="Times New Roman"/>
                <w:b/>
                <w:bCs/>
                <w:color w:val="auto"/>
                <w:sz w:val="21"/>
                <w:szCs w:val="21"/>
                <w:lang w:val="en-US" w:eastAsia="zh-CN"/>
              </w:rPr>
              <w:t xml:space="preserve">1-12 </w:t>
            </w:r>
            <w:r>
              <w:rPr>
                <w:rFonts w:hint="default" w:ascii="Times New Roman" w:hAnsi="Times New Roman" w:eastAsia="宋体" w:cs="Times New Roman"/>
                <w:b/>
                <w:bCs/>
                <w:color w:val="auto"/>
                <w:sz w:val="21"/>
                <w:szCs w:val="21"/>
                <w:lang w:val="zh-CN" w:eastAsia="zh-CN"/>
              </w:rPr>
              <w:t xml:space="preserve"> 与</w:t>
            </w:r>
            <w:r>
              <w:rPr>
                <w:rFonts w:hint="default" w:ascii="Times New Roman" w:hAnsi="Times New Roman" w:eastAsia="宋体" w:cs="Times New Roman"/>
                <w:b/>
                <w:bCs/>
                <w:color w:val="auto"/>
                <w:sz w:val="21"/>
                <w:szCs w:val="21"/>
                <w:lang w:val="en-US" w:eastAsia="zh-CN"/>
              </w:rPr>
              <w:t>苏大气办〔2021〕2号</w:t>
            </w:r>
            <w:r>
              <w:rPr>
                <w:rFonts w:hint="default" w:ascii="Times New Roman" w:hAnsi="Times New Roman" w:eastAsia="宋体" w:cs="Times New Roman"/>
                <w:b/>
                <w:bCs/>
                <w:color w:val="auto"/>
                <w:sz w:val="21"/>
                <w:szCs w:val="21"/>
                <w:lang w:val="zh-CN" w:eastAsia="zh-CN"/>
              </w:rPr>
              <w:t>文对照分析</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4641"/>
              <w:gridCol w:w="2813"/>
              <w:gridCol w:w="641"/>
            </w:tblGrid>
            <w:tr w14:paraId="17D6AF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2866" w:type="pct"/>
                  <w:vAlign w:val="center"/>
                </w:tcPr>
                <w:p w14:paraId="31FB6A3B">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文件要求</w:t>
                  </w:r>
                </w:p>
              </w:tc>
              <w:tc>
                <w:tcPr>
                  <w:tcW w:w="1737" w:type="pct"/>
                  <w:vAlign w:val="center"/>
                </w:tcPr>
                <w:p w14:paraId="70DA95AF">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w:t>
                  </w:r>
                </w:p>
              </w:tc>
              <w:tc>
                <w:tcPr>
                  <w:tcW w:w="396" w:type="pct"/>
                  <w:vAlign w:val="center"/>
                </w:tcPr>
                <w:p w14:paraId="4708546E">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是否相符</w:t>
                  </w:r>
                </w:p>
              </w:tc>
            </w:tr>
            <w:tr w14:paraId="0E41A0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2866" w:type="pct"/>
                  <w:vAlign w:val="center"/>
                </w:tcPr>
                <w:p w14:paraId="67B98FC1">
                  <w:pPr>
                    <w:keepNext w:val="0"/>
                    <w:keepLines w:val="0"/>
                    <w:widowControl/>
                    <w:suppressLineNumbers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 w:val="21"/>
                      <w:szCs w:val="21"/>
                      <w:lang w:val="en-US" w:eastAsia="zh-CN" w:bidi="ar"/>
                    </w:rPr>
                    <w:t xml:space="preserve">明确替代要求，以工业涂装、包装印刷、木材加工、纺织（附件1）等行业为重点，分阶段推进 3130 家企业（附件2）清洁原料替代工作。实施替代的企业要使用符合《低挥发性有机化合物含量涂料产品技术要求》 （GB/T38597-2020）规定的粉末、水性、无溶剂、辐射固化涂料产品；符合《油墨中可挥发性有机化合物（VOCs）含量的限值》 （GB38507-2020）规定的水性油墨和能量固化油墨产品；符合《清洗剂挥发性有机化合物含量限值》（GB 38508-2020）规定的水基、半水基清洗剂产品；符合《胶粘剂挥发性有机化合物限量》（GB 33372-2020）规定的水基型、本体型胶粘剂产品。若确实无法达到上述要求，应提供相应的论证说明，相关涂料、油墨、清洗剂、胶粘剂等产品应符合相关标准中VOCs含量的限值要求。 </w:t>
                  </w:r>
                </w:p>
              </w:tc>
              <w:tc>
                <w:tcPr>
                  <w:tcW w:w="1737" w:type="pct"/>
                  <w:vAlign w:val="center"/>
                </w:tcPr>
                <w:p w14:paraId="26260320">
                  <w:pPr>
                    <w:keepNext w:val="0"/>
                    <w:keepLines w:val="0"/>
                    <w:pageBreakBefore w:val="0"/>
                    <w:widowControl w:val="0"/>
                    <w:kinsoku/>
                    <w:wordWrap/>
                    <w:overflowPunct/>
                    <w:topLinePunct w:val="0"/>
                    <w:autoSpaceDE/>
                    <w:autoSpaceDN/>
                    <w:bidi w:val="0"/>
                    <w:adjustRightInd w:val="0"/>
                    <w:snapToGrid w:val="0"/>
                    <w:spacing w:line="240" w:lineRule="auto"/>
                    <w:ind w:right="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kern w:val="0"/>
                      <w:sz w:val="21"/>
                      <w:szCs w:val="21"/>
                      <w:lang w:val="en-US" w:eastAsia="zh-CN" w:bidi="ar"/>
                    </w:rPr>
                    <w:t>根据表1-7，本项目使用的油墨均符合《油墨中可挥发性有机化合物（VOCs）含量的限值》（GB38507-2020）表1限值要求，清洗剂乙醇符合《清洗剂挥发性有机化合物含量限值》（GB 38508-2020）的限值要求。本项目使用溶剂型油墨、溶剂型清洗剂不可替代论证见附件</w:t>
                  </w:r>
                  <w:r>
                    <w:rPr>
                      <w:rFonts w:hint="default" w:ascii="Times New Roman" w:hAnsi="Times New Roman" w:eastAsia="宋体" w:cs="Times New Roman"/>
                      <w:color w:val="auto"/>
                      <w:sz w:val="21"/>
                      <w:szCs w:val="21"/>
                      <w:lang w:val="en-US" w:eastAsia="zh-CN"/>
                    </w:rPr>
                    <w:t>。</w:t>
                  </w:r>
                </w:p>
                <w:p w14:paraId="0D5D0255">
                  <w:pPr>
                    <w:keepNext w:val="0"/>
                    <w:keepLines w:val="0"/>
                    <w:widowControl/>
                    <w:suppressLineNumbers w:val="0"/>
                    <w:jc w:val="left"/>
                    <w:rPr>
                      <w:rFonts w:hint="default" w:ascii="Times New Roman" w:hAnsi="Times New Roman" w:eastAsia="宋体" w:cs="Times New Roman"/>
                      <w:color w:val="auto"/>
                      <w:szCs w:val="21"/>
                    </w:rPr>
                  </w:pPr>
                </w:p>
              </w:tc>
              <w:tc>
                <w:tcPr>
                  <w:tcW w:w="396" w:type="pct"/>
                  <w:vAlign w:val="center"/>
                </w:tcPr>
                <w:p w14:paraId="2CE3F3B4">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14:paraId="6EE4430C">
            <w:pPr>
              <w:pStyle w:val="7"/>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default" w:ascii="Times New Roman" w:hAnsi="Times New Roman" w:eastAsia="宋体" w:cs="Times New Roman"/>
                <w:b/>
                <w:color w:val="auto"/>
                <w:kern w:val="2"/>
                <w:sz w:val="24"/>
                <w:szCs w:val="24"/>
                <w:lang w:val="zh-CN" w:eastAsia="zh-CN" w:bidi="ar-SA"/>
              </w:rPr>
            </w:pPr>
            <w:r>
              <w:rPr>
                <w:rFonts w:hint="default" w:ascii="Times New Roman" w:hAnsi="Times New Roman" w:eastAsia="宋体" w:cs="Times New Roman"/>
                <w:b/>
                <w:color w:val="auto"/>
                <w:kern w:val="2"/>
                <w:sz w:val="24"/>
                <w:szCs w:val="24"/>
                <w:lang w:val="en-US" w:eastAsia="zh-CN" w:bidi="ar-SA"/>
              </w:rPr>
              <w:t>(7)与</w:t>
            </w:r>
            <w:r>
              <w:rPr>
                <w:rFonts w:hint="default" w:ascii="Times New Roman" w:hAnsi="Times New Roman" w:eastAsia="宋体" w:cs="Times New Roman"/>
                <w:b/>
                <w:color w:val="auto"/>
                <w:kern w:val="2"/>
                <w:sz w:val="24"/>
                <w:szCs w:val="24"/>
                <w:lang w:val="zh-CN" w:eastAsia="zh-CN" w:bidi="ar-SA"/>
              </w:rPr>
              <w:t>《</w:t>
            </w:r>
            <w:r>
              <w:rPr>
                <w:rFonts w:hint="default" w:ascii="Times New Roman" w:hAnsi="Times New Roman" w:eastAsia="宋体" w:cs="Times New Roman"/>
                <w:b/>
                <w:color w:val="auto"/>
                <w:kern w:val="2"/>
                <w:sz w:val="24"/>
                <w:szCs w:val="24"/>
                <w:lang w:val="en-US" w:eastAsia="zh-CN" w:bidi="ar-SA"/>
              </w:rPr>
              <w:t>常州市挥发性有机物清洁原料替代工作方案》（常污防攻坚指办〔2021〕32号）相符性分析</w:t>
            </w:r>
          </w:p>
          <w:p w14:paraId="5C0DD665">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lang w:val="zh-CN" w:eastAsia="zh-CN"/>
              </w:rPr>
            </w:pPr>
            <w:r>
              <w:rPr>
                <w:rFonts w:hint="default" w:ascii="Times New Roman" w:hAnsi="Times New Roman" w:eastAsia="宋体" w:cs="Times New Roman"/>
                <w:b/>
                <w:bCs/>
                <w:color w:val="auto"/>
                <w:sz w:val="21"/>
                <w:szCs w:val="21"/>
                <w:lang w:val="zh-CN" w:eastAsia="zh-CN"/>
              </w:rPr>
              <w:t>表</w:t>
            </w:r>
            <w:r>
              <w:rPr>
                <w:rFonts w:hint="default" w:ascii="Times New Roman" w:hAnsi="Times New Roman" w:eastAsia="宋体" w:cs="Times New Roman"/>
                <w:b/>
                <w:bCs/>
                <w:color w:val="auto"/>
                <w:sz w:val="21"/>
                <w:szCs w:val="21"/>
                <w:lang w:val="en-US" w:eastAsia="zh-CN"/>
              </w:rPr>
              <w:t>1-13</w:t>
            </w:r>
            <w:r>
              <w:rPr>
                <w:rFonts w:hint="default" w:ascii="Times New Roman" w:hAnsi="Times New Roman" w:eastAsia="宋体" w:cs="Times New Roman"/>
                <w:b/>
                <w:bCs/>
                <w:color w:val="auto"/>
                <w:sz w:val="21"/>
                <w:szCs w:val="21"/>
                <w:lang w:val="zh-CN" w:eastAsia="zh-CN"/>
              </w:rPr>
              <w:t>与</w:t>
            </w:r>
            <w:r>
              <w:rPr>
                <w:rFonts w:hint="default" w:ascii="Times New Roman" w:hAnsi="Times New Roman" w:eastAsia="宋体" w:cs="Times New Roman"/>
                <w:b/>
                <w:color w:val="auto"/>
                <w:kern w:val="2"/>
                <w:sz w:val="21"/>
                <w:szCs w:val="21"/>
                <w:lang w:val="en-US" w:eastAsia="zh-CN" w:bidi="ar-SA"/>
              </w:rPr>
              <w:t>常污防攻坚指办〔2021〕32号</w:t>
            </w:r>
            <w:r>
              <w:rPr>
                <w:rFonts w:hint="default" w:ascii="Times New Roman" w:hAnsi="Times New Roman" w:eastAsia="宋体" w:cs="Times New Roman"/>
                <w:b/>
                <w:bCs/>
                <w:color w:val="auto"/>
                <w:sz w:val="21"/>
                <w:szCs w:val="21"/>
                <w:lang w:val="zh-CN" w:eastAsia="zh-CN"/>
              </w:rPr>
              <w:t>文对照分析</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4641"/>
              <w:gridCol w:w="2813"/>
              <w:gridCol w:w="641"/>
            </w:tblGrid>
            <w:tr w14:paraId="4C6DCE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2866" w:type="pct"/>
                  <w:vAlign w:val="center"/>
                </w:tcPr>
                <w:p w14:paraId="3F53677A">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文件要求</w:t>
                  </w:r>
                </w:p>
              </w:tc>
              <w:tc>
                <w:tcPr>
                  <w:tcW w:w="1737" w:type="pct"/>
                  <w:vAlign w:val="center"/>
                </w:tcPr>
                <w:p w14:paraId="50C8227B">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w:t>
                  </w:r>
                </w:p>
              </w:tc>
              <w:tc>
                <w:tcPr>
                  <w:tcW w:w="396" w:type="pct"/>
                  <w:vAlign w:val="center"/>
                </w:tcPr>
                <w:p w14:paraId="4072AEBA">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是否相符</w:t>
                  </w:r>
                </w:p>
              </w:tc>
            </w:tr>
            <w:tr w14:paraId="3F0BE5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2866" w:type="pct"/>
                  <w:vAlign w:val="center"/>
                </w:tcPr>
                <w:p w14:paraId="23952ABE">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 xml:space="preserve">以工业涂装、包装印刷、木材加工、纺织等行业为重点，按照省大气办《关于印发江苏省挥发性有机 </w:t>
                  </w:r>
                </w:p>
                <w:p w14:paraId="453F9251">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 xml:space="preserve">物清洁原料替代工作方案的通知》中源头替代具体要求，加快推进182家企业清洁原料替代工作。实施替代的企业要使用符合《低挥发性有机化合物含量涂料产品技术要求》（GB/T38597-2020）规定的粉末、水性、无溶剂、辐射固化涂料产品；符合《油墨中可挥发性有机化合物（VOCs）含量的限值》（GB38507-2020）规定的水性油墨和能量固化油墨产品；符合《清洗剂挥发性有机化合物含量限值》（GB 38508-2020）规定的水基、半水基清洗剂产品；符合《胶粘剂挥发性有机化合物限量》 </w:t>
                  </w:r>
                </w:p>
                <w:p w14:paraId="5C03B29B">
                  <w:pPr>
                    <w:keepNext w:val="0"/>
                    <w:keepLines w:val="0"/>
                    <w:widowControl/>
                    <w:suppressLineNumbers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 w:val="21"/>
                      <w:szCs w:val="21"/>
                      <w:lang w:val="en-US" w:eastAsia="zh-CN" w:bidi="ar"/>
                    </w:rPr>
                    <w:t>（GB 33372-2020）规定的水基型、本体型胶粘剂产品。若确实无法达到上述要求，应提供相应的论证说明，相关涂料、油墨、清洗剂、胶粘剂等产品应符合相关标准中 VOCs 含量的限值要求。</w:t>
                  </w:r>
                </w:p>
              </w:tc>
              <w:tc>
                <w:tcPr>
                  <w:tcW w:w="2803" w:type="dxa"/>
                  <w:vAlign w:val="center"/>
                </w:tcPr>
                <w:p w14:paraId="0F09EB3F">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根据表1-7，本项目使用的油墨均符合《油墨中可挥发性有机化合物（VOCs）含量的限值》（GB38507-2020）表1限值要求，清洗剂乙醇符合《清洗剂挥发性有机化合物含量限值》（GB 38508-2020）的限值要求。本项目使用溶剂型油墨、溶剂型清洗剂不可替代论证见附件。</w:t>
                  </w:r>
                </w:p>
              </w:tc>
              <w:tc>
                <w:tcPr>
                  <w:tcW w:w="639" w:type="dxa"/>
                  <w:vAlign w:val="center"/>
                </w:tcPr>
                <w:p w14:paraId="4563D26B">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符合</w:t>
                  </w:r>
                </w:p>
              </w:tc>
            </w:tr>
          </w:tbl>
          <w:p w14:paraId="3D5DD0B9">
            <w:pPr>
              <w:autoSpaceDE w:val="0"/>
              <w:autoSpaceDN w:val="0"/>
              <w:snapToGrid w:val="0"/>
              <w:spacing w:line="360" w:lineRule="auto"/>
              <w:ind w:firstLine="482" w:firstLineChars="200"/>
              <w:jc w:val="left"/>
              <w:rPr>
                <w:rFonts w:hint="default" w:ascii="Times New Roman" w:hAnsi="Times New Roman" w:eastAsia="宋体" w:cs="Times New Roman"/>
                <w:b/>
                <w:color w:val="auto"/>
                <w:sz w:val="24"/>
                <w:lang w:val="zh-CN"/>
              </w:rPr>
            </w:pPr>
            <w:r>
              <w:rPr>
                <w:rFonts w:hint="default" w:ascii="Times New Roman" w:hAnsi="Times New Roman" w:eastAsia="宋体" w:cs="Times New Roman"/>
                <w:b/>
                <w:color w:val="auto"/>
                <w:sz w:val="24"/>
                <w:lang w:val="zh-CN"/>
              </w:rPr>
              <w:t>（</w:t>
            </w:r>
            <w:r>
              <w:rPr>
                <w:rFonts w:hint="default" w:ascii="Times New Roman" w:hAnsi="Times New Roman" w:eastAsia="宋体" w:cs="Times New Roman"/>
                <w:b/>
                <w:color w:val="auto"/>
                <w:sz w:val="24"/>
                <w:lang w:val="en-US" w:eastAsia="zh-CN"/>
              </w:rPr>
              <w:t>8</w:t>
            </w:r>
            <w:r>
              <w:rPr>
                <w:rFonts w:hint="default" w:ascii="Times New Roman" w:hAnsi="Times New Roman" w:eastAsia="宋体" w:cs="Times New Roman"/>
                <w:b/>
                <w:color w:val="auto"/>
                <w:sz w:val="24"/>
                <w:lang w:val="zh-CN"/>
              </w:rPr>
              <w:t>）与国家发展改革委等部门《关于印发太湖流域水环境综合治理总体方案的通知》（发改地区〔2022〕959号）相符性分析</w:t>
            </w:r>
          </w:p>
          <w:p w14:paraId="41E0A3B7">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表1-1</w:t>
            </w:r>
            <w:r>
              <w:rPr>
                <w:rFonts w:hint="default" w:ascii="Times New Roman" w:hAnsi="Times New Roman" w:eastAsia="宋体" w:cs="Times New Roman"/>
                <w:b/>
                <w:color w:val="auto"/>
                <w:szCs w:val="21"/>
                <w:lang w:val="en-US" w:eastAsia="zh-CN"/>
              </w:rPr>
              <w:t>4</w:t>
            </w:r>
            <w:r>
              <w:rPr>
                <w:rFonts w:hint="default" w:ascii="Times New Roman" w:hAnsi="Times New Roman" w:eastAsia="宋体" w:cs="Times New Roman"/>
                <w:b/>
                <w:color w:val="auto"/>
                <w:szCs w:val="21"/>
              </w:rPr>
              <w:t>与发改地区</w:t>
            </w:r>
            <w:r>
              <w:rPr>
                <w:rFonts w:hint="default" w:ascii="Times New Roman" w:hAnsi="Times New Roman" w:eastAsia="宋体" w:cs="Times New Roman"/>
                <w:b/>
                <w:color w:val="auto"/>
                <w:szCs w:val="21"/>
                <w:lang w:eastAsia="zh-CN"/>
              </w:rPr>
              <w:t>〔2022〕959号</w:t>
            </w:r>
            <w:r>
              <w:rPr>
                <w:rFonts w:hint="default" w:ascii="Times New Roman" w:hAnsi="Times New Roman" w:eastAsia="宋体" w:cs="Times New Roman"/>
                <w:b/>
                <w:color w:val="auto"/>
                <w:szCs w:val="21"/>
              </w:rPr>
              <w:t>相符性分析</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973"/>
              <w:gridCol w:w="1946"/>
              <w:gridCol w:w="610"/>
            </w:tblGrid>
            <w:tr w14:paraId="2CF7E7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170" w:hRule="atLeast"/>
                <w:jc w:val="center"/>
              </w:trPr>
              <w:tc>
                <w:tcPr>
                  <w:tcW w:w="349" w:type="pct"/>
                  <w:noWrap w:val="0"/>
                  <w:tcMar>
                    <w:top w:w="0" w:type="dxa"/>
                    <w:left w:w="11" w:type="dxa"/>
                    <w:bottom w:w="0" w:type="dxa"/>
                    <w:right w:w="11" w:type="dxa"/>
                  </w:tcMar>
                  <w:vAlign w:val="center"/>
                </w:tcPr>
                <w:p w14:paraId="1E9AC70E">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条款</w:t>
                  </w:r>
                </w:p>
              </w:tc>
              <w:tc>
                <w:tcPr>
                  <w:tcW w:w="3071" w:type="pct"/>
                  <w:noWrap w:val="0"/>
                  <w:tcMar>
                    <w:top w:w="0" w:type="dxa"/>
                    <w:left w:w="11" w:type="dxa"/>
                    <w:bottom w:w="0" w:type="dxa"/>
                    <w:right w:w="11" w:type="dxa"/>
                  </w:tcMar>
                  <w:vAlign w:val="center"/>
                </w:tcPr>
                <w:p w14:paraId="37D6B228">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文件要求</w:t>
                  </w:r>
                </w:p>
              </w:tc>
              <w:tc>
                <w:tcPr>
                  <w:tcW w:w="1202" w:type="pct"/>
                  <w:noWrap w:val="0"/>
                  <w:tcMar>
                    <w:top w:w="0" w:type="dxa"/>
                    <w:left w:w="11" w:type="dxa"/>
                    <w:bottom w:w="0" w:type="dxa"/>
                    <w:right w:w="11" w:type="dxa"/>
                  </w:tcMar>
                  <w:vAlign w:val="center"/>
                </w:tcPr>
                <w:p w14:paraId="07833AA8">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对照分析</w:t>
                  </w:r>
                </w:p>
              </w:tc>
              <w:tc>
                <w:tcPr>
                  <w:tcW w:w="376" w:type="pct"/>
                  <w:noWrap w:val="0"/>
                  <w:tcMar>
                    <w:top w:w="0" w:type="dxa"/>
                    <w:left w:w="11" w:type="dxa"/>
                    <w:bottom w:w="0" w:type="dxa"/>
                    <w:right w:w="11" w:type="dxa"/>
                  </w:tcMar>
                  <w:vAlign w:val="center"/>
                </w:tcPr>
                <w:p w14:paraId="3760A62E">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相符性</w:t>
                  </w:r>
                </w:p>
              </w:tc>
            </w:tr>
            <w:tr w14:paraId="0036D5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49" w:type="pct"/>
                  <w:noWrap w:val="0"/>
                  <w:tcMar>
                    <w:top w:w="0" w:type="dxa"/>
                    <w:left w:w="11" w:type="dxa"/>
                    <w:bottom w:w="0" w:type="dxa"/>
                    <w:right w:w="11" w:type="dxa"/>
                  </w:tcMar>
                  <w:vAlign w:val="center"/>
                </w:tcPr>
                <w:p w14:paraId="17E779C9">
                  <w:pP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第三章第一节深化工业污染治理</w:t>
                  </w:r>
                </w:p>
              </w:tc>
              <w:tc>
                <w:tcPr>
                  <w:tcW w:w="3071" w:type="pct"/>
                  <w:noWrap w:val="0"/>
                  <w:tcMar>
                    <w:top w:w="0" w:type="dxa"/>
                    <w:left w:w="11" w:type="dxa"/>
                    <w:bottom w:w="0" w:type="dxa"/>
                    <w:right w:w="11" w:type="dxa"/>
                  </w:tcMar>
                  <w:vAlign w:val="center"/>
                </w:tcPr>
                <w:p w14:paraId="65C2F467">
                  <w:pP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督促企业依法持证排污、按证排污，严格落实总磷许可排放浓度和许可排放量要求。持续强化涉水行业污染整治，基于水生态环境质量改善需要，大力推进印染、化工、造纸、钢铁、电镀、食品（啤酒、味精）等重点行业企业废水深度处理。实施工业园区限值限量管理，全面推进工业园区污水管网排查整治和污水收集处理设施建设，加快实施管网混错接改造、管网更新、破损修复改造等，依法推动园区生产废水应纳尽纳。推进化工园区雨污分流改造和 初期雨水收集处理，鼓励有条件的园区实施化工企业废水分类收集、分质处理、一企一管、明管输送、实时监测。</w:t>
                  </w:r>
                </w:p>
              </w:tc>
              <w:tc>
                <w:tcPr>
                  <w:tcW w:w="1202" w:type="pct"/>
                  <w:noWrap w:val="0"/>
                  <w:tcMar>
                    <w:top w:w="0" w:type="dxa"/>
                    <w:left w:w="11" w:type="dxa"/>
                    <w:bottom w:w="0" w:type="dxa"/>
                    <w:right w:w="11" w:type="dxa"/>
                  </w:tcMar>
                  <w:vAlign w:val="center"/>
                </w:tcPr>
                <w:p w14:paraId="78DA6A11">
                  <w:pPr>
                    <w:pStyle w:val="8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本项目不属于禁止生产项目，</w:t>
                  </w:r>
                  <w:r>
                    <w:rPr>
                      <w:rFonts w:hint="default" w:ascii="Times New Roman" w:hAnsi="Times New Roman" w:eastAsia="宋体" w:cs="Times New Roman"/>
                      <w:bCs/>
                      <w:color w:val="auto"/>
                      <w:sz w:val="21"/>
                      <w:szCs w:val="21"/>
                      <w:lang w:val="en-US" w:eastAsia="zh-CN"/>
                    </w:rPr>
                    <w:t>现有</w:t>
                  </w:r>
                  <w:r>
                    <w:rPr>
                      <w:rFonts w:hint="default" w:ascii="Times New Roman" w:hAnsi="Times New Roman" w:eastAsia="宋体" w:cs="Times New Roman"/>
                      <w:color w:val="auto"/>
                      <w:sz w:val="21"/>
                      <w:szCs w:val="21"/>
                    </w:rPr>
                    <w:t>项目生活污水接管至</w:t>
                  </w:r>
                  <w:r>
                    <w:rPr>
                      <w:rFonts w:hint="default" w:ascii="Times New Roman" w:hAnsi="Times New Roman" w:eastAsia="宋体" w:cs="Times New Roman"/>
                      <w:color w:val="auto"/>
                      <w:sz w:val="21"/>
                      <w:szCs w:val="21"/>
                      <w:lang w:val="en-US" w:eastAsia="zh-CN"/>
                    </w:rPr>
                    <w:t>金坛区第二污水处理厂</w:t>
                  </w:r>
                  <w:r>
                    <w:rPr>
                      <w:rFonts w:hint="default" w:ascii="Times New Roman" w:hAnsi="Times New Roman" w:eastAsia="宋体" w:cs="Times New Roman"/>
                      <w:color w:val="auto"/>
                      <w:sz w:val="21"/>
                      <w:szCs w:val="21"/>
                    </w:rPr>
                    <w:t>处理</w:t>
                  </w:r>
                  <w:r>
                    <w:rPr>
                      <w:rFonts w:hint="default" w:ascii="Times New Roman" w:hAnsi="Times New Roman" w:eastAsia="宋体" w:cs="Times New Roman"/>
                      <w:bCs/>
                      <w:color w:val="auto"/>
                      <w:sz w:val="21"/>
                      <w:szCs w:val="21"/>
                    </w:rPr>
                    <w:t>，无生产废水外排；</w:t>
                  </w:r>
                </w:p>
              </w:tc>
              <w:tc>
                <w:tcPr>
                  <w:tcW w:w="376" w:type="pct"/>
                  <w:noWrap w:val="0"/>
                  <w:tcMar>
                    <w:top w:w="0" w:type="dxa"/>
                    <w:left w:w="11" w:type="dxa"/>
                    <w:bottom w:w="0" w:type="dxa"/>
                    <w:right w:w="11" w:type="dxa"/>
                  </w:tcMar>
                  <w:vAlign w:val="center"/>
                </w:tcPr>
                <w:p w14:paraId="1BB0EE0D">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相符</w:t>
                  </w:r>
                </w:p>
              </w:tc>
            </w:tr>
            <w:tr w14:paraId="50CA20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49" w:type="pct"/>
                  <w:noWrap w:val="0"/>
                  <w:tcMar>
                    <w:top w:w="0" w:type="dxa"/>
                    <w:left w:w="11" w:type="dxa"/>
                    <w:bottom w:w="0" w:type="dxa"/>
                    <w:right w:w="11" w:type="dxa"/>
                  </w:tcMar>
                  <w:vAlign w:val="center"/>
                </w:tcPr>
                <w:p w14:paraId="2D1AA263">
                  <w:pP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第六章第一节引导产业合理布局</w:t>
                  </w:r>
                </w:p>
              </w:tc>
              <w:tc>
                <w:tcPr>
                  <w:tcW w:w="3071" w:type="pct"/>
                  <w:noWrap w:val="0"/>
                  <w:tcMar>
                    <w:top w:w="0" w:type="dxa"/>
                    <w:left w:w="11" w:type="dxa"/>
                    <w:bottom w:w="0" w:type="dxa"/>
                    <w:right w:w="11" w:type="dxa"/>
                  </w:tcMar>
                  <w:vAlign w:val="center"/>
                </w:tcPr>
                <w:p w14:paraId="00CC5CAD">
                  <w:pP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严禁落地国家和本地产业结构调整目录明确的限制类、淘汰类工艺、装备、产品与项目，依法推动污染企业退出。继续推进城市建成区内造纸、印染、化工等污染较重企业有序搬迁改造或依法关闭，推动环太湖生态环境敏感区内不符合产业发展政策、存在重大安全隐患且不具备整治条件的企业依法关闭或搬迁至合规工业园。推进太湖流域等重要饮用水水源地300米范围内重点排污企业逐步退出。除战略性新兴产业项目外，太湖流域原则上不再审批其他生产性新增氮磷污染物的工业类建设项目。环太湖地区重点布局总部经济、研发设计、高端制造、销售等产业链环节，大力发展创新经济、服务经济、绿色经济，打造具有全球竞争力的产业创新高地。全面拓展沿太湖科技研发创新带，高水平规划建设太湖科学城、“两湖”创新区。引进产业应符合“三线一单”管控要求、相关规划和环境影响评价要求，符合区域主导生态功能，鼓励工业企业项目采用国际国内行业先进的生产工艺与装备，提高污染物排放控制水平。</w:t>
                  </w:r>
                </w:p>
              </w:tc>
              <w:tc>
                <w:tcPr>
                  <w:tcW w:w="1202" w:type="pct"/>
                  <w:noWrap w:val="0"/>
                  <w:tcMar>
                    <w:top w:w="0" w:type="dxa"/>
                    <w:left w:w="11" w:type="dxa"/>
                    <w:bottom w:w="0" w:type="dxa"/>
                    <w:right w:w="11" w:type="dxa"/>
                  </w:tcMar>
                  <w:vAlign w:val="center"/>
                </w:tcPr>
                <w:p w14:paraId="59F0DC98">
                  <w:pP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本项目不涉及文件中限制、淘汰类工艺、装备、产品与项目</w:t>
                  </w:r>
                </w:p>
              </w:tc>
              <w:tc>
                <w:tcPr>
                  <w:tcW w:w="376" w:type="pct"/>
                  <w:noWrap w:val="0"/>
                  <w:tcMar>
                    <w:top w:w="0" w:type="dxa"/>
                    <w:left w:w="11" w:type="dxa"/>
                    <w:bottom w:w="0" w:type="dxa"/>
                    <w:right w:w="11" w:type="dxa"/>
                  </w:tcMar>
                  <w:vAlign w:val="center"/>
                </w:tcPr>
                <w:p w14:paraId="06045EDF">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相符</w:t>
                  </w:r>
                </w:p>
              </w:tc>
            </w:tr>
          </w:tbl>
          <w:p w14:paraId="79ECA618">
            <w:pPr>
              <w:autoSpaceDE w:val="0"/>
              <w:autoSpaceDN w:val="0"/>
              <w:adjustRightInd w:val="0"/>
              <w:snapToGrid w:val="0"/>
              <w:rPr>
                <w:rFonts w:hint="default" w:ascii="Times New Roman" w:hAnsi="Times New Roman" w:eastAsia="宋体" w:cs="Times New Roman"/>
                <w:color w:val="auto"/>
                <w:kern w:val="0"/>
                <w:szCs w:val="21"/>
              </w:rPr>
            </w:pPr>
          </w:p>
          <w:p w14:paraId="60531D4A">
            <w:pPr>
              <w:autoSpaceDE w:val="0"/>
              <w:autoSpaceDN w:val="0"/>
              <w:snapToGrid w:val="0"/>
              <w:spacing w:line="500" w:lineRule="exact"/>
              <w:ind w:firstLine="482" w:firstLineChars="200"/>
              <w:jc w:val="left"/>
              <w:rPr>
                <w:rFonts w:hint="default" w:ascii="Times New Roman" w:hAnsi="Times New Roman" w:eastAsia="宋体" w:cs="Times New Roman"/>
                <w:b/>
                <w:color w:val="auto"/>
                <w:sz w:val="24"/>
              </w:rPr>
            </w:pP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9</w:t>
            </w:r>
            <w:r>
              <w:rPr>
                <w:rFonts w:hint="default" w:ascii="Times New Roman" w:hAnsi="Times New Roman" w:eastAsia="宋体" w:cs="Times New Roman"/>
                <w:b/>
                <w:bCs/>
                <w:color w:val="auto"/>
                <w:sz w:val="24"/>
              </w:rPr>
              <w:t>）与</w:t>
            </w:r>
            <w:r>
              <w:rPr>
                <w:rFonts w:hint="default" w:ascii="Times New Roman" w:hAnsi="Times New Roman" w:eastAsia="宋体" w:cs="Times New Roman"/>
                <w:b/>
                <w:color w:val="auto"/>
                <w:sz w:val="24"/>
                <w:lang w:val="zh-CN"/>
              </w:rPr>
              <w:t>《省生态环境厅关于进一步做好建设项目环评审批工作的通知》（苏环办〔2019〕36号）相符性分析</w:t>
            </w:r>
          </w:p>
          <w:p w14:paraId="7DDD8449">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bCs/>
                <w:color w:val="auto"/>
                <w:sz w:val="21"/>
                <w:szCs w:val="21"/>
                <w:lang w:val="zh-CN" w:eastAsia="zh-CN"/>
              </w:rPr>
            </w:pPr>
            <w:r>
              <w:rPr>
                <w:rFonts w:hint="default" w:ascii="Times New Roman" w:hAnsi="Times New Roman" w:eastAsia="宋体" w:cs="Times New Roman"/>
                <w:b/>
                <w:bCs/>
                <w:color w:val="auto"/>
                <w:sz w:val="21"/>
                <w:szCs w:val="21"/>
                <w:lang w:val="zh-CN" w:eastAsia="zh-CN"/>
              </w:rPr>
              <w:t>表</w:t>
            </w:r>
            <w:r>
              <w:rPr>
                <w:rFonts w:hint="default" w:ascii="Times New Roman" w:hAnsi="Times New Roman" w:eastAsia="宋体" w:cs="Times New Roman"/>
                <w:b/>
                <w:bCs/>
                <w:color w:val="auto"/>
                <w:sz w:val="21"/>
                <w:szCs w:val="21"/>
                <w:lang w:val="en-US" w:eastAsia="zh-CN"/>
              </w:rPr>
              <w:t>1-15</w:t>
            </w:r>
            <w:r>
              <w:rPr>
                <w:rFonts w:hint="default" w:ascii="Times New Roman" w:hAnsi="Times New Roman" w:eastAsia="宋体" w:cs="Times New Roman"/>
                <w:b/>
                <w:bCs/>
                <w:color w:val="auto"/>
                <w:sz w:val="21"/>
                <w:szCs w:val="21"/>
                <w:lang w:val="zh-CN" w:eastAsia="zh-CN"/>
              </w:rPr>
              <w:t>与苏环办〔2019〕36号文对照分析</w:t>
            </w:r>
          </w:p>
          <w:tbl>
            <w:tblPr>
              <w:tblStyle w:val="27"/>
              <w:tblW w:w="805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403"/>
              <w:gridCol w:w="4529"/>
              <w:gridCol w:w="1594"/>
              <w:gridCol w:w="529"/>
            </w:tblGrid>
            <w:tr w14:paraId="187757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871" w:type="pct"/>
                  <w:vAlign w:val="center"/>
                </w:tcPr>
                <w:p w14:paraId="47C1D3CA">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类别</w:t>
                  </w:r>
                </w:p>
              </w:tc>
              <w:tc>
                <w:tcPr>
                  <w:tcW w:w="2810" w:type="pct"/>
                  <w:vAlign w:val="center"/>
                </w:tcPr>
                <w:p w14:paraId="1FF24997">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文件要求（建设项目环评审批要点）</w:t>
                  </w:r>
                </w:p>
              </w:tc>
              <w:tc>
                <w:tcPr>
                  <w:tcW w:w="989" w:type="pct"/>
                  <w:vAlign w:val="center"/>
                </w:tcPr>
                <w:p w14:paraId="1F8F054D">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本项目</w:t>
                  </w:r>
                </w:p>
              </w:tc>
              <w:tc>
                <w:tcPr>
                  <w:tcW w:w="328" w:type="pct"/>
                  <w:vAlign w:val="center"/>
                </w:tcPr>
                <w:p w14:paraId="79464C2A">
                  <w:pPr>
                    <w:autoSpaceDE w:val="0"/>
                    <w:autoSpaceDN w:val="0"/>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是否相符</w:t>
                  </w:r>
                </w:p>
              </w:tc>
            </w:tr>
            <w:tr w14:paraId="4483B8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9" w:hRule="atLeast"/>
                <w:jc w:val="center"/>
              </w:trPr>
              <w:tc>
                <w:tcPr>
                  <w:tcW w:w="871" w:type="pct"/>
                  <w:vAlign w:val="center"/>
                </w:tcPr>
                <w:p w14:paraId="4B5EB342">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《建设项目环境保护管理条例》</w:t>
                  </w:r>
                </w:p>
              </w:tc>
              <w:tc>
                <w:tcPr>
                  <w:tcW w:w="2810" w:type="pct"/>
                  <w:vAlign w:val="center"/>
                </w:tcPr>
                <w:p w14:paraId="1BB8B037">
                  <w:pPr>
                    <w:autoSpaceDE w:val="0"/>
                    <w:autoSpaceDN w:val="0"/>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有下列情形之一的，不予批准：（1）建设项目类型及其选址、布局、规模等不符合环境保护法律法规和相关法定规划；（2）所在区域环境质量未达到国家或者地方环境质量标准，且建设项目拟采取的措施不能满足区域环境质量改善目标管理要求；（3）建设项目采取的污染防治措施无法确保污染物排放达到国家和地方排放标准，或者未采取必要措施预防和控制生态破坏；（4）改建、扩建和技术改造项目，未针对项目原有环境污染和生态破坏提出有效防治措施；（5）建设项目的环境影响报告书、环境影响报告表的基础资料数据明显不实，内容存在重大缺陷、遗漏，或者环境影响评价结论不明确、不合理。</w:t>
                  </w:r>
                </w:p>
              </w:tc>
              <w:tc>
                <w:tcPr>
                  <w:tcW w:w="989" w:type="pct"/>
                  <w:vAlign w:val="center"/>
                </w:tcPr>
                <w:p w14:paraId="6C9B7371">
                  <w:pPr>
                    <w:autoSpaceDE w:val="0"/>
                    <w:autoSpaceDN w:val="0"/>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①本项目所在地规划符合环境保护法律法规和相关法定规划要求；②项目所在区域环境控制质量不达标，本项目采取的措施有效可行，确保污染物稳定达标，区域已经制定限期达标规划，项目建设满足区域环境质量改善目标管理要求；③项目污染物经处理后可稳定达到国家和地方排放标准；④本项目基础数据真实有效，评价结论合理可信。</w:t>
                  </w:r>
                </w:p>
              </w:tc>
              <w:tc>
                <w:tcPr>
                  <w:tcW w:w="328" w:type="pct"/>
                  <w:vAlign w:val="center"/>
                </w:tcPr>
                <w:p w14:paraId="23421165">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9FF9E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53" w:hRule="atLeast"/>
                <w:jc w:val="center"/>
              </w:trPr>
              <w:tc>
                <w:tcPr>
                  <w:tcW w:w="871" w:type="pct"/>
                  <w:vAlign w:val="center"/>
                </w:tcPr>
                <w:p w14:paraId="1995F0FD">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《农用地土壤环境管理办法（试行）》</w:t>
                  </w:r>
                </w:p>
              </w:tc>
              <w:tc>
                <w:tcPr>
                  <w:tcW w:w="2810" w:type="pct"/>
                  <w:vAlign w:val="center"/>
                </w:tcPr>
                <w:p w14:paraId="5D34248E">
                  <w:pPr>
                    <w:autoSpaceDE w:val="0"/>
                    <w:autoSpaceDN w:val="0"/>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严格控制在优先保护类耕地集中区域新建有色金属冶炼、石油加工、化工、焦化、电镀、制革等行业企业，有关环境保护主管部门依法不予审批可能造成耕地土壤污染的建设项目环境影响报告书或者报告表。</w:t>
                  </w:r>
                </w:p>
              </w:tc>
              <w:tc>
                <w:tcPr>
                  <w:tcW w:w="989" w:type="pct"/>
                  <w:vAlign w:val="center"/>
                </w:tcPr>
                <w:p w14:paraId="6E54721E">
                  <w:pPr>
                    <w:autoSpaceDE w:val="0"/>
                    <w:autoSpaceDN w:val="0"/>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本项目位于</w:t>
                  </w:r>
                  <w:r>
                    <w:rPr>
                      <w:rFonts w:hint="default" w:ascii="Times New Roman" w:hAnsi="Times New Roman" w:eastAsia="宋体" w:cs="Times New Roman"/>
                      <w:bCs/>
                      <w:color w:val="auto"/>
                      <w:szCs w:val="21"/>
                      <w:lang w:eastAsia="zh-CN"/>
                    </w:rPr>
                    <w:t>常州市金坛区龙湖路10号</w:t>
                  </w:r>
                  <w:r>
                    <w:rPr>
                      <w:rFonts w:hint="default" w:ascii="Times New Roman" w:hAnsi="Times New Roman" w:eastAsia="宋体" w:cs="Times New Roman"/>
                      <w:color w:val="auto"/>
                      <w:szCs w:val="21"/>
                    </w:rPr>
                    <w:t>，用地性质为工业用地。</w:t>
                  </w:r>
                </w:p>
              </w:tc>
              <w:tc>
                <w:tcPr>
                  <w:tcW w:w="328" w:type="pct"/>
                  <w:vAlign w:val="center"/>
                </w:tcPr>
                <w:p w14:paraId="48E9BF42">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4B6151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32" w:hRule="atLeast"/>
                <w:jc w:val="center"/>
              </w:trPr>
              <w:tc>
                <w:tcPr>
                  <w:tcW w:w="871" w:type="pct"/>
                  <w:vAlign w:val="center"/>
                </w:tcPr>
                <w:p w14:paraId="688461EE">
                  <w:pPr>
                    <w:autoSpaceDE w:val="0"/>
                    <w:autoSpaceDN w:val="0"/>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《关于印发&lt;建设项目主要污染物排放总量指标审核及管理暂行办法&gt;的通知》</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环发〔2014〕197号</w:t>
                  </w:r>
                  <w:r>
                    <w:rPr>
                      <w:rFonts w:hint="default" w:ascii="Times New Roman" w:hAnsi="Times New Roman" w:eastAsia="宋体" w:cs="Times New Roman"/>
                      <w:color w:val="auto"/>
                      <w:szCs w:val="21"/>
                      <w:lang w:val="en-US" w:eastAsia="zh-CN"/>
                    </w:rPr>
                    <w:t>)</w:t>
                  </w:r>
                </w:p>
              </w:tc>
              <w:tc>
                <w:tcPr>
                  <w:tcW w:w="2810" w:type="pct"/>
                  <w:vAlign w:val="center"/>
                </w:tcPr>
                <w:p w14:paraId="47736F06">
                  <w:pPr>
                    <w:autoSpaceDE w:val="0"/>
                    <w:autoSpaceDN w:val="0"/>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严格落实污染物排放总量控制制度，把主要污染物排放总量指标作为建设项目环境影响评价审批的前置条件。排放主要污染物的建设项目，在环境影响评价文件审批前，须取得主要污染物排放总量指标。</w:t>
                  </w:r>
                </w:p>
              </w:tc>
              <w:tc>
                <w:tcPr>
                  <w:tcW w:w="989" w:type="pct"/>
                  <w:vAlign w:val="center"/>
                </w:tcPr>
                <w:p w14:paraId="7F82C527">
                  <w:pPr>
                    <w:autoSpaceDE w:val="0"/>
                    <w:autoSpaceDN w:val="0"/>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本项目拟在环境影响评价文件审批前，取得主要污染物排放总量指标。</w:t>
                  </w:r>
                </w:p>
              </w:tc>
              <w:tc>
                <w:tcPr>
                  <w:tcW w:w="328" w:type="pct"/>
                  <w:vAlign w:val="center"/>
                </w:tcPr>
                <w:p w14:paraId="4F18B988">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F4F30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118" w:hRule="atLeast"/>
                <w:jc w:val="center"/>
              </w:trPr>
              <w:tc>
                <w:tcPr>
                  <w:tcW w:w="871" w:type="pct"/>
                  <w:vAlign w:val="center"/>
                </w:tcPr>
                <w:p w14:paraId="1DBB957E">
                  <w:pPr>
                    <w:autoSpaceDE w:val="0"/>
                    <w:autoSpaceDN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《关于以改善环境质量为核心加强环境影响评价管理的通知》（环环评〔2016〕150号）</w:t>
                  </w:r>
                </w:p>
              </w:tc>
              <w:tc>
                <w:tcPr>
                  <w:tcW w:w="2810" w:type="pct"/>
                  <w:vAlign w:val="center"/>
                </w:tcPr>
                <w:p w14:paraId="19BC24B4">
                  <w:pPr>
                    <w:autoSpaceDE w:val="0"/>
                    <w:autoSpaceDN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rPr>
                    <w:t>规划环评要作为规划所包含项目环评的重要依据，对于不符合规划环评结论及审查意见的项目环评，依法不予审批。</w:t>
                  </w:r>
                  <w:r>
                    <w:rPr>
                      <w:rFonts w:hint="default" w:ascii="Times New Roman" w:hAnsi="Times New Roman" w:eastAsia="宋体" w:cs="Times New Roman"/>
                      <w:color w:val="auto"/>
                      <w:szCs w:val="21"/>
                      <w:lang w:val="en-US" w:eastAsia="zh-CN"/>
                    </w:rPr>
                    <w:t>(2)</w:t>
                  </w:r>
                  <w:r>
                    <w:rPr>
                      <w:rFonts w:hint="default" w:ascii="Times New Roman" w:hAnsi="Times New Roman" w:eastAsia="宋体" w:cs="Times New Roman"/>
                      <w:color w:val="auto"/>
                      <w:szCs w:val="21"/>
                    </w:rPr>
                    <w:t>对于现有同类型项目环境污染或生态破坏严重、环境违法违规现象多发，致使环境容量接近或超过承载能力的地区，在现有问题整改到位前，依法暂停审批该地区同类行业的项目环评文件。</w:t>
                  </w:r>
                  <w:r>
                    <w:rPr>
                      <w:rFonts w:hint="default"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989" w:type="pct"/>
                  <w:vAlign w:val="center"/>
                </w:tcPr>
                <w:p w14:paraId="01683C9B">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rPr>
                    <w:t>本项目建设内容符合所在区域定位，且不在生态保护红线范围内；</w:t>
                  </w:r>
                </w:p>
                <w:p w14:paraId="4FE31610">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(2)</w:t>
                  </w:r>
                  <w:r>
                    <w:rPr>
                      <w:rFonts w:hint="default" w:ascii="Times New Roman" w:hAnsi="Times New Roman" w:eastAsia="宋体" w:cs="Times New Roman"/>
                      <w:color w:val="auto"/>
                      <w:szCs w:val="21"/>
                    </w:rPr>
                    <w:t>项目所在地为非达标区，</w:t>
                  </w:r>
                  <w:r>
                    <w:rPr>
                      <w:rFonts w:hint="default" w:ascii="Times New Roman" w:hAnsi="Times New Roman" w:eastAsia="宋体" w:cs="Times New Roman"/>
                      <w:color w:val="auto"/>
                      <w:szCs w:val="21"/>
                      <w:highlight w:val="none"/>
                    </w:rPr>
                    <w:t>本项目各废气因子排放量较小，</w:t>
                  </w:r>
                  <w:r>
                    <w:rPr>
                      <w:rFonts w:hint="default" w:ascii="Times New Roman" w:hAnsi="Times New Roman" w:eastAsia="宋体" w:cs="Times New Roman"/>
                      <w:color w:val="auto"/>
                      <w:szCs w:val="21"/>
                    </w:rPr>
                    <w:t>对周围保护目标影响均较小，均未超过各因子的环境质量标准。因此，项目排放的大气污染物对周围空气环境影响较小。</w:t>
                  </w:r>
                </w:p>
              </w:tc>
              <w:tc>
                <w:tcPr>
                  <w:tcW w:w="328" w:type="pct"/>
                  <w:vAlign w:val="center"/>
                </w:tcPr>
                <w:p w14:paraId="01219042">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210407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494" w:hRule="atLeast"/>
                <w:jc w:val="center"/>
              </w:trPr>
              <w:tc>
                <w:tcPr>
                  <w:tcW w:w="871" w:type="pct"/>
                  <w:vAlign w:val="center"/>
                </w:tcPr>
                <w:p w14:paraId="44CB85EA">
                  <w:pPr>
                    <w:autoSpaceDE w:val="0"/>
                    <w:autoSpaceDN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《关于全面加强生态环境保护坚决打好污染防治攻坚战的实施意见》</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苏发</w:t>
                  </w:r>
                  <w:r>
                    <w:rPr>
                      <w:rFonts w:hint="default" w:ascii="Times New Roman" w:hAnsi="Times New Roman" w:eastAsia="宋体" w:cs="Times New Roman"/>
                      <w:color w:val="auto"/>
                      <w:szCs w:val="21"/>
                      <w:lang w:eastAsia="zh-CN"/>
                    </w:rPr>
                    <w:t>〔2018〕24号</w:t>
                  </w:r>
                  <w:r>
                    <w:rPr>
                      <w:rFonts w:hint="default" w:ascii="Times New Roman" w:hAnsi="Times New Roman" w:eastAsia="宋体" w:cs="Times New Roman"/>
                      <w:color w:val="auto"/>
                      <w:szCs w:val="21"/>
                      <w:lang w:val="en-US" w:eastAsia="zh-CN"/>
                    </w:rPr>
                    <w:t>)</w:t>
                  </w:r>
                </w:p>
              </w:tc>
              <w:tc>
                <w:tcPr>
                  <w:tcW w:w="2810" w:type="pct"/>
                  <w:vAlign w:val="center"/>
                </w:tcPr>
                <w:p w14:paraId="2C97923A">
                  <w:pPr>
                    <w:autoSpaceDE w:val="0"/>
                    <w:autoSpaceDN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严禁在长江干流及主要支流岸线1公里范围内新建布局化工园区和化工企业。严格化工项目环评审批，提高准入门槛，新建化工项目原则上投资额不得低于10亿元，不得新建、改建、扩建三类中间体项目。</w:t>
                  </w:r>
                </w:p>
              </w:tc>
              <w:tc>
                <w:tcPr>
                  <w:tcW w:w="989" w:type="pct"/>
                  <w:vAlign w:val="center"/>
                </w:tcPr>
                <w:p w14:paraId="67649D03">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本项目不属于化工企业。</w:t>
                  </w:r>
                </w:p>
              </w:tc>
              <w:tc>
                <w:tcPr>
                  <w:tcW w:w="328" w:type="pct"/>
                  <w:vAlign w:val="center"/>
                </w:tcPr>
                <w:p w14:paraId="18A32D52">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51A557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918" w:hRule="atLeast"/>
                <w:jc w:val="center"/>
              </w:trPr>
              <w:tc>
                <w:tcPr>
                  <w:tcW w:w="871" w:type="pct"/>
                  <w:vAlign w:val="center"/>
                </w:tcPr>
                <w:p w14:paraId="3908FB5F">
                  <w:pPr>
                    <w:autoSpaceDE w:val="0"/>
                    <w:autoSpaceDN w:val="0"/>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《省政府关于印发江苏省国家级生态保护红线规划的通知》</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szCs w:val="21"/>
                    </w:rPr>
                    <w:t>苏政发〔2018〕74号</w:t>
                  </w:r>
                  <w:r>
                    <w:rPr>
                      <w:rFonts w:hint="default" w:ascii="Times New Roman" w:hAnsi="Times New Roman" w:eastAsia="宋体" w:cs="Times New Roman"/>
                      <w:color w:val="auto"/>
                      <w:szCs w:val="21"/>
                      <w:lang w:val="en-US" w:eastAsia="zh-CN"/>
                    </w:rPr>
                    <w:t>)</w:t>
                  </w:r>
                </w:p>
              </w:tc>
              <w:tc>
                <w:tcPr>
                  <w:tcW w:w="2810" w:type="pct"/>
                  <w:vAlign w:val="center"/>
                </w:tcPr>
                <w:p w14:paraId="5D28C6FB">
                  <w:pPr>
                    <w:autoSpaceDE w:val="0"/>
                    <w:autoSpaceDN w:val="0"/>
                    <w:adjustRightInd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生态保护红线原则上按禁止开发区域的要求进行管理，严禁不符合主体功能定位的各类开发活动，严禁任意改变用途。</w:t>
                  </w:r>
                </w:p>
              </w:tc>
              <w:tc>
                <w:tcPr>
                  <w:tcW w:w="989" w:type="pct"/>
                  <w:vAlign w:val="center"/>
                </w:tcPr>
                <w:p w14:paraId="67E70D2A">
                  <w:pPr>
                    <w:autoSpaceDE w:val="0"/>
                    <w:autoSpaceDN w:val="0"/>
                    <w:adjustRightInd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本项目不在生态保护红线内。</w:t>
                  </w:r>
                </w:p>
              </w:tc>
              <w:tc>
                <w:tcPr>
                  <w:tcW w:w="328" w:type="pct"/>
                  <w:vAlign w:val="center"/>
                </w:tcPr>
                <w:p w14:paraId="2416A0B2">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55B5F5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670" w:hRule="atLeast"/>
                <w:jc w:val="center"/>
              </w:trPr>
              <w:tc>
                <w:tcPr>
                  <w:tcW w:w="871" w:type="pct"/>
                  <w:vAlign w:val="center"/>
                </w:tcPr>
                <w:p w14:paraId="134D33DE">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推动长江经济带发展领导小组办公室关于印发《长江经济带发展负面清单指南（试行，2022年版）》的通知（长江办〔2022〕7号）</w:t>
                  </w:r>
                </w:p>
              </w:tc>
              <w:tc>
                <w:tcPr>
                  <w:tcW w:w="2810" w:type="pct"/>
                  <w:vAlign w:val="center"/>
                </w:tcPr>
                <w:p w14:paraId="4DE3C106">
                  <w:pPr>
                    <w:autoSpaceDE w:val="0"/>
                    <w:autoSpaceDN w:val="0"/>
                    <w:snapToGrid w:val="0"/>
                    <w:ind w:firstLine="420" w:firstLineChars="20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禁止建设不符合全国和省级港口布局规划以及港口总体规划的码头项目，禁止建设不符合《长江干线过江通道布局规划》的过长江通道项目。2.禁止在自然保护区核心区、缓冲区的岸线和河段范围内投资建设旅游和生产经营项目。禁止在风景名胜区核心景区的岸线和河段范围内投资建设与风景名胜资源保护无关的项目。3.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4.禁止在水产种质资源保护区的岸线和河段范围内新建围湖造田、围海造地或围填海等投资建设项目。禁止在国家湿地公园的岸线和河段范围内挖沙、采矿，以及任何不符合主体功能定位的投资建设项目。5.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w:t>
                  </w:r>
                  <w:r>
                    <w:rPr>
                      <w:rFonts w:hint="default" w:ascii="Times New Roman" w:hAnsi="Times New Roman" w:eastAsia="宋体" w:cs="Times New Roman"/>
                      <w:color w:val="auto"/>
                      <w:szCs w:val="21"/>
                      <w:lang w:val="en-US" w:eastAsia="zh-CN"/>
                    </w:rPr>
                    <w:t>湖泊</w:t>
                  </w:r>
                  <w:r>
                    <w:rPr>
                      <w:rFonts w:hint="default" w:ascii="Times New Roman" w:hAnsi="Times New Roman" w:eastAsia="宋体" w:cs="Times New Roman"/>
                      <w:color w:val="auto"/>
                      <w:szCs w:val="21"/>
                    </w:rPr>
                    <w:t>水功能区划》划定的河段及湖泊保护区、保留区内投资建设不利于水资源及自然生态保护的项目。6．禁止未经许可在长江</w:t>
                  </w:r>
                  <w:r>
                    <w:rPr>
                      <w:rFonts w:hint="default" w:ascii="Times New Roman" w:hAnsi="Times New Roman" w:eastAsia="宋体" w:cs="Times New Roman"/>
                      <w:color w:val="auto"/>
                      <w:lang w:val="en-US" w:eastAsia="zh-CN"/>
                    </w:rPr>
                    <w:t>干支流</w:t>
                  </w:r>
                  <w:r>
                    <w:rPr>
                      <w:rFonts w:hint="default" w:ascii="Times New Roman" w:hAnsi="Times New Roman" w:eastAsia="宋体" w:cs="Times New Roman"/>
                      <w:color w:val="auto"/>
                      <w:szCs w:val="21"/>
                    </w:rPr>
                    <w:t>及湖泊新设、改设或扩大排污口。7．禁止在“一江一口两湖七河”和332个水生生物保护区开展生产性捕捞。8.禁止在长江</w:t>
                  </w:r>
                  <w:r>
                    <w:rPr>
                      <w:rFonts w:hint="default" w:ascii="Times New Roman" w:hAnsi="Times New Roman" w:eastAsia="宋体" w:cs="Times New Roman"/>
                      <w:color w:val="auto"/>
                      <w:lang w:val="en-US" w:eastAsia="zh-CN"/>
                    </w:rPr>
                    <w:t>干</w:t>
                  </w:r>
                  <w:r>
                    <w:rPr>
                      <w:rFonts w:hint="default" w:ascii="Times New Roman" w:hAnsi="Times New Roman" w:eastAsia="宋体" w:cs="Times New Roman"/>
                      <w:color w:val="auto"/>
                      <w:szCs w:val="21"/>
                    </w:rPr>
                    <w:t>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9.禁止在合规园区外新建、扩建钢铁、石化、化工、焦化、建材、有色、制浆造纸等高污染项目。10.禁止新建、扩建不符合国家石化、现代煤化工等产业布局规划的项目。11.禁止新建、扩建法律法规和相关政策明令禁止的落后产能项目。禁止新建、扩建不符合国家产能置换要求的严重过剩产能行业的项目。禁止新建、扩建不符合要求的高耗能高排放项目。12，法律法规及相关政策文件有更加严格规定的从其规定。</w:t>
                  </w:r>
                </w:p>
              </w:tc>
              <w:tc>
                <w:tcPr>
                  <w:tcW w:w="989" w:type="pct"/>
                  <w:vAlign w:val="center"/>
                </w:tcPr>
                <w:p w14:paraId="23349ABD">
                  <w:pPr>
                    <w:autoSpaceDE w:val="0"/>
                    <w:autoSpaceDN w:val="0"/>
                    <w:snapToGrid w:val="0"/>
                    <w:jc w:val="left"/>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本项目不属于禁止建设项目。</w:t>
                  </w:r>
                </w:p>
              </w:tc>
              <w:tc>
                <w:tcPr>
                  <w:tcW w:w="328" w:type="pct"/>
                  <w:vAlign w:val="center"/>
                </w:tcPr>
                <w:p w14:paraId="3A1C9E19">
                  <w:pPr>
                    <w:autoSpaceDE w:val="0"/>
                    <w:autoSpaceDN w:val="0"/>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14:paraId="5B62A4BF">
            <w:pPr>
              <w:pStyle w:val="9"/>
              <w:widowControl w:val="0"/>
              <w:numPr>
                <w:ilvl w:val="0"/>
                <w:numId w:val="0"/>
              </w:numPr>
              <w:jc w:val="both"/>
              <w:rPr>
                <w:rFonts w:hint="default" w:ascii="Times New Roman" w:hAnsi="Times New Roman" w:eastAsia="宋体" w:cs="Times New Roman"/>
                <w:color w:val="auto"/>
                <w:kern w:val="0"/>
                <w:szCs w:val="21"/>
              </w:rPr>
            </w:pPr>
          </w:p>
        </w:tc>
      </w:tr>
    </w:tbl>
    <w:p w14:paraId="6847BD74">
      <w:pPr>
        <w:keepNext w:val="0"/>
        <w:keepLines w:val="0"/>
        <w:pageBreakBefore w:val="0"/>
        <w:widowControl w:val="0"/>
        <w:kinsoku/>
        <w:wordWrap/>
        <w:overflowPunct/>
        <w:topLinePunct w:val="0"/>
        <w:autoSpaceDE/>
        <w:autoSpaceDN/>
        <w:bidi w:val="0"/>
        <w:adjustRightInd/>
        <w:snapToGrid w:val="0"/>
        <w:spacing w:line="240" w:lineRule="auto"/>
        <w:textAlignment w:val="auto"/>
        <w:outlineLvl w:val="0"/>
        <w:rPr>
          <w:rFonts w:hint="default" w:ascii="Times New Roman" w:hAnsi="Times New Roman" w:eastAsia="宋体" w:cs="Times New Roman"/>
          <w:color w:val="auto"/>
          <w:sz w:val="10"/>
          <w:szCs w:val="10"/>
        </w:rPr>
        <w:sectPr>
          <w:footerReference r:id="rId3" w:type="default"/>
          <w:pgSz w:w="11906" w:h="16838"/>
          <w:pgMar w:top="1417" w:right="1417" w:bottom="1417" w:left="1417" w:header="851" w:footer="1077" w:gutter="0"/>
          <w:pgBorders>
            <w:top w:val="none" w:sz="0" w:space="0"/>
            <w:left w:val="none" w:sz="0" w:space="0"/>
            <w:bottom w:val="none" w:sz="0" w:space="0"/>
            <w:right w:val="none" w:sz="0" w:space="0"/>
          </w:pgBorders>
          <w:pgNumType w:start="1"/>
          <w:cols w:space="720" w:num="1"/>
          <w:docGrid w:linePitch="312" w:charSpace="0"/>
        </w:sectPr>
      </w:pPr>
    </w:p>
    <w:p w14:paraId="0D249A43">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b/>
          <w:bCs/>
          <w:snapToGrid w:val="0"/>
          <w:color w:val="auto"/>
          <w:sz w:val="30"/>
          <w:szCs w:val="30"/>
          <w:vertAlign w:val="baseline"/>
        </w:rPr>
      </w:pPr>
      <w:bookmarkStart w:id="2" w:name="_Toc19526"/>
      <w:r>
        <w:rPr>
          <w:rFonts w:hint="default" w:ascii="Times New Roman" w:hAnsi="Times New Roman" w:eastAsia="宋体" w:cs="Times New Roman"/>
          <w:b/>
          <w:bCs/>
          <w:snapToGrid w:val="0"/>
          <w:color w:val="auto"/>
          <w:sz w:val="30"/>
          <w:szCs w:val="30"/>
        </w:rPr>
        <w:t>二、建设项目工程分析</w:t>
      </w:r>
      <w:bookmarkEnd w:id="2"/>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8225"/>
      </w:tblGrid>
      <w:tr w14:paraId="5C008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5" w:type="dxa"/>
          </w:tcPr>
          <w:p w14:paraId="14A7F169">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jc w:val="center"/>
              <w:textAlignment w:val="auto"/>
              <w:outlineLvl w:val="0"/>
              <w:rPr>
                <w:rFonts w:hint="default" w:ascii="Times New Roman" w:hAnsi="Times New Roman" w:eastAsia="宋体" w:cs="Times New Roman"/>
                <w:snapToGrid w:val="0"/>
                <w:color w:val="auto"/>
                <w:sz w:val="30"/>
                <w:szCs w:val="30"/>
                <w:vertAlign w:val="baseline"/>
              </w:rPr>
            </w:pPr>
            <w:r>
              <w:rPr>
                <w:rFonts w:hint="default" w:ascii="Times New Roman" w:hAnsi="Times New Roman" w:eastAsia="宋体" w:cs="Times New Roman"/>
                <w:color w:val="auto"/>
                <w:szCs w:val="24"/>
              </w:rPr>
              <w:t>建设内容</w:t>
            </w:r>
          </w:p>
        </w:tc>
        <w:tc>
          <w:tcPr>
            <w:tcW w:w="8225" w:type="dxa"/>
          </w:tcPr>
          <w:p w14:paraId="1DE37A76">
            <w:pPr>
              <w:keepNext w:val="0"/>
              <w:keepLines w:val="0"/>
              <w:pageBreakBefore w:val="0"/>
              <w:kinsoku/>
              <w:wordWrap/>
              <w:overflowPunct/>
              <w:topLinePunct w:val="0"/>
              <w:bidi w:val="0"/>
              <w:adjustRightInd w:val="0"/>
              <w:snapToGrid w:val="0"/>
              <w:spacing w:line="360" w:lineRule="auto"/>
              <w:ind w:left="0" w:right="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1、项目由来</w:t>
            </w:r>
          </w:p>
          <w:p w14:paraId="07DF8D49">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江苏万泉金属制品有限公司成立于2016年06月30日，位于常州市金坛区龙湖路10号，主要从事安检设备柜、安检提示牌、开包操作台、地铁导流带、安检围挡、铁马护栏、移动式Y剂量率连续测量设备的制造及销售。</w:t>
            </w:r>
          </w:p>
          <w:p w14:paraId="5557B32A">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公司于2019年5月申报“轨道交通配套金属制品新建项目环境影响报告表”，于2019年8月26日取得了常州市生态环境局的批复（常金环审[2019]173号），于2019年10月通过环境保护“三同时”自主验收，企业固体污染防治设施于2020年2月6日通过常州市生态环境局验收（常环金验（2020）39号）。</w:t>
            </w:r>
          </w:p>
          <w:p w14:paraId="5FFBFEEA">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企业于2020年5月6日取得了排污许可登记，登记编号：91320400MA1MNXJD1N001X。企业运行至今，未受到任何信访投诉。</w:t>
            </w:r>
          </w:p>
          <w:p w14:paraId="0BC55737">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为提升产品质量，企业拟投资200万元，对现有产品安检提示牌、地铁导流带和移动式Y剂量率连续测量设备生产线进行技术改造。技改内容：利用现有场地购置丝网印刷工作台、写真打印机、UV打印机等设备，原有安检提示牌产线增加UV打印工段，地铁导流带产线增加写真打印工段、移动式Y剂量率连续测量设备产线增加丝网印刷工段</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技改后项目不新增产品产量，全厂产能保持为年产安检设备柜344台、安检提示牌7232件、开包操作台459套、地铁导流带31338套、安检围挡2030套、铁马护栏1000件、移动式Y剂量率连续测量设备90套。</w:t>
            </w:r>
          </w:p>
          <w:p w14:paraId="7D37FD19">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根据《中华人民共和国环境保护法》（2014年修订）、《中华人民共和国环境影响评价法》（2018年修订）和《建设项目环境影响评价分类管理名录》（2021年）的有关规定，本项目应进行环境影响评价。根据《建设项目环境影响评价分类管理名录》（2021年），本项目属于“</w:t>
            </w:r>
            <w:r>
              <w:rPr>
                <w:rFonts w:hint="eastAsia" w:cs="Times New Roman"/>
                <w:color w:val="auto"/>
                <w:sz w:val="24"/>
                <w:lang w:val="en-US" w:eastAsia="zh-CN"/>
              </w:rPr>
              <w:t>三十一</w:t>
            </w:r>
            <w:r>
              <w:rPr>
                <w:rFonts w:hint="default" w:ascii="Times New Roman" w:hAnsi="Times New Roman" w:eastAsia="宋体" w:cs="Times New Roman"/>
                <w:color w:val="auto"/>
                <w:sz w:val="24"/>
                <w:lang w:eastAsia="zh-CN"/>
              </w:rPr>
              <w:t>、</w:t>
            </w:r>
            <w:r>
              <w:rPr>
                <w:rFonts w:hint="eastAsia" w:cs="Times New Roman"/>
                <w:color w:val="auto"/>
                <w:sz w:val="24"/>
                <w:lang w:val="en-US" w:eastAsia="zh-CN"/>
              </w:rPr>
              <w:t>通用设备制造</w:t>
            </w:r>
            <w:r>
              <w:rPr>
                <w:rFonts w:hint="default" w:ascii="Times New Roman" w:hAnsi="Times New Roman" w:eastAsia="宋体" w:cs="Times New Roman"/>
                <w:color w:val="auto"/>
                <w:sz w:val="24"/>
                <w:lang w:eastAsia="zh-CN"/>
              </w:rPr>
              <w:t>业-</w:t>
            </w:r>
            <w:r>
              <w:rPr>
                <w:rFonts w:hint="eastAsia" w:cs="Times New Roman"/>
                <w:color w:val="auto"/>
                <w:sz w:val="24"/>
                <w:lang w:val="en-US" w:eastAsia="zh-CN"/>
              </w:rPr>
              <w:t>69</w:t>
            </w:r>
            <w:r>
              <w:rPr>
                <w:rFonts w:hint="default" w:ascii="Times New Roman" w:hAnsi="Times New Roman" w:eastAsia="宋体" w:cs="Times New Roman"/>
                <w:color w:val="auto"/>
                <w:sz w:val="24"/>
                <w:lang w:eastAsia="zh-CN"/>
              </w:rPr>
              <w:t>其他通用设备制造</w:t>
            </w:r>
            <w:r>
              <w:rPr>
                <w:rFonts w:hint="eastAsia" w:cs="Times New Roman"/>
                <w:color w:val="auto"/>
                <w:sz w:val="24"/>
                <w:lang w:val="en-US" w:eastAsia="zh-CN"/>
              </w:rPr>
              <w:t>349</w:t>
            </w:r>
            <w:r>
              <w:rPr>
                <w:rFonts w:hint="default" w:ascii="Times New Roman" w:hAnsi="Times New Roman" w:eastAsia="宋体" w:cs="Times New Roman"/>
                <w:color w:val="auto"/>
                <w:sz w:val="24"/>
                <w:lang w:val="en-US" w:eastAsia="zh-CN"/>
              </w:rPr>
              <w:t>-其他（仅分割、焊接、组装的除外;年用非溶剂型低VOCs含量涂料10吨以下的除外)”类别，应编制环境影</w:t>
            </w:r>
            <w:r>
              <w:rPr>
                <w:rFonts w:hint="default" w:ascii="Times New Roman" w:hAnsi="Times New Roman" w:eastAsia="宋体" w:cs="Times New Roman"/>
                <w:color w:val="auto"/>
                <w:sz w:val="24"/>
              </w:rPr>
              <w:t>响评价报告表。</w:t>
            </w:r>
            <w:r>
              <w:rPr>
                <w:rFonts w:hint="default" w:ascii="Times New Roman" w:hAnsi="Times New Roman" w:eastAsia="宋体" w:cs="Times New Roman"/>
                <w:color w:val="auto"/>
                <w:sz w:val="24"/>
                <w:lang w:eastAsia="zh-CN"/>
              </w:rPr>
              <w:t>江苏万泉金属制品有限公司</w:t>
            </w:r>
            <w:r>
              <w:rPr>
                <w:rFonts w:hint="default" w:ascii="Times New Roman" w:hAnsi="Times New Roman" w:eastAsia="宋体" w:cs="Times New Roman"/>
                <w:color w:val="auto"/>
                <w:sz w:val="24"/>
              </w:rPr>
              <w:t>委托专业环评单位承担该项目的环境影响评价工作。环评单位在现场踏勘、调查的基础上，通过对有关资料的收集、整理和分析计算，编制完成了该项目的环境影响报告表，报请审批。</w:t>
            </w:r>
          </w:p>
          <w:p w14:paraId="5C113695">
            <w:pPr>
              <w:keepNext w:val="0"/>
              <w:keepLines w:val="0"/>
              <w:pageBreakBefore w:val="0"/>
              <w:kinsoku/>
              <w:wordWrap/>
              <w:overflowPunct/>
              <w:topLinePunct w:val="0"/>
              <w:autoSpaceDE w:val="0"/>
              <w:autoSpaceDN w:val="0"/>
              <w:bidi w:val="0"/>
              <w:adjustRightInd w:val="0"/>
              <w:snapToGrid w:val="0"/>
              <w:spacing w:line="360" w:lineRule="auto"/>
              <w:ind w:left="0" w:right="0"/>
              <w:jc w:val="left"/>
              <w:textAlignment w:val="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lang w:val="en-US" w:eastAsia="zh-CN"/>
              </w:rPr>
              <w:t>2</w:t>
            </w:r>
            <w:r>
              <w:rPr>
                <w:rFonts w:hint="default" w:ascii="Times New Roman" w:hAnsi="Times New Roman" w:eastAsia="宋体" w:cs="Times New Roman"/>
                <w:b/>
                <w:bCs/>
                <w:color w:val="auto"/>
                <w:kern w:val="0"/>
                <w:sz w:val="24"/>
              </w:rPr>
              <w:t>、产品方案</w:t>
            </w:r>
          </w:p>
          <w:p w14:paraId="6AC0BD2F">
            <w:pPr>
              <w:keepNext w:val="0"/>
              <w:keepLines w:val="0"/>
              <w:pageBreakBefore w:val="0"/>
              <w:widowControl w:val="0"/>
              <w:kinsoku/>
              <w:wordWrap/>
              <w:overflowPunct/>
              <w:topLinePunct w:val="0"/>
              <w:autoSpaceDE/>
              <w:autoSpaceDN/>
              <w:bidi w:val="0"/>
              <w:adjustRightInd w:val="0"/>
              <w:snapToGrid w:val="0"/>
              <w:spacing w:line="440" w:lineRule="exact"/>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 xml:space="preserve">1 </w:t>
            </w:r>
            <w:r>
              <w:rPr>
                <w:rFonts w:hint="default" w:ascii="Times New Roman" w:hAnsi="Times New Roman" w:eastAsia="宋体" w:cs="Times New Roman"/>
                <w:b/>
                <w:bCs/>
                <w:color w:val="auto"/>
                <w:sz w:val="21"/>
                <w:szCs w:val="21"/>
                <w:highlight w:val="none"/>
              </w:rPr>
              <w:t>本项目建成后全厂产品方案一览表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8"/>
              <w:gridCol w:w="1696"/>
              <w:gridCol w:w="1147"/>
              <w:gridCol w:w="982"/>
              <w:gridCol w:w="1374"/>
              <w:gridCol w:w="889"/>
              <w:gridCol w:w="1290"/>
            </w:tblGrid>
            <w:tr w14:paraId="318D82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Merge w:val="restart"/>
                  <w:vAlign w:val="center"/>
                </w:tcPr>
                <w:p w14:paraId="4F1F6752">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059" w:type="pct"/>
                  <w:vMerge w:val="restart"/>
                  <w:vAlign w:val="center"/>
                </w:tcPr>
                <w:p w14:paraId="00848EAF">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2742" w:type="pct"/>
                  <w:gridSpan w:val="4"/>
                  <w:vAlign w:val="center"/>
                </w:tcPr>
                <w:p w14:paraId="4D9ECDAE">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生产能力</w:t>
                  </w:r>
                </w:p>
              </w:tc>
              <w:tc>
                <w:tcPr>
                  <w:tcW w:w="805" w:type="pct"/>
                  <w:vMerge w:val="restart"/>
                  <w:vAlign w:val="center"/>
                </w:tcPr>
                <w:p w14:paraId="4C50780F">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年运行时数</w:t>
                  </w:r>
                </w:p>
              </w:tc>
            </w:tr>
            <w:tr w14:paraId="020E5D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Merge w:val="continue"/>
                  <w:vAlign w:val="center"/>
                </w:tcPr>
                <w:p w14:paraId="6ACD280D">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p>
              </w:tc>
              <w:tc>
                <w:tcPr>
                  <w:tcW w:w="1059" w:type="pct"/>
                  <w:vMerge w:val="continue"/>
                  <w:vAlign w:val="center"/>
                </w:tcPr>
                <w:p w14:paraId="4C754602">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p>
              </w:tc>
              <w:tc>
                <w:tcPr>
                  <w:tcW w:w="716" w:type="pct"/>
                  <w:vAlign w:val="center"/>
                </w:tcPr>
                <w:p w14:paraId="62734C1D">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前</w:t>
                  </w:r>
                </w:p>
              </w:tc>
              <w:tc>
                <w:tcPr>
                  <w:tcW w:w="613" w:type="pct"/>
                  <w:vAlign w:val="center"/>
                </w:tcPr>
                <w:p w14:paraId="6FA5936B">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本项目</w:t>
                  </w:r>
                </w:p>
              </w:tc>
              <w:tc>
                <w:tcPr>
                  <w:tcW w:w="858" w:type="pct"/>
                  <w:vAlign w:val="center"/>
                </w:tcPr>
                <w:p w14:paraId="4B764D01">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后</w:t>
                  </w:r>
                </w:p>
              </w:tc>
              <w:tc>
                <w:tcPr>
                  <w:tcW w:w="555" w:type="pct"/>
                  <w:vAlign w:val="center"/>
                </w:tcPr>
                <w:p w14:paraId="255C4995">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变化量</w:t>
                  </w:r>
                </w:p>
              </w:tc>
              <w:tc>
                <w:tcPr>
                  <w:tcW w:w="805" w:type="pct"/>
                  <w:vMerge w:val="continue"/>
                  <w:vAlign w:val="center"/>
                </w:tcPr>
                <w:p w14:paraId="209C6BBF">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p>
              </w:tc>
            </w:tr>
            <w:tr w14:paraId="5520DE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048AB167">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59" w:type="pct"/>
                  <w:vAlign w:val="center"/>
                </w:tcPr>
                <w:p w14:paraId="0643B9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安检设备柜</w:t>
                  </w:r>
                </w:p>
              </w:tc>
              <w:tc>
                <w:tcPr>
                  <w:tcW w:w="716" w:type="pct"/>
                  <w:vAlign w:val="center"/>
                </w:tcPr>
                <w:p w14:paraId="56479864">
                  <w:pPr>
                    <w:keepNext w:val="0"/>
                    <w:keepLines w:val="0"/>
                    <w:pageBreakBefore w:val="0"/>
                    <w:widowControl w:val="0"/>
                    <w:tabs>
                      <w:tab w:val="left" w:pos="542"/>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344台</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4A565C07">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c>
                <w:tcPr>
                  <w:tcW w:w="858" w:type="pct"/>
                  <w:vAlign w:val="center"/>
                </w:tcPr>
                <w:p w14:paraId="21D200B0">
                  <w:pPr>
                    <w:keepNext w:val="0"/>
                    <w:keepLines w:val="0"/>
                    <w:pageBreakBefore w:val="0"/>
                    <w:widowControl w:val="0"/>
                    <w:tabs>
                      <w:tab w:val="left" w:pos="542"/>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344台</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19A3BCE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229C08F7">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rPr>
                    <w:t>2400h</w:t>
                  </w:r>
                </w:p>
              </w:tc>
            </w:tr>
            <w:tr w14:paraId="766F7B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739DB1F3">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059" w:type="pct"/>
                  <w:vAlign w:val="center"/>
                </w:tcPr>
                <w:p w14:paraId="459F46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安检提示牌</w:t>
                  </w:r>
                  <w:r>
                    <w:rPr>
                      <w:rFonts w:hint="default" w:ascii="Times New Roman" w:hAnsi="Times New Roman" w:eastAsia="宋体" w:cs="Times New Roman"/>
                      <w:color w:val="auto"/>
                      <w:szCs w:val="21"/>
                      <w:lang w:val="en-US" w:eastAsia="zh-CN"/>
                    </w:rPr>
                    <w:t>*</w:t>
                  </w:r>
                </w:p>
              </w:tc>
              <w:tc>
                <w:tcPr>
                  <w:tcW w:w="716" w:type="pct"/>
                  <w:vAlign w:val="center"/>
                </w:tcPr>
                <w:p w14:paraId="0A0844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7232件</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6A878678">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w:t>
                  </w:r>
                </w:p>
              </w:tc>
              <w:tc>
                <w:tcPr>
                  <w:tcW w:w="858" w:type="pct"/>
                  <w:vAlign w:val="center"/>
                </w:tcPr>
                <w:p w14:paraId="50411A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rPr>
                    <w:t>7232件</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33A78D0F">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243A3F6D">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 w:val="21"/>
                      <w:szCs w:val="21"/>
                    </w:rPr>
                    <w:t>2400h</w:t>
                  </w:r>
                </w:p>
              </w:tc>
            </w:tr>
            <w:tr w14:paraId="773602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775D10F8">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059" w:type="pct"/>
                  <w:vAlign w:val="center"/>
                </w:tcPr>
                <w:p w14:paraId="628505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开包操作台</w:t>
                  </w:r>
                </w:p>
              </w:tc>
              <w:tc>
                <w:tcPr>
                  <w:tcW w:w="716" w:type="pct"/>
                  <w:vAlign w:val="center"/>
                </w:tcPr>
                <w:p w14:paraId="43A2C7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459套</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4A223C01">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w:t>
                  </w:r>
                </w:p>
              </w:tc>
              <w:tc>
                <w:tcPr>
                  <w:tcW w:w="858" w:type="pct"/>
                  <w:vAlign w:val="center"/>
                </w:tcPr>
                <w:p w14:paraId="1E2F62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rPr>
                    <w:t>459套</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2F663497">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20B77AA4">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rPr>
                    <w:t>2400h</w:t>
                  </w:r>
                </w:p>
              </w:tc>
            </w:tr>
            <w:tr w14:paraId="03FC3C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2BE86C20">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059" w:type="pct"/>
                  <w:vAlign w:val="center"/>
                </w:tcPr>
                <w:p w14:paraId="7F7F19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地铁导流带</w:t>
                  </w:r>
                  <w:r>
                    <w:rPr>
                      <w:rFonts w:hint="default" w:ascii="Times New Roman" w:hAnsi="Times New Roman" w:eastAsia="宋体" w:cs="Times New Roman"/>
                      <w:color w:val="auto"/>
                      <w:szCs w:val="21"/>
                      <w:lang w:val="en-US" w:eastAsia="zh-CN"/>
                    </w:rPr>
                    <w:t>*</w:t>
                  </w:r>
                </w:p>
              </w:tc>
              <w:tc>
                <w:tcPr>
                  <w:tcW w:w="716" w:type="pct"/>
                  <w:vAlign w:val="center"/>
                </w:tcPr>
                <w:p w14:paraId="63FAF6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31338套</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143AA1DF">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0</w:t>
                  </w:r>
                </w:p>
              </w:tc>
              <w:tc>
                <w:tcPr>
                  <w:tcW w:w="858" w:type="pct"/>
                  <w:vAlign w:val="center"/>
                </w:tcPr>
                <w:p w14:paraId="1F6A1C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rPr>
                    <w:t>31338套</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509AC742">
                  <w:pPr>
                    <w:keepNext w:val="0"/>
                    <w:keepLines w:val="0"/>
                    <w:widowControl/>
                    <w:suppressLineNumbers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1AF41CDD">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rPr>
                    <w:t>2400h</w:t>
                  </w:r>
                </w:p>
              </w:tc>
            </w:tr>
            <w:tr w14:paraId="1AF681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3AE3C272">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059" w:type="pct"/>
                  <w:vAlign w:val="center"/>
                </w:tcPr>
                <w:p w14:paraId="265D69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安检围挡</w:t>
                  </w:r>
                </w:p>
              </w:tc>
              <w:tc>
                <w:tcPr>
                  <w:tcW w:w="716" w:type="pct"/>
                  <w:vAlign w:val="center"/>
                </w:tcPr>
                <w:p w14:paraId="67F446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2030套</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0EFB929D">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58" w:type="pct"/>
                  <w:vAlign w:val="center"/>
                </w:tcPr>
                <w:p w14:paraId="35361A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2030套</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393D5AE5">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4C33BC0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2400h</w:t>
                  </w:r>
                </w:p>
              </w:tc>
            </w:tr>
            <w:tr w14:paraId="21DDF3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34170C90">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059" w:type="pct"/>
                  <w:vAlign w:val="center"/>
                </w:tcPr>
                <w:p w14:paraId="024998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铁马护栏</w:t>
                  </w:r>
                </w:p>
              </w:tc>
              <w:tc>
                <w:tcPr>
                  <w:tcW w:w="716" w:type="pct"/>
                  <w:vAlign w:val="center"/>
                </w:tcPr>
                <w:p w14:paraId="013417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1000件</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0D23E3D4">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58" w:type="pct"/>
                  <w:vAlign w:val="center"/>
                </w:tcPr>
                <w:p w14:paraId="366237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1000件</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33D39AC3">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5BBB0DA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2400h</w:t>
                  </w:r>
                </w:p>
              </w:tc>
            </w:tr>
            <w:tr w14:paraId="2411BC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2" w:type="pct"/>
                  <w:vAlign w:val="center"/>
                </w:tcPr>
                <w:p w14:paraId="5D61E77B">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059" w:type="pct"/>
                  <w:vAlign w:val="center"/>
                </w:tcPr>
                <w:p w14:paraId="229E8F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移动式Y剂量率连续测量设备</w:t>
                  </w:r>
                  <w:r>
                    <w:rPr>
                      <w:rFonts w:hint="default" w:ascii="Times New Roman" w:hAnsi="Times New Roman" w:eastAsia="宋体" w:cs="Times New Roman"/>
                      <w:color w:val="auto"/>
                      <w:szCs w:val="21"/>
                      <w:lang w:val="en-US" w:eastAsia="zh-CN"/>
                    </w:rPr>
                    <w:t>*</w:t>
                  </w:r>
                </w:p>
              </w:tc>
              <w:tc>
                <w:tcPr>
                  <w:tcW w:w="716" w:type="pct"/>
                  <w:vAlign w:val="center"/>
                </w:tcPr>
                <w:p w14:paraId="57D658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90套</w:t>
                  </w:r>
                  <w:r>
                    <w:rPr>
                      <w:rFonts w:hint="default" w:ascii="Times New Roman" w:hAnsi="Times New Roman" w:eastAsia="宋体" w:cs="Times New Roman"/>
                      <w:snapToGrid w:val="0"/>
                      <w:color w:val="auto"/>
                      <w:kern w:val="0"/>
                      <w:sz w:val="21"/>
                      <w:szCs w:val="21"/>
                      <w:highlight w:val="none"/>
                    </w:rPr>
                    <w:t>/a</w:t>
                  </w:r>
                </w:p>
              </w:tc>
              <w:tc>
                <w:tcPr>
                  <w:tcW w:w="613" w:type="pct"/>
                  <w:vAlign w:val="center"/>
                </w:tcPr>
                <w:p w14:paraId="7D14369A">
                  <w:pPr>
                    <w:adjustRightInd w:val="0"/>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+0</w:t>
                  </w:r>
                </w:p>
              </w:tc>
              <w:tc>
                <w:tcPr>
                  <w:tcW w:w="858" w:type="pct"/>
                  <w:vAlign w:val="center"/>
                </w:tcPr>
                <w:p w14:paraId="5EF1D7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90套</w:t>
                  </w:r>
                  <w:r>
                    <w:rPr>
                      <w:rFonts w:hint="default" w:ascii="Times New Roman" w:hAnsi="Times New Roman" w:eastAsia="宋体" w:cs="Times New Roman"/>
                      <w:snapToGrid w:val="0"/>
                      <w:color w:val="auto"/>
                      <w:kern w:val="0"/>
                      <w:sz w:val="21"/>
                      <w:szCs w:val="21"/>
                      <w:highlight w:val="none"/>
                    </w:rPr>
                    <w:t>/a</w:t>
                  </w:r>
                </w:p>
              </w:tc>
              <w:tc>
                <w:tcPr>
                  <w:tcW w:w="555" w:type="pct"/>
                  <w:vAlign w:val="center"/>
                </w:tcPr>
                <w:p w14:paraId="482519E8">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w:t>
                  </w:r>
                </w:p>
              </w:tc>
              <w:tc>
                <w:tcPr>
                  <w:tcW w:w="805" w:type="pct"/>
                  <w:vAlign w:val="center"/>
                </w:tcPr>
                <w:p w14:paraId="02DCEFB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2400h</w:t>
                  </w:r>
                </w:p>
              </w:tc>
            </w:tr>
          </w:tbl>
          <w:p w14:paraId="0AE54A05">
            <w:pPr>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color w:val="auto"/>
                <w:sz w:val="21"/>
                <w:szCs w:val="21"/>
                <w:lang w:val="en-US" w:eastAsia="zh-CN"/>
              </w:rPr>
              <w:t>注：安检提示牌产线增加UV打印工段，地铁导流带产线增加写真打印工段，移动式Y剂量率连续测量设备产线增加丝网印刷工段，年运行时间约600h。</w:t>
            </w:r>
          </w:p>
          <w:p w14:paraId="3627DBEB">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3</w:t>
            </w:r>
            <w:r>
              <w:rPr>
                <w:rFonts w:hint="default" w:ascii="Times New Roman" w:hAnsi="Times New Roman" w:eastAsia="宋体" w:cs="Times New Roman"/>
                <w:b/>
                <w:color w:val="auto"/>
                <w:sz w:val="24"/>
              </w:rPr>
              <w:t>、原辅材料</w:t>
            </w:r>
          </w:p>
          <w:p w14:paraId="622C266A">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本项目建成后全厂原辅料消耗情况见下表</w:t>
            </w:r>
            <w:r>
              <w:rPr>
                <w:rFonts w:hint="default" w:ascii="Times New Roman" w:hAnsi="Times New Roman" w:eastAsia="宋体" w:cs="Times New Roman"/>
                <w:color w:val="auto"/>
                <w:sz w:val="24"/>
              </w:rPr>
              <w:t>。</w:t>
            </w:r>
          </w:p>
          <w:p w14:paraId="44825B48">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 xml:space="preserve"> 本项目建成后全厂原辅料消耗情况一览表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897"/>
              <w:gridCol w:w="2440"/>
              <w:gridCol w:w="1078"/>
              <w:gridCol w:w="820"/>
              <w:gridCol w:w="1014"/>
              <w:gridCol w:w="761"/>
              <w:gridCol w:w="996"/>
            </w:tblGrid>
            <w:tr w14:paraId="5BC8A9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Merge w:val="restart"/>
                  <w:vAlign w:val="center"/>
                </w:tcPr>
                <w:p w14:paraId="4BE444A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523" w:type="pct"/>
                  <w:vMerge w:val="restart"/>
                  <w:vAlign w:val="center"/>
                </w:tcPr>
                <w:p w14:paraId="4C39907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规格、成分</w:t>
                  </w:r>
                </w:p>
              </w:tc>
              <w:tc>
                <w:tcPr>
                  <w:tcW w:w="1818" w:type="pct"/>
                  <w:gridSpan w:val="3"/>
                  <w:tcBorders>
                    <w:bottom w:val="single" w:color="auto" w:sz="4" w:space="0"/>
                  </w:tcBorders>
                  <w:vAlign w:val="center"/>
                </w:tcPr>
                <w:p w14:paraId="67B5518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年</w:t>
                  </w:r>
                  <w:r>
                    <w:rPr>
                      <w:rFonts w:hint="default" w:ascii="Times New Roman" w:hAnsi="Times New Roman" w:eastAsia="宋体" w:cs="Times New Roman"/>
                      <w:b/>
                      <w:bCs/>
                      <w:color w:val="auto"/>
                      <w:sz w:val="21"/>
                      <w:szCs w:val="21"/>
                    </w:rPr>
                    <w:t>消耗量</w:t>
                  </w:r>
                </w:p>
              </w:tc>
              <w:tc>
                <w:tcPr>
                  <w:tcW w:w="475" w:type="pct"/>
                  <w:vMerge w:val="restart"/>
                  <w:vAlign w:val="center"/>
                </w:tcPr>
                <w:p w14:paraId="56954D6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最大储量</w:t>
                  </w:r>
                  <w:r>
                    <w:rPr>
                      <w:rFonts w:hint="default" w:ascii="Times New Roman" w:hAnsi="Times New Roman" w:eastAsia="宋体" w:cs="Times New Roman"/>
                      <w:b/>
                      <w:bCs/>
                      <w:color w:val="auto"/>
                      <w:sz w:val="21"/>
                      <w:szCs w:val="21"/>
                      <w:lang w:val="en-US" w:eastAsia="zh-CN"/>
                    </w:rPr>
                    <w:t>及</w:t>
                  </w:r>
                  <w:r>
                    <w:rPr>
                      <w:rFonts w:hint="default" w:ascii="Times New Roman" w:hAnsi="Times New Roman" w:eastAsia="宋体" w:cs="Times New Roman"/>
                      <w:b/>
                      <w:bCs/>
                      <w:color w:val="auto"/>
                      <w:sz w:val="21"/>
                      <w:szCs w:val="21"/>
                      <w:lang w:eastAsia="zh-CN"/>
                    </w:rPr>
                    <w:t>包装规格</w:t>
                  </w:r>
                </w:p>
              </w:tc>
              <w:tc>
                <w:tcPr>
                  <w:tcW w:w="622" w:type="pct"/>
                  <w:vMerge w:val="restart"/>
                  <w:vAlign w:val="center"/>
                </w:tcPr>
                <w:p w14:paraId="5B9DA32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来源及运输方式</w:t>
                  </w:r>
                </w:p>
              </w:tc>
            </w:tr>
            <w:tr w14:paraId="49174F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Merge w:val="continue"/>
                  <w:vAlign w:val="center"/>
                </w:tcPr>
                <w:p w14:paraId="4BD808A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c>
                <w:tcPr>
                  <w:tcW w:w="1523" w:type="pct"/>
                  <w:vMerge w:val="continue"/>
                  <w:tcBorders>
                    <w:bottom w:val="single" w:color="auto" w:sz="4" w:space="0"/>
                  </w:tcBorders>
                  <w:vAlign w:val="center"/>
                </w:tcPr>
                <w:p w14:paraId="2C65734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c>
                <w:tcPr>
                  <w:tcW w:w="673" w:type="pct"/>
                  <w:tcBorders>
                    <w:top w:val="single" w:color="auto" w:sz="4" w:space="0"/>
                    <w:bottom w:val="single" w:color="auto" w:sz="4" w:space="0"/>
                    <w:right w:val="single" w:color="auto" w:sz="4" w:space="0"/>
                  </w:tcBorders>
                  <w:vAlign w:val="center"/>
                </w:tcPr>
                <w:p w14:paraId="0E2CB1B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前</w:t>
                  </w:r>
                </w:p>
              </w:tc>
              <w:tc>
                <w:tcPr>
                  <w:tcW w:w="512" w:type="pct"/>
                  <w:tcBorders>
                    <w:top w:val="single" w:color="auto" w:sz="4" w:space="0"/>
                    <w:bottom w:val="single" w:color="auto" w:sz="4" w:space="0"/>
                    <w:right w:val="single" w:color="auto" w:sz="4" w:space="0"/>
                  </w:tcBorders>
                  <w:vAlign w:val="center"/>
                </w:tcPr>
                <w:p w14:paraId="4325DC4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后</w:t>
                  </w:r>
                </w:p>
              </w:tc>
              <w:tc>
                <w:tcPr>
                  <w:tcW w:w="632" w:type="pct"/>
                  <w:tcBorders>
                    <w:top w:val="single" w:color="auto" w:sz="4" w:space="0"/>
                    <w:bottom w:val="single" w:color="auto" w:sz="4" w:space="0"/>
                    <w:right w:val="single" w:color="auto" w:sz="4" w:space="0"/>
                  </w:tcBorders>
                  <w:vAlign w:val="center"/>
                </w:tcPr>
                <w:p w14:paraId="6FF6605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变化量</w:t>
                  </w:r>
                </w:p>
              </w:tc>
              <w:tc>
                <w:tcPr>
                  <w:tcW w:w="475" w:type="pct"/>
                  <w:vMerge w:val="continue"/>
                  <w:vAlign w:val="center"/>
                </w:tcPr>
                <w:p w14:paraId="77ACBE65">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c>
                <w:tcPr>
                  <w:tcW w:w="622" w:type="pct"/>
                  <w:vMerge w:val="continue"/>
                  <w:vAlign w:val="center"/>
                </w:tcPr>
                <w:p w14:paraId="18210C7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p>
              </w:tc>
            </w:tr>
            <w:tr w14:paraId="1F82F8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01C93098">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冷轧板</w:t>
                  </w:r>
                </w:p>
              </w:tc>
              <w:tc>
                <w:tcPr>
                  <w:tcW w:w="1523" w:type="pct"/>
                  <w:tcBorders>
                    <w:top w:val="single" w:color="auto" w:sz="4" w:space="0"/>
                  </w:tcBorders>
                  <w:vAlign w:val="center"/>
                </w:tcPr>
                <w:p w14:paraId="66A2F630">
                  <w:pPr>
                    <w:spacing w:line="36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673" w:type="pct"/>
                  <w:tcBorders>
                    <w:top w:val="single" w:color="auto" w:sz="4" w:space="0"/>
                  </w:tcBorders>
                  <w:vAlign w:val="center"/>
                </w:tcPr>
                <w:p w14:paraId="751355E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张</w:t>
                  </w:r>
                </w:p>
              </w:tc>
              <w:tc>
                <w:tcPr>
                  <w:tcW w:w="512" w:type="pct"/>
                  <w:tcBorders>
                    <w:top w:val="single" w:color="auto" w:sz="4" w:space="0"/>
                  </w:tcBorders>
                  <w:vAlign w:val="center"/>
                </w:tcPr>
                <w:p w14:paraId="7268841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张</w:t>
                  </w:r>
                </w:p>
              </w:tc>
              <w:tc>
                <w:tcPr>
                  <w:tcW w:w="632" w:type="pct"/>
                  <w:tcBorders>
                    <w:top w:val="single" w:color="auto" w:sz="4" w:space="0"/>
                  </w:tcBorders>
                  <w:vAlign w:val="center"/>
                </w:tcPr>
                <w:p w14:paraId="085EA830">
                  <w:pPr>
                    <w:keepNext w:val="0"/>
                    <w:keepLines w:val="0"/>
                    <w:pageBreakBefore w:val="0"/>
                    <w:widowControl/>
                    <w:suppressLineNumbers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505BDE1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100张，码堆</w:t>
                  </w:r>
                </w:p>
              </w:tc>
              <w:tc>
                <w:tcPr>
                  <w:tcW w:w="622" w:type="pct"/>
                  <w:vAlign w:val="center"/>
                </w:tcPr>
                <w:p w14:paraId="167FA70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国内汽运</w:t>
                  </w:r>
                </w:p>
              </w:tc>
            </w:tr>
            <w:tr w14:paraId="487487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183D368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不锈钢板</w:t>
                  </w:r>
                </w:p>
              </w:tc>
              <w:tc>
                <w:tcPr>
                  <w:tcW w:w="1523" w:type="pct"/>
                  <w:vAlign w:val="center"/>
                </w:tcPr>
                <w:p w14:paraId="690E58CC">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673" w:type="pct"/>
                  <w:vAlign w:val="center"/>
                </w:tcPr>
                <w:p w14:paraId="5DFDE34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张</w:t>
                  </w:r>
                </w:p>
              </w:tc>
              <w:tc>
                <w:tcPr>
                  <w:tcW w:w="512" w:type="pct"/>
                  <w:vAlign w:val="center"/>
                </w:tcPr>
                <w:p w14:paraId="2C81AD9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张</w:t>
                  </w:r>
                </w:p>
              </w:tc>
              <w:tc>
                <w:tcPr>
                  <w:tcW w:w="632" w:type="pct"/>
                  <w:vAlign w:val="center"/>
                </w:tcPr>
                <w:p w14:paraId="652E6077">
                  <w:pPr>
                    <w:keepNext w:val="0"/>
                    <w:keepLines w:val="0"/>
                    <w:pageBreakBefore w:val="0"/>
                    <w:widowControl/>
                    <w:suppressLineNumbers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6AC3FD3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200张，码堆</w:t>
                  </w:r>
                </w:p>
              </w:tc>
              <w:tc>
                <w:tcPr>
                  <w:tcW w:w="622" w:type="pct"/>
                  <w:vAlign w:val="center"/>
                </w:tcPr>
                <w:p w14:paraId="16FBB34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国内汽运</w:t>
                  </w:r>
                </w:p>
              </w:tc>
            </w:tr>
            <w:tr w14:paraId="73605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310C21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不锈钢管</w:t>
                  </w:r>
                </w:p>
              </w:tc>
              <w:tc>
                <w:tcPr>
                  <w:tcW w:w="1523" w:type="pct"/>
                  <w:vAlign w:val="center"/>
                </w:tcPr>
                <w:p w14:paraId="31BE8000">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673" w:type="pct"/>
                  <w:vAlign w:val="center"/>
                </w:tcPr>
                <w:p w14:paraId="52898B7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47000根</w:t>
                  </w:r>
                </w:p>
              </w:tc>
              <w:tc>
                <w:tcPr>
                  <w:tcW w:w="512" w:type="pct"/>
                  <w:vAlign w:val="center"/>
                </w:tcPr>
                <w:p w14:paraId="4455F94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47000根</w:t>
                  </w:r>
                </w:p>
              </w:tc>
              <w:tc>
                <w:tcPr>
                  <w:tcW w:w="632" w:type="pct"/>
                  <w:vAlign w:val="center"/>
                </w:tcPr>
                <w:p w14:paraId="0455E9BD">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2F15208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2000根，捆扎</w:t>
                  </w:r>
                </w:p>
              </w:tc>
              <w:tc>
                <w:tcPr>
                  <w:tcW w:w="622" w:type="pct"/>
                  <w:vAlign w:val="center"/>
                </w:tcPr>
                <w:p w14:paraId="2CBAAE2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国内汽运</w:t>
                  </w:r>
                </w:p>
              </w:tc>
            </w:tr>
            <w:tr w14:paraId="0A93FA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6464CF71">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冷轧钢板</w:t>
                  </w:r>
                </w:p>
              </w:tc>
              <w:tc>
                <w:tcPr>
                  <w:tcW w:w="1523" w:type="pct"/>
                  <w:vAlign w:val="center"/>
                </w:tcPr>
                <w:p w14:paraId="23A5AB5D">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673" w:type="pct"/>
                  <w:vAlign w:val="center"/>
                </w:tcPr>
                <w:p w14:paraId="68AAA8F1">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张</w:t>
                  </w:r>
                </w:p>
              </w:tc>
              <w:tc>
                <w:tcPr>
                  <w:tcW w:w="512" w:type="pct"/>
                  <w:vAlign w:val="center"/>
                </w:tcPr>
                <w:p w14:paraId="734095A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张</w:t>
                  </w:r>
                </w:p>
              </w:tc>
              <w:tc>
                <w:tcPr>
                  <w:tcW w:w="632" w:type="pct"/>
                  <w:vAlign w:val="center"/>
                </w:tcPr>
                <w:p w14:paraId="7F6BC102">
                  <w:pPr>
                    <w:adjustRightInd w:val="0"/>
                    <w:snapToGrid w:val="0"/>
                    <w:ind w:firstLine="12" w:firstLineChars="6"/>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+0</w:t>
                  </w:r>
                </w:p>
              </w:tc>
              <w:tc>
                <w:tcPr>
                  <w:tcW w:w="475" w:type="pct"/>
                  <w:vAlign w:val="center"/>
                </w:tcPr>
                <w:p w14:paraId="138BE5C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50张，码堆</w:t>
                  </w:r>
                </w:p>
              </w:tc>
              <w:tc>
                <w:tcPr>
                  <w:tcW w:w="622" w:type="pct"/>
                  <w:vAlign w:val="center"/>
                </w:tcPr>
                <w:p w14:paraId="6CF492D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国内汽运</w:t>
                  </w:r>
                </w:p>
              </w:tc>
            </w:tr>
            <w:tr w14:paraId="778FCB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3806B86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防火板</w:t>
                  </w:r>
                </w:p>
              </w:tc>
              <w:tc>
                <w:tcPr>
                  <w:tcW w:w="1523" w:type="pct"/>
                  <w:vAlign w:val="center"/>
                </w:tcPr>
                <w:p w14:paraId="5874C2E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673" w:type="pct"/>
                  <w:vAlign w:val="center"/>
                </w:tcPr>
                <w:p w14:paraId="5FE08CE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rPr>
                    <w:t>张</w:t>
                  </w:r>
                </w:p>
              </w:tc>
              <w:tc>
                <w:tcPr>
                  <w:tcW w:w="512" w:type="pct"/>
                  <w:vAlign w:val="center"/>
                </w:tcPr>
                <w:p w14:paraId="3751FE4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rPr>
                    <w:t>张</w:t>
                  </w:r>
                </w:p>
              </w:tc>
              <w:tc>
                <w:tcPr>
                  <w:tcW w:w="632" w:type="pct"/>
                  <w:vAlign w:val="center"/>
                </w:tcPr>
                <w:p w14:paraId="3BCD9DEB">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4430575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50张，码堆</w:t>
                  </w:r>
                </w:p>
              </w:tc>
              <w:tc>
                <w:tcPr>
                  <w:tcW w:w="622" w:type="pct"/>
                  <w:vAlign w:val="center"/>
                </w:tcPr>
                <w:p w14:paraId="4876DD1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国内汽运</w:t>
                  </w:r>
                </w:p>
              </w:tc>
            </w:tr>
            <w:tr w14:paraId="5E121D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CD086F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标准件</w:t>
                  </w:r>
                </w:p>
              </w:tc>
              <w:tc>
                <w:tcPr>
                  <w:tcW w:w="1523" w:type="pct"/>
                  <w:vAlign w:val="center"/>
                </w:tcPr>
                <w:p w14:paraId="6359EFC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螺丝、螺母、垫片等</w:t>
                  </w:r>
                </w:p>
              </w:tc>
              <w:tc>
                <w:tcPr>
                  <w:tcW w:w="673" w:type="pct"/>
                  <w:vAlign w:val="center"/>
                </w:tcPr>
                <w:p w14:paraId="6166FB1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万</w:t>
                  </w:r>
                  <w:r>
                    <w:rPr>
                      <w:rFonts w:hint="default" w:ascii="Times New Roman" w:hAnsi="Times New Roman" w:eastAsia="宋体" w:cs="Times New Roman"/>
                      <w:color w:val="auto"/>
                      <w:sz w:val="21"/>
                      <w:szCs w:val="21"/>
                      <w:highlight w:val="none"/>
                    </w:rPr>
                    <w:t>个</w:t>
                  </w:r>
                </w:p>
              </w:tc>
              <w:tc>
                <w:tcPr>
                  <w:tcW w:w="512" w:type="pct"/>
                  <w:vAlign w:val="center"/>
                </w:tcPr>
                <w:p w14:paraId="1EF0C2A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万</w:t>
                  </w:r>
                  <w:r>
                    <w:rPr>
                      <w:rFonts w:hint="default" w:ascii="Times New Roman" w:hAnsi="Times New Roman" w:eastAsia="宋体" w:cs="Times New Roman"/>
                      <w:color w:val="auto"/>
                      <w:sz w:val="21"/>
                      <w:szCs w:val="21"/>
                      <w:highlight w:val="none"/>
                    </w:rPr>
                    <w:t>个</w:t>
                  </w:r>
                </w:p>
              </w:tc>
              <w:tc>
                <w:tcPr>
                  <w:tcW w:w="632" w:type="pct"/>
                  <w:vAlign w:val="center"/>
                </w:tcPr>
                <w:p w14:paraId="175A783A">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7C9DEAF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1万个，箱装</w:t>
                  </w:r>
                </w:p>
              </w:tc>
              <w:tc>
                <w:tcPr>
                  <w:tcW w:w="622" w:type="pct"/>
                  <w:vAlign w:val="center"/>
                </w:tcPr>
                <w:p w14:paraId="706FDA2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0B3582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23A9F74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门锁</w:t>
                  </w:r>
                </w:p>
              </w:tc>
              <w:tc>
                <w:tcPr>
                  <w:tcW w:w="1523" w:type="pct"/>
                  <w:vAlign w:val="center"/>
                </w:tcPr>
                <w:p w14:paraId="6ED67107">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673" w:type="pct"/>
                  <w:vAlign w:val="center"/>
                </w:tcPr>
                <w:p w14:paraId="041370A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1000</w:t>
                  </w:r>
                  <w:r>
                    <w:rPr>
                      <w:rFonts w:hint="default" w:ascii="Times New Roman" w:hAnsi="Times New Roman" w:eastAsia="宋体" w:cs="Times New Roman"/>
                      <w:color w:val="auto"/>
                      <w:sz w:val="21"/>
                      <w:szCs w:val="21"/>
                      <w:highlight w:val="none"/>
                    </w:rPr>
                    <w:t>个</w:t>
                  </w:r>
                </w:p>
              </w:tc>
              <w:tc>
                <w:tcPr>
                  <w:tcW w:w="512" w:type="pct"/>
                  <w:vAlign w:val="center"/>
                </w:tcPr>
                <w:p w14:paraId="0229AFEE">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1000</w:t>
                  </w:r>
                  <w:r>
                    <w:rPr>
                      <w:rFonts w:hint="default" w:ascii="Times New Roman" w:hAnsi="Times New Roman" w:eastAsia="宋体" w:cs="Times New Roman"/>
                      <w:color w:val="auto"/>
                      <w:sz w:val="21"/>
                      <w:szCs w:val="21"/>
                      <w:highlight w:val="none"/>
                    </w:rPr>
                    <w:t>个</w:t>
                  </w:r>
                </w:p>
              </w:tc>
              <w:tc>
                <w:tcPr>
                  <w:tcW w:w="632" w:type="pct"/>
                  <w:vAlign w:val="center"/>
                </w:tcPr>
                <w:p w14:paraId="7C78C1C7">
                  <w:pPr>
                    <w:adjustRightInd w:val="0"/>
                    <w:snapToGrid w:val="0"/>
                    <w:ind w:firstLine="12" w:firstLineChars="6"/>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475" w:type="pct"/>
                  <w:vAlign w:val="center"/>
                </w:tcPr>
                <w:p w14:paraId="27FB4EA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200个，箱装</w:t>
                  </w:r>
                </w:p>
              </w:tc>
              <w:tc>
                <w:tcPr>
                  <w:tcW w:w="622" w:type="pct"/>
                  <w:vAlign w:val="center"/>
                </w:tcPr>
                <w:p w14:paraId="240F513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国内汽运</w:t>
                  </w:r>
                </w:p>
              </w:tc>
            </w:tr>
            <w:tr w14:paraId="26789F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624A569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铰链</w:t>
                  </w:r>
                </w:p>
              </w:tc>
              <w:tc>
                <w:tcPr>
                  <w:tcW w:w="1523" w:type="pct"/>
                  <w:vAlign w:val="center"/>
                </w:tcPr>
                <w:p w14:paraId="6DC683B9">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673" w:type="pct"/>
                  <w:vAlign w:val="center"/>
                </w:tcPr>
                <w:p w14:paraId="3AE24C7E">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条</w:t>
                  </w:r>
                </w:p>
              </w:tc>
              <w:tc>
                <w:tcPr>
                  <w:tcW w:w="512" w:type="pct"/>
                  <w:vAlign w:val="center"/>
                </w:tcPr>
                <w:p w14:paraId="637E79FB">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条</w:t>
                  </w:r>
                </w:p>
              </w:tc>
              <w:tc>
                <w:tcPr>
                  <w:tcW w:w="632" w:type="pct"/>
                  <w:vAlign w:val="center"/>
                </w:tcPr>
                <w:p w14:paraId="36CD5A12">
                  <w:pPr>
                    <w:adjustRightInd w:val="0"/>
                    <w:snapToGrid w:val="0"/>
                    <w:ind w:firstLine="12" w:firstLineChars="6"/>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475" w:type="pct"/>
                  <w:vAlign w:val="center"/>
                </w:tcPr>
                <w:p w14:paraId="202052E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50条，箱装</w:t>
                  </w:r>
                </w:p>
              </w:tc>
              <w:tc>
                <w:tcPr>
                  <w:tcW w:w="622" w:type="pct"/>
                  <w:vAlign w:val="center"/>
                </w:tcPr>
                <w:p w14:paraId="2B39CF5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rPr>
                    <w:t>国内汽运</w:t>
                  </w:r>
                </w:p>
              </w:tc>
            </w:tr>
            <w:tr w14:paraId="1647D5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241F9634">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拉手</w:t>
                  </w:r>
                </w:p>
              </w:tc>
              <w:tc>
                <w:tcPr>
                  <w:tcW w:w="1523" w:type="pct"/>
                  <w:vAlign w:val="center"/>
                </w:tcPr>
                <w:p w14:paraId="28738CF3">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w:t>
                  </w:r>
                </w:p>
              </w:tc>
              <w:tc>
                <w:tcPr>
                  <w:tcW w:w="673" w:type="pct"/>
                  <w:vAlign w:val="center"/>
                </w:tcPr>
                <w:p w14:paraId="75D2AD3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eastAsia="zh-CN"/>
                    </w:rPr>
                    <w:t>个</w:t>
                  </w:r>
                </w:p>
              </w:tc>
              <w:tc>
                <w:tcPr>
                  <w:tcW w:w="512" w:type="pct"/>
                  <w:vAlign w:val="center"/>
                </w:tcPr>
                <w:p w14:paraId="4B86D47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eastAsia="zh-CN"/>
                    </w:rPr>
                    <w:t>个</w:t>
                  </w:r>
                </w:p>
              </w:tc>
              <w:tc>
                <w:tcPr>
                  <w:tcW w:w="632" w:type="pct"/>
                  <w:vAlign w:val="center"/>
                </w:tcPr>
                <w:p w14:paraId="4E403D1C">
                  <w:pPr>
                    <w:adjustRightInd w:val="0"/>
                    <w:snapToGrid w:val="0"/>
                    <w:ind w:firstLine="12" w:firstLineChars="6"/>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+0</w:t>
                  </w:r>
                </w:p>
              </w:tc>
              <w:tc>
                <w:tcPr>
                  <w:tcW w:w="475" w:type="pct"/>
                  <w:vAlign w:val="center"/>
                </w:tcPr>
                <w:p w14:paraId="655877E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200个，箱装</w:t>
                  </w:r>
                </w:p>
              </w:tc>
              <w:tc>
                <w:tcPr>
                  <w:tcW w:w="622" w:type="pct"/>
                  <w:vAlign w:val="center"/>
                </w:tcPr>
                <w:p w14:paraId="5F4B81D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607AE2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742162C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布砂轮抛光带</w:t>
                  </w:r>
                </w:p>
              </w:tc>
              <w:tc>
                <w:tcPr>
                  <w:tcW w:w="1523" w:type="pct"/>
                  <w:vAlign w:val="center"/>
                </w:tcPr>
                <w:p w14:paraId="1293568E">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rPr>
                    <w:t>/</w:t>
                  </w:r>
                </w:p>
              </w:tc>
              <w:tc>
                <w:tcPr>
                  <w:tcW w:w="673" w:type="pct"/>
                  <w:vAlign w:val="center"/>
                </w:tcPr>
                <w:p w14:paraId="4215601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20盘</w:t>
                  </w:r>
                </w:p>
              </w:tc>
              <w:tc>
                <w:tcPr>
                  <w:tcW w:w="512" w:type="pct"/>
                  <w:vAlign w:val="center"/>
                </w:tcPr>
                <w:p w14:paraId="636CF92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20盘</w:t>
                  </w:r>
                </w:p>
              </w:tc>
              <w:tc>
                <w:tcPr>
                  <w:tcW w:w="632" w:type="pct"/>
                  <w:vAlign w:val="center"/>
                </w:tcPr>
                <w:p w14:paraId="2E500324">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7A89CF3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5盘，箱装</w:t>
                  </w:r>
                </w:p>
              </w:tc>
              <w:tc>
                <w:tcPr>
                  <w:tcW w:w="622" w:type="pct"/>
                  <w:vAlign w:val="center"/>
                </w:tcPr>
                <w:p w14:paraId="760197F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593115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A067040">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液氧</w:t>
                  </w:r>
                </w:p>
              </w:tc>
              <w:tc>
                <w:tcPr>
                  <w:tcW w:w="1523" w:type="pct"/>
                  <w:vAlign w:val="center"/>
                </w:tcPr>
                <w:p w14:paraId="27E6FBF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w:t>
                  </w:r>
                </w:p>
              </w:tc>
              <w:tc>
                <w:tcPr>
                  <w:tcW w:w="673" w:type="pct"/>
                  <w:vAlign w:val="center"/>
                </w:tcPr>
                <w:p w14:paraId="09C3FCB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瓶</w:t>
                  </w:r>
                </w:p>
              </w:tc>
              <w:tc>
                <w:tcPr>
                  <w:tcW w:w="512" w:type="pct"/>
                  <w:vAlign w:val="center"/>
                </w:tcPr>
                <w:p w14:paraId="20C4004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瓶</w:t>
                  </w:r>
                </w:p>
              </w:tc>
              <w:tc>
                <w:tcPr>
                  <w:tcW w:w="632" w:type="pct"/>
                  <w:vAlign w:val="center"/>
                </w:tcPr>
                <w:p w14:paraId="068065F5">
                  <w:pPr>
                    <w:adjustRightInd w:val="0"/>
                    <w:snapToGrid w:val="0"/>
                    <w:ind w:firstLine="12" w:firstLineChars="6"/>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+0</w:t>
                  </w:r>
                </w:p>
              </w:tc>
              <w:tc>
                <w:tcPr>
                  <w:tcW w:w="475" w:type="pct"/>
                  <w:vAlign w:val="center"/>
                </w:tcPr>
                <w:p w14:paraId="62BCED7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5瓶，</w:t>
                  </w:r>
                  <w:r>
                    <w:rPr>
                      <w:rFonts w:hint="default" w:ascii="Times New Roman" w:hAnsi="Times New Roman" w:eastAsia="宋体" w:cs="Times New Roman"/>
                      <w:color w:val="auto"/>
                      <w:sz w:val="21"/>
                      <w:szCs w:val="21"/>
                      <w:highlight w:val="none"/>
                    </w:rPr>
                    <w:t>6kg/瓶</w:t>
                  </w:r>
                </w:p>
              </w:tc>
              <w:tc>
                <w:tcPr>
                  <w:tcW w:w="622" w:type="pct"/>
                  <w:vAlign w:val="center"/>
                </w:tcPr>
                <w:p w14:paraId="3BF8592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7F6EDE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00B616D5">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氮气</w:t>
                  </w:r>
                </w:p>
              </w:tc>
              <w:tc>
                <w:tcPr>
                  <w:tcW w:w="1523" w:type="pct"/>
                  <w:vAlign w:val="center"/>
                </w:tcPr>
                <w:p w14:paraId="38590697">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w:t>
                  </w:r>
                </w:p>
              </w:tc>
              <w:tc>
                <w:tcPr>
                  <w:tcW w:w="673" w:type="pct"/>
                  <w:vAlign w:val="center"/>
                </w:tcPr>
                <w:p w14:paraId="3FFB901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p>
              </w:tc>
              <w:tc>
                <w:tcPr>
                  <w:tcW w:w="512" w:type="pct"/>
                  <w:vAlign w:val="center"/>
                </w:tcPr>
                <w:p w14:paraId="118A133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p>
              </w:tc>
              <w:tc>
                <w:tcPr>
                  <w:tcW w:w="632" w:type="pct"/>
                  <w:vAlign w:val="center"/>
                </w:tcPr>
                <w:p w14:paraId="3C5F6A57">
                  <w:pPr>
                    <w:adjustRightInd w:val="0"/>
                    <w:snapToGrid w:val="0"/>
                    <w:ind w:firstLine="12" w:firstLineChars="6"/>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+0</w:t>
                  </w:r>
                </w:p>
              </w:tc>
              <w:tc>
                <w:tcPr>
                  <w:tcW w:w="475" w:type="pct"/>
                  <w:vAlign w:val="center"/>
                </w:tcPr>
                <w:p w14:paraId="2F13673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4瓶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2kg/瓶</w:t>
                  </w:r>
                </w:p>
              </w:tc>
              <w:tc>
                <w:tcPr>
                  <w:tcW w:w="622" w:type="pct"/>
                  <w:vAlign w:val="center"/>
                </w:tcPr>
                <w:p w14:paraId="16030A3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6B48A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01FFEC3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混合气体</w:t>
                  </w:r>
                </w:p>
              </w:tc>
              <w:tc>
                <w:tcPr>
                  <w:tcW w:w="1523" w:type="pct"/>
                  <w:vAlign w:val="center"/>
                </w:tcPr>
                <w:p w14:paraId="4C95C8E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二氧化碳和氩气</w:t>
                  </w:r>
                </w:p>
              </w:tc>
              <w:tc>
                <w:tcPr>
                  <w:tcW w:w="673" w:type="pct"/>
                  <w:vAlign w:val="center"/>
                </w:tcPr>
                <w:p w14:paraId="2B8C213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rPr>
                    <w:t>瓶</w:t>
                  </w:r>
                </w:p>
              </w:tc>
              <w:tc>
                <w:tcPr>
                  <w:tcW w:w="512" w:type="pct"/>
                  <w:vAlign w:val="center"/>
                </w:tcPr>
                <w:p w14:paraId="5C28169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rPr>
                    <w:t>瓶</w:t>
                  </w:r>
                </w:p>
              </w:tc>
              <w:tc>
                <w:tcPr>
                  <w:tcW w:w="632" w:type="pct"/>
                  <w:vAlign w:val="center"/>
                </w:tcPr>
                <w:p w14:paraId="60F4955E">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3795D93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10kg/瓶</w:t>
                  </w:r>
                </w:p>
              </w:tc>
              <w:tc>
                <w:tcPr>
                  <w:tcW w:w="622" w:type="pct"/>
                  <w:vAlign w:val="center"/>
                </w:tcPr>
                <w:p w14:paraId="14B9F21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21C307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0E3F723">
                  <w:pPr>
                    <w:spacing w:line="32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液压油</w:t>
                  </w:r>
                </w:p>
              </w:tc>
              <w:tc>
                <w:tcPr>
                  <w:tcW w:w="1523" w:type="pct"/>
                  <w:vAlign w:val="center"/>
                </w:tcPr>
                <w:p w14:paraId="71ADF82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shd w:val="clear" w:color="auto" w:fill="FFFFFF"/>
                    </w:rPr>
                    <w:t>矿物油</w:t>
                  </w:r>
                </w:p>
              </w:tc>
              <w:tc>
                <w:tcPr>
                  <w:tcW w:w="673" w:type="pct"/>
                  <w:vAlign w:val="center"/>
                </w:tcPr>
                <w:p w14:paraId="1B9DB4A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bCs/>
                      <w:color w:val="auto"/>
                      <w:kern w:val="2"/>
                      <w:sz w:val="21"/>
                      <w:szCs w:val="21"/>
                      <w:highlight w:val="none"/>
                      <w:lang w:val="en-US" w:eastAsia="zh-CN" w:bidi="ar-SA"/>
                    </w:rPr>
                    <w:t>t</w:t>
                  </w:r>
                </w:p>
              </w:tc>
              <w:tc>
                <w:tcPr>
                  <w:tcW w:w="512" w:type="pct"/>
                  <w:vAlign w:val="center"/>
                </w:tcPr>
                <w:p w14:paraId="2528347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bCs/>
                      <w:color w:val="auto"/>
                      <w:kern w:val="2"/>
                      <w:sz w:val="21"/>
                      <w:szCs w:val="21"/>
                      <w:highlight w:val="none"/>
                      <w:lang w:val="en-US" w:eastAsia="zh-CN" w:bidi="ar-SA"/>
                    </w:rPr>
                    <w:t>t</w:t>
                  </w:r>
                </w:p>
              </w:tc>
              <w:tc>
                <w:tcPr>
                  <w:tcW w:w="632" w:type="pct"/>
                  <w:vAlign w:val="center"/>
                </w:tcPr>
                <w:p w14:paraId="20C8FB79">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1DD7AAA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100kg/桶</w:t>
                  </w:r>
                </w:p>
              </w:tc>
              <w:tc>
                <w:tcPr>
                  <w:tcW w:w="622" w:type="pct"/>
                  <w:vAlign w:val="center"/>
                </w:tcPr>
                <w:p w14:paraId="4ED3593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6EEF4F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9287351">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拉伸油</w:t>
                  </w:r>
                </w:p>
              </w:tc>
              <w:tc>
                <w:tcPr>
                  <w:tcW w:w="1523" w:type="pct"/>
                  <w:vAlign w:val="center"/>
                </w:tcPr>
                <w:p w14:paraId="67CB5063">
                  <w:pPr>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矿物油</w:t>
                  </w:r>
                </w:p>
              </w:tc>
              <w:tc>
                <w:tcPr>
                  <w:tcW w:w="673" w:type="pct"/>
                  <w:vAlign w:val="center"/>
                </w:tcPr>
                <w:p w14:paraId="07B4851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80L</w:t>
                  </w:r>
                </w:p>
              </w:tc>
              <w:tc>
                <w:tcPr>
                  <w:tcW w:w="512" w:type="pct"/>
                  <w:vAlign w:val="center"/>
                </w:tcPr>
                <w:p w14:paraId="10747AA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80L</w:t>
                  </w:r>
                </w:p>
              </w:tc>
              <w:tc>
                <w:tcPr>
                  <w:tcW w:w="632" w:type="pct"/>
                  <w:vAlign w:val="center"/>
                </w:tcPr>
                <w:p w14:paraId="7FCDDB6F">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24E29EC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16L</w:t>
                  </w:r>
                  <w:r>
                    <w:rPr>
                      <w:rFonts w:hint="default" w:ascii="Times New Roman" w:hAnsi="Times New Roman" w:eastAsia="宋体" w:cs="Times New Roman"/>
                      <w:bCs/>
                      <w:color w:val="auto"/>
                      <w:sz w:val="21"/>
                      <w:szCs w:val="21"/>
                      <w:highlight w:val="none"/>
                    </w:rPr>
                    <w:t>/桶</w:t>
                  </w:r>
                </w:p>
              </w:tc>
              <w:tc>
                <w:tcPr>
                  <w:tcW w:w="622" w:type="pct"/>
                  <w:vAlign w:val="center"/>
                </w:tcPr>
                <w:p w14:paraId="60616E5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14DE6C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17B258B9">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机油</w:t>
                  </w:r>
                </w:p>
              </w:tc>
              <w:tc>
                <w:tcPr>
                  <w:tcW w:w="1523" w:type="pct"/>
                  <w:vAlign w:val="center"/>
                </w:tcPr>
                <w:p w14:paraId="4C0CB089">
                  <w:pPr>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矿物油</w:t>
                  </w:r>
                </w:p>
              </w:tc>
              <w:tc>
                <w:tcPr>
                  <w:tcW w:w="673" w:type="pct"/>
                  <w:vAlign w:val="center"/>
                </w:tcPr>
                <w:p w14:paraId="5C485C8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0.2t</w:t>
                  </w:r>
                </w:p>
              </w:tc>
              <w:tc>
                <w:tcPr>
                  <w:tcW w:w="512" w:type="pct"/>
                  <w:vAlign w:val="center"/>
                </w:tcPr>
                <w:p w14:paraId="3100B37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0.2t</w:t>
                  </w:r>
                </w:p>
              </w:tc>
              <w:tc>
                <w:tcPr>
                  <w:tcW w:w="632" w:type="pct"/>
                  <w:vAlign w:val="center"/>
                </w:tcPr>
                <w:p w14:paraId="161583FC">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6D31E3E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100kg/桶</w:t>
                  </w:r>
                </w:p>
              </w:tc>
              <w:tc>
                <w:tcPr>
                  <w:tcW w:w="622" w:type="pct"/>
                  <w:vAlign w:val="center"/>
                </w:tcPr>
                <w:p w14:paraId="2602CD6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4CE161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7D6DDC1F">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焊丝</w:t>
                  </w:r>
                </w:p>
              </w:tc>
              <w:tc>
                <w:tcPr>
                  <w:tcW w:w="1523" w:type="pct"/>
                  <w:vAlign w:val="center"/>
                </w:tcPr>
                <w:p w14:paraId="7FD09B9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bCs/>
                      <w:color w:val="auto"/>
                      <w:kern w:val="2"/>
                      <w:sz w:val="21"/>
                      <w:szCs w:val="21"/>
                      <w:highlight w:val="none"/>
                      <w:lang w:val="en-US" w:eastAsia="zh-CN" w:bidi="ar-SA"/>
                    </w:rPr>
                    <w:t>铜，不含铅、锡</w:t>
                  </w:r>
                </w:p>
              </w:tc>
              <w:tc>
                <w:tcPr>
                  <w:tcW w:w="673" w:type="pct"/>
                  <w:vAlign w:val="center"/>
                </w:tcPr>
                <w:p w14:paraId="72BEE18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bidi="ar-SA"/>
                    </w:rPr>
                    <w:t>5t</w:t>
                  </w:r>
                </w:p>
              </w:tc>
              <w:tc>
                <w:tcPr>
                  <w:tcW w:w="512" w:type="pct"/>
                  <w:vAlign w:val="center"/>
                </w:tcPr>
                <w:p w14:paraId="03C447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5t</w:t>
                  </w:r>
                </w:p>
              </w:tc>
              <w:tc>
                <w:tcPr>
                  <w:tcW w:w="632" w:type="pct"/>
                  <w:vAlign w:val="center"/>
                </w:tcPr>
                <w:p w14:paraId="768E5551">
                  <w:pPr>
                    <w:adjustRightInd w:val="0"/>
                    <w:snapToGrid w:val="0"/>
                    <w:ind w:firstLine="12" w:firstLineChars="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75" w:type="pct"/>
                  <w:vAlign w:val="center"/>
                </w:tcPr>
                <w:p w14:paraId="42DEB4BE">
                  <w:pPr>
                    <w:pStyle w:val="107"/>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0.1t</w:t>
                  </w:r>
                  <w:r>
                    <w:rPr>
                      <w:rFonts w:hint="default" w:ascii="Times New Roman" w:hAnsi="Times New Roman" w:eastAsia="宋体" w:cs="Times New Roman"/>
                      <w:color w:val="auto"/>
                      <w:sz w:val="21"/>
                      <w:szCs w:val="21"/>
                      <w:highlight w:val="none"/>
                      <w:lang w:val="en-US" w:eastAsia="zh-CN"/>
                    </w:rPr>
                    <w:t>，箱装</w:t>
                  </w:r>
                </w:p>
              </w:tc>
              <w:tc>
                <w:tcPr>
                  <w:tcW w:w="622" w:type="pct"/>
                  <w:vAlign w:val="center"/>
                </w:tcPr>
                <w:p w14:paraId="7BF351B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4648BA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6AEFD6E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丝网印刷油墨</w:t>
                  </w:r>
                </w:p>
              </w:tc>
              <w:tc>
                <w:tcPr>
                  <w:tcW w:w="2440" w:type="dxa"/>
                  <w:vAlign w:val="center"/>
                </w:tcPr>
                <w:p w14:paraId="51A46CF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甲苯2-10%、重芳烃100# 5-25%、萘0-3%、有机合成树脂40-90%、颜料0-50%、其他成分0-20%</w:t>
                  </w:r>
                </w:p>
              </w:tc>
              <w:tc>
                <w:tcPr>
                  <w:tcW w:w="673" w:type="pct"/>
                  <w:vAlign w:val="center"/>
                </w:tcPr>
                <w:p w14:paraId="207A96C6">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24230F71">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0.03t</w:t>
                  </w:r>
                </w:p>
              </w:tc>
              <w:tc>
                <w:tcPr>
                  <w:tcW w:w="632" w:type="pct"/>
                  <w:vAlign w:val="center"/>
                </w:tcPr>
                <w:p w14:paraId="3E20A647">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+0.03t</w:t>
                  </w:r>
                </w:p>
              </w:tc>
              <w:tc>
                <w:tcPr>
                  <w:tcW w:w="475" w:type="pct"/>
                  <w:vAlign w:val="center"/>
                </w:tcPr>
                <w:p w14:paraId="474B54F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10瓶，1</w:t>
                  </w:r>
                  <w:r>
                    <w:rPr>
                      <w:rFonts w:hint="default" w:ascii="Times New Roman" w:hAnsi="Times New Roman" w:eastAsia="宋体" w:cs="Times New Roman"/>
                      <w:bCs/>
                      <w:color w:val="auto"/>
                      <w:sz w:val="21"/>
                      <w:szCs w:val="21"/>
                      <w:highlight w:val="none"/>
                    </w:rPr>
                    <w:t>kg/</w:t>
                  </w:r>
                  <w:r>
                    <w:rPr>
                      <w:rFonts w:hint="default" w:ascii="Times New Roman" w:hAnsi="Times New Roman" w:eastAsia="宋体" w:cs="Times New Roman"/>
                      <w:bCs/>
                      <w:color w:val="auto"/>
                      <w:sz w:val="21"/>
                      <w:szCs w:val="21"/>
                      <w:highlight w:val="none"/>
                      <w:lang w:val="en-US" w:eastAsia="zh-CN"/>
                    </w:rPr>
                    <w:t>瓶</w:t>
                  </w:r>
                </w:p>
              </w:tc>
              <w:tc>
                <w:tcPr>
                  <w:tcW w:w="622" w:type="pct"/>
                  <w:vAlign w:val="center"/>
                </w:tcPr>
                <w:p w14:paraId="47C4508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1CEA7C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708A6A9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UV油墨</w:t>
                  </w:r>
                </w:p>
              </w:tc>
              <w:tc>
                <w:tcPr>
                  <w:tcW w:w="2440" w:type="dxa"/>
                  <w:vAlign w:val="center"/>
                </w:tcPr>
                <w:p w14:paraId="4DCF116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颜料3-15%、六亚甲基二丙烯酸酯20-30%、二丙二醇二丙烯酸酯15-30%、丙烯酸酯单体10-30%、丙烯酸酯低聚物1-15%、光引发剂5-15%、助剂1-5%</w:t>
                  </w:r>
                </w:p>
              </w:tc>
              <w:tc>
                <w:tcPr>
                  <w:tcW w:w="673" w:type="pct"/>
                  <w:vAlign w:val="center"/>
                </w:tcPr>
                <w:p w14:paraId="3AEAC3E8">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4E2606F7">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0.1t</w:t>
                  </w:r>
                </w:p>
              </w:tc>
              <w:tc>
                <w:tcPr>
                  <w:tcW w:w="632" w:type="pct"/>
                  <w:vAlign w:val="center"/>
                </w:tcPr>
                <w:p w14:paraId="624AD3D3">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+0.1t</w:t>
                  </w:r>
                </w:p>
              </w:tc>
              <w:tc>
                <w:tcPr>
                  <w:tcW w:w="475" w:type="pct"/>
                  <w:vAlign w:val="center"/>
                </w:tcPr>
                <w:p w14:paraId="30F6A46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10瓶，1</w:t>
                  </w:r>
                  <w:r>
                    <w:rPr>
                      <w:rFonts w:hint="default" w:ascii="Times New Roman" w:hAnsi="Times New Roman" w:eastAsia="宋体" w:cs="Times New Roman"/>
                      <w:bCs/>
                      <w:color w:val="auto"/>
                      <w:sz w:val="21"/>
                      <w:szCs w:val="21"/>
                      <w:highlight w:val="none"/>
                    </w:rPr>
                    <w:t>kg/</w:t>
                  </w:r>
                  <w:r>
                    <w:rPr>
                      <w:rFonts w:hint="default" w:ascii="Times New Roman" w:hAnsi="Times New Roman" w:eastAsia="宋体" w:cs="Times New Roman"/>
                      <w:bCs/>
                      <w:color w:val="auto"/>
                      <w:sz w:val="21"/>
                      <w:szCs w:val="21"/>
                      <w:highlight w:val="none"/>
                      <w:lang w:val="en-US" w:eastAsia="zh-CN"/>
                    </w:rPr>
                    <w:t>瓶</w:t>
                  </w:r>
                </w:p>
              </w:tc>
              <w:tc>
                <w:tcPr>
                  <w:tcW w:w="622" w:type="pct"/>
                  <w:vAlign w:val="center"/>
                </w:tcPr>
                <w:p w14:paraId="657E353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3EE04F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4094AF7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写真机油墨</w:t>
                  </w:r>
                </w:p>
              </w:tc>
              <w:tc>
                <w:tcPr>
                  <w:tcW w:w="2440" w:type="dxa"/>
                  <w:vAlign w:val="center"/>
                </w:tcPr>
                <w:p w14:paraId="605B3872">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乙二醇丁醚醋酸酯92%、氯醋树脂5%、颜料3%</w:t>
                  </w:r>
                </w:p>
              </w:tc>
              <w:tc>
                <w:tcPr>
                  <w:tcW w:w="673" w:type="pct"/>
                  <w:vAlign w:val="center"/>
                </w:tcPr>
                <w:p w14:paraId="771E600C">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37DA5DB1">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0.3t</w:t>
                  </w:r>
                </w:p>
              </w:tc>
              <w:tc>
                <w:tcPr>
                  <w:tcW w:w="632" w:type="pct"/>
                  <w:vAlign w:val="center"/>
                </w:tcPr>
                <w:p w14:paraId="1EBD5899">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+0.3t</w:t>
                  </w:r>
                </w:p>
              </w:tc>
              <w:tc>
                <w:tcPr>
                  <w:tcW w:w="475" w:type="pct"/>
                  <w:vAlign w:val="center"/>
                </w:tcPr>
                <w:p w14:paraId="6511048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10瓶，1</w:t>
                  </w:r>
                  <w:r>
                    <w:rPr>
                      <w:rFonts w:hint="default" w:ascii="Times New Roman" w:hAnsi="Times New Roman" w:eastAsia="宋体" w:cs="Times New Roman"/>
                      <w:bCs/>
                      <w:color w:val="auto"/>
                      <w:sz w:val="21"/>
                      <w:szCs w:val="21"/>
                      <w:highlight w:val="none"/>
                    </w:rPr>
                    <w:t>kg/</w:t>
                  </w:r>
                  <w:r>
                    <w:rPr>
                      <w:rFonts w:hint="default" w:ascii="Times New Roman" w:hAnsi="Times New Roman" w:eastAsia="宋体" w:cs="Times New Roman"/>
                      <w:bCs/>
                      <w:color w:val="auto"/>
                      <w:sz w:val="21"/>
                      <w:szCs w:val="21"/>
                      <w:highlight w:val="none"/>
                      <w:lang w:val="en-US" w:eastAsia="zh-CN"/>
                    </w:rPr>
                    <w:t>瓶</w:t>
                  </w:r>
                </w:p>
              </w:tc>
              <w:tc>
                <w:tcPr>
                  <w:tcW w:w="622" w:type="pct"/>
                  <w:vAlign w:val="center"/>
                </w:tcPr>
                <w:p w14:paraId="4859837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7D4B26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3F6E1B7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乙醇</w:t>
                  </w:r>
                </w:p>
              </w:tc>
              <w:tc>
                <w:tcPr>
                  <w:tcW w:w="1523" w:type="pct"/>
                  <w:vAlign w:val="center"/>
                </w:tcPr>
                <w:p w14:paraId="5E81300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99%</w:t>
                  </w:r>
                </w:p>
              </w:tc>
              <w:tc>
                <w:tcPr>
                  <w:tcW w:w="673" w:type="pct"/>
                  <w:vAlign w:val="center"/>
                </w:tcPr>
                <w:p w14:paraId="7E7B3343">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6F2C00A5">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0.05t</w:t>
                  </w:r>
                </w:p>
              </w:tc>
              <w:tc>
                <w:tcPr>
                  <w:tcW w:w="632" w:type="pct"/>
                  <w:vAlign w:val="center"/>
                </w:tcPr>
                <w:p w14:paraId="60BD7ECC">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+0.05t</w:t>
                  </w:r>
                </w:p>
              </w:tc>
              <w:tc>
                <w:tcPr>
                  <w:tcW w:w="475" w:type="pct"/>
                  <w:vAlign w:val="center"/>
                </w:tcPr>
                <w:p w14:paraId="514E7C6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10瓶，1</w:t>
                  </w:r>
                  <w:r>
                    <w:rPr>
                      <w:rFonts w:hint="default" w:ascii="Times New Roman" w:hAnsi="Times New Roman" w:eastAsia="宋体" w:cs="Times New Roman"/>
                      <w:bCs/>
                      <w:color w:val="auto"/>
                      <w:sz w:val="21"/>
                      <w:szCs w:val="21"/>
                      <w:highlight w:val="none"/>
                    </w:rPr>
                    <w:t>kg/</w:t>
                  </w:r>
                  <w:r>
                    <w:rPr>
                      <w:rFonts w:hint="default" w:ascii="Times New Roman" w:hAnsi="Times New Roman" w:eastAsia="宋体" w:cs="Times New Roman"/>
                      <w:bCs/>
                      <w:color w:val="auto"/>
                      <w:sz w:val="21"/>
                      <w:szCs w:val="21"/>
                      <w:highlight w:val="none"/>
                      <w:lang w:val="en-US" w:eastAsia="zh-CN"/>
                    </w:rPr>
                    <w:t>瓶</w:t>
                  </w:r>
                </w:p>
              </w:tc>
              <w:tc>
                <w:tcPr>
                  <w:tcW w:w="622" w:type="pct"/>
                  <w:vAlign w:val="center"/>
                </w:tcPr>
                <w:p w14:paraId="167D189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062141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6C00DBE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网板</w:t>
                  </w:r>
                </w:p>
              </w:tc>
              <w:tc>
                <w:tcPr>
                  <w:tcW w:w="1523" w:type="pct"/>
                  <w:vAlign w:val="center"/>
                </w:tcPr>
                <w:p w14:paraId="6E827C3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w:t>
                  </w:r>
                </w:p>
              </w:tc>
              <w:tc>
                <w:tcPr>
                  <w:tcW w:w="673" w:type="pct"/>
                  <w:vAlign w:val="center"/>
                </w:tcPr>
                <w:p w14:paraId="0E79C847">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3599B467">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10个</w:t>
                  </w:r>
                </w:p>
              </w:tc>
              <w:tc>
                <w:tcPr>
                  <w:tcW w:w="632" w:type="pct"/>
                  <w:vAlign w:val="center"/>
                </w:tcPr>
                <w:p w14:paraId="1AA56C80">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+10个</w:t>
                  </w:r>
                </w:p>
              </w:tc>
              <w:tc>
                <w:tcPr>
                  <w:tcW w:w="475" w:type="pct"/>
                  <w:vAlign w:val="center"/>
                </w:tcPr>
                <w:p w14:paraId="01DC897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10个</w:t>
                  </w:r>
                  <w:r>
                    <w:rPr>
                      <w:rFonts w:hint="default" w:ascii="Times New Roman" w:hAnsi="Times New Roman" w:eastAsia="宋体" w:cs="Times New Roman"/>
                      <w:color w:val="auto"/>
                      <w:sz w:val="21"/>
                      <w:szCs w:val="21"/>
                      <w:highlight w:val="none"/>
                      <w:lang w:val="en-US" w:eastAsia="zh-CN"/>
                    </w:rPr>
                    <w:t>，箱装</w:t>
                  </w:r>
                </w:p>
              </w:tc>
              <w:tc>
                <w:tcPr>
                  <w:tcW w:w="622" w:type="pct"/>
                  <w:vAlign w:val="center"/>
                </w:tcPr>
                <w:p w14:paraId="0388E13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r w14:paraId="01F9B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60" w:type="pct"/>
                  <w:vAlign w:val="center"/>
                </w:tcPr>
                <w:p w14:paraId="599346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无尘布</w:t>
                  </w:r>
                </w:p>
              </w:tc>
              <w:tc>
                <w:tcPr>
                  <w:tcW w:w="1523" w:type="pct"/>
                  <w:vAlign w:val="center"/>
                </w:tcPr>
                <w:p w14:paraId="6468E74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w:t>
                  </w:r>
                </w:p>
              </w:tc>
              <w:tc>
                <w:tcPr>
                  <w:tcW w:w="673" w:type="pct"/>
                  <w:vAlign w:val="center"/>
                </w:tcPr>
                <w:p w14:paraId="00DAC99D">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w:t>
                  </w:r>
                </w:p>
              </w:tc>
              <w:tc>
                <w:tcPr>
                  <w:tcW w:w="512" w:type="pct"/>
                  <w:vAlign w:val="center"/>
                </w:tcPr>
                <w:p w14:paraId="3A56F23C">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0.005t</w:t>
                  </w:r>
                </w:p>
              </w:tc>
              <w:tc>
                <w:tcPr>
                  <w:tcW w:w="632" w:type="pct"/>
                  <w:vAlign w:val="center"/>
                </w:tcPr>
                <w:p w14:paraId="729D6DEB">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+0.005t</w:t>
                  </w:r>
                </w:p>
              </w:tc>
              <w:tc>
                <w:tcPr>
                  <w:tcW w:w="475" w:type="pct"/>
                  <w:vAlign w:val="center"/>
                </w:tcPr>
                <w:p w14:paraId="19FF610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0.001t，袋装</w:t>
                  </w:r>
                </w:p>
              </w:tc>
              <w:tc>
                <w:tcPr>
                  <w:tcW w:w="622" w:type="pct"/>
                  <w:vAlign w:val="center"/>
                </w:tcPr>
                <w:p w14:paraId="76915FC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国内汽运</w:t>
                  </w:r>
                </w:p>
              </w:tc>
            </w:tr>
          </w:tbl>
          <w:p w14:paraId="1CCCC760">
            <w:pPr>
              <w:keepNext w:val="0"/>
              <w:keepLines w:val="0"/>
              <w:pageBreakBefore w:val="0"/>
              <w:kinsoku/>
              <w:wordWrap/>
              <w:overflowPunct/>
              <w:topLinePunct w:val="0"/>
              <w:bidi w:val="0"/>
              <w:adjustRightInd w:val="0"/>
              <w:snapToGrid w:val="0"/>
              <w:spacing w:line="500" w:lineRule="exact"/>
              <w:ind w:right="0" w:firstLine="480" w:firstLineChars="20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4"/>
                <w:lang w:val="en-US" w:eastAsia="zh-CN"/>
              </w:rPr>
              <w:t>项目</w:t>
            </w:r>
            <w:r>
              <w:rPr>
                <w:rFonts w:hint="default" w:ascii="Times New Roman" w:hAnsi="Times New Roman" w:eastAsia="宋体" w:cs="Times New Roman"/>
                <w:color w:val="auto"/>
                <w:sz w:val="24"/>
              </w:rPr>
              <w:t>主要原辅材料理化性质见下表</w:t>
            </w:r>
            <w:r>
              <w:rPr>
                <w:rFonts w:hint="default" w:ascii="Times New Roman" w:hAnsi="Times New Roman" w:eastAsia="宋体" w:cs="Times New Roman"/>
                <w:color w:val="auto"/>
                <w:sz w:val="24"/>
                <w:lang w:eastAsia="zh-CN"/>
              </w:rPr>
              <w:t>。</w:t>
            </w:r>
          </w:p>
          <w:p w14:paraId="4B1D6B6B">
            <w:pPr>
              <w:keepNext w:val="0"/>
              <w:keepLines w:val="0"/>
              <w:pageBreakBefore w:val="0"/>
              <w:kinsoku/>
              <w:wordWrap/>
              <w:overflowPunct/>
              <w:topLinePunct w:val="0"/>
              <w:bidi w:val="0"/>
              <w:adjustRightInd w:val="0"/>
              <w:snapToGrid w:val="0"/>
              <w:spacing w:line="500" w:lineRule="exact"/>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val="en-US" w:eastAsia="zh-CN"/>
              </w:rPr>
              <w:t>项目主要</w:t>
            </w:r>
            <w:r>
              <w:rPr>
                <w:rFonts w:hint="default" w:ascii="Times New Roman" w:hAnsi="Times New Roman" w:eastAsia="宋体" w:cs="Times New Roman"/>
                <w:b/>
                <w:bCs/>
                <w:color w:val="auto"/>
                <w:sz w:val="21"/>
                <w:szCs w:val="21"/>
                <w:highlight w:val="none"/>
              </w:rPr>
              <w:t>原辅材料理化性质</w:t>
            </w:r>
          </w:p>
          <w:tbl>
            <w:tblPr>
              <w:tblStyle w:val="27"/>
              <w:tblW w:w="4998" w:type="pct"/>
              <w:jc w:val="center"/>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fixed"/>
              <w:tblCellMar>
                <w:top w:w="0" w:type="dxa"/>
                <w:left w:w="51" w:type="dxa"/>
                <w:bottom w:w="0" w:type="dxa"/>
                <w:right w:w="51" w:type="dxa"/>
              </w:tblCellMar>
            </w:tblPr>
            <w:tblGrid>
              <w:gridCol w:w="879"/>
              <w:gridCol w:w="4243"/>
              <w:gridCol w:w="1836"/>
              <w:gridCol w:w="1048"/>
            </w:tblGrid>
            <w:tr w14:paraId="594AB90C">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5B23C87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2649" w:type="pct"/>
                  <w:tcBorders>
                    <w:right w:val="single" w:color="000000" w:sz="2" w:space="0"/>
                  </w:tcBorders>
                  <w:vAlign w:val="center"/>
                </w:tcPr>
                <w:p w14:paraId="09A9CAB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理化性质</w:t>
                  </w:r>
                </w:p>
              </w:tc>
              <w:tc>
                <w:tcPr>
                  <w:tcW w:w="1146" w:type="pct"/>
                  <w:tcBorders>
                    <w:left w:val="single" w:color="000000" w:sz="2" w:space="0"/>
                    <w:right w:val="single" w:color="000000" w:sz="2" w:space="0"/>
                  </w:tcBorders>
                  <w:vAlign w:val="center"/>
                </w:tcPr>
                <w:p w14:paraId="79C2236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毒性毒理</w:t>
                  </w:r>
                </w:p>
              </w:tc>
              <w:tc>
                <w:tcPr>
                  <w:tcW w:w="654" w:type="pct"/>
                  <w:tcBorders>
                    <w:left w:val="single" w:color="000000" w:sz="2" w:space="0"/>
                  </w:tcBorders>
                  <w:vAlign w:val="center"/>
                </w:tcPr>
                <w:p w14:paraId="75643E4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燃爆性</w:t>
                  </w:r>
                </w:p>
              </w:tc>
            </w:tr>
            <w:tr w14:paraId="06C74E42">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0E16167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丝网印刷油墨</w:t>
                  </w:r>
                </w:p>
              </w:tc>
              <w:tc>
                <w:tcPr>
                  <w:tcW w:w="2649" w:type="pct"/>
                  <w:tcBorders>
                    <w:right w:val="single" w:color="000000" w:sz="2" w:space="0"/>
                  </w:tcBorders>
                  <w:vAlign w:val="center"/>
                </w:tcPr>
                <w:p w14:paraId="1882CE7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有色粘稠液体，沸点155-185</w:t>
                  </w:r>
                  <w:r>
                    <w:rPr>
                      <w:rFonts w:hint="default" w:ascii="Times New Roman" w:hAnsi="Times New Roman" w:eastAsia="宋体" w:cs="Times New Roman"/>
                      <w:color w:val="auto"/>
                      <w:sz w:val="21"/>
                      <w:szCs w:val="21"/>
                    </w:rPr>
                    <w:t>℃，闪点：&gt;</w:t>
                  </w:r>
                  <w:r>
                    <w:rPr>
                      <w:rFonts w:hint="default" w:ascii="Times New Roman" w:hAnsi="Times New Roman" w:eastAsia="宋体" w:cs="Times New Roman"/>
                      <w:color w:val="auto"/>
                      <w:sz w:val="21"/>
                      <w:szCs w:val="21"/>
                      <w:lang w:val="en-US" w:eastAsia="zh-CN"/>
                    </w:rPr>
                    <w:t>35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相对密度0.8-1.4，</w:t>
                  </w:r>
                  <w:r>
                    <w:rPr>
                      <w:rFonts w:hint="default" w:ascii="Times New Roman" w:hAnsi="Times New Roman" w:eastAsia="宋体" w:cs="Times New Roman"/>
                      <w:color w:val="auto"/>
                      <w:sz w:val="21"/>
                      <w:szCs w:val="21"/>
                    </w:rPr>
                    <w:t>可混溶于醚、</w:t>
                  </w:r>
                  <w:r>
                    <w:rPr>
                      <w:rFonts w:hint="default" w:ascii="Times New Roman" w:hAnsi="Times New Roman" w:eastAsia="宋体" w:cs="Times New Roman"/>
                      <w:color w:val="auto"/>
                      <w:sz w:val="21"/>
                      <w:szCs w:val="21"/>
                      <w:lang w:val="en-US" w:eastAsia="zh-CN"/>
                    </w:rPr>
                    <w:t>乙醇</w:t>
                  </w:r>
                  <w:r>
                    <w:rPr>
                      <w:rFonts w:hint="default" w:ascii="Times New Roman" w:hAnsi="Times New Roman" w:eastAsia="宋体" w:cs="Times New Roman"/>
                      <w:color w:val="auto"/>
                      <w:sz w:val="21"/>
                      <w:szCs w:val="21"/>
                    </w:rPr>
                    <w:t>、甘油等多数有机溶剂</w:t>
                  </w:r>
                </w:p>
              </w:tc>
              <w:tc>
                <w:tcPr>
                  <w:tcW w:w="1146" w:type="pct"/>
                  <w:tcBorders>
                    <w:left w:val="single" w:color="000000" w:sz="2" w:space="0"/>
                    <w:right w:val="single" w:color="000000" w:sz="2" w:space="0"/>
                  </w:tcBorders>
                  <w:vAlign w:val="center"/>
                </w:tcPr>
                <w:p w14:paraId="7D3AED8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z w:val="21"/>
                      <w:szCs w:val="21"/>
                      <w:vertAlign w:val="subscript"/>
                    </w:rPr>
                    <w:t>50</w:t>
                  </w:r>
                  <w:r>
                    <w:rPr>
                      <w:rFonts w:hint="default" w:ascii="Times New Roman" w:hAnsi="Times New Roman" w:eastAsia="宋体" w:cs="Times New Roman"/>
                      <w:color w:val="auto"/>
                      <w:sz w:val="21"/>
                      <w:szCs w:val="21"/>
                    </w:rPr>
                    <w:t>：&gt;</w:t>
                  </w:r>
                  <w:r>
                    <w:rPr>
                      <w:rFonts w:hint="default" w:ascii="Times New Roman" w:hAnsi="Times New Roman" w:eastAsia="宋体" w:cs="Times New Roman"/>
                      <w:color w:val="auto"/>
                      <w:sz w:val="21"/>
                      <w:szCs w:val="21"/>
                      <w:lang w:val="en-US" w:eastAsia="zh-CN"/>
                    </w:rPr>
                    <w:t>5000</w:t>
                  </w:r>
                  <w:r>
                    <w:rPr>
                      <w:rFonts w:hint="default" w:ascii="Times New Roman" w:hAnsi="Times New Roman" w:eastAsia="宋体" w:cs="Times New Roman"/>
                      <w:color w:val="auto"/>
                      <w:sz w:val="21"/>
                      <w:szCs w:val="21"/>
                    </w:rPr>
                    <w:t>mg/kg(大鼠经口)；</w:t>
                  </w:r>
                </w:p>
              </w:tc>
              <w:tc>
                <w:tcPr>
                  <w:tcW w:w="654" w:type="pct"/>
                  <w:tcBorders>
                    <w:left w:val="single" w:color="000000" w:sz="2" w:space="0"/>
                  </w:tcBorders>
                  <w:vAlign w:val="center"/>
                </w:tcPr>
                <w:p w14:paraId="226DA92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2DC84F1B">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30ED94F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甲苯</w:t>
                  </w:r>
                </w:p>
              </w:tc>
              <w:tc>
                <w:tcPr>
                  <w:tcW w:w="2649" w:type="pct"/>
                  <w:tcBorders>
                    <w:right w:val="single" w:color="000000" w:sz="2" w:space="0"/>
                  </w:tcBorders>
                  <w:vAlign w:val="center"/>
                </w:tcPr>
                <w:p w14:paraId="6EB2CFD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CAS号108-88-3，</w:t>
                  </w:r>
                  <w:r>
                    <w:rPr>
                      <w:rFonts w:hint="default" w:ascii="Times New Roman" w:hAnsi="Times New Roman" w:eastAsia="宋体" w:cs="Times New Roman"/>
                      <w:color w:val="auto"/>
                      <w:sz w:val="21"/>
                      <w:szCs w:val="21"/>
                    </w:rPr>
                    <w:t>无色、带特殊芳香味的易挥发液体，属芳香族</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"https://baike.baidu.com/item/%E7%A2%B3%E6%B0%A2%E5%8C%96%E5%90%88%E7%89%A9/256902?fromModule=lemma_inlink"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碳氢化合物</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。闪点：</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沸点110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密度</w:t>
                  </w: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872</w:t>
                  </w:r>
                  <w:r>
                    <w:rPr>
                      <w:rFonts w:hint="default" w:ascii="Times New Roman" w:hAnsi="Times New Roman" w:eastAsia="宋体" w:cs="Times New Roman"/>
                      <w:color w:val="auto"/>
                      <w:sz w:val="21"/>
                      <w:szCs w:val="21"/>
                    </w:rPr>
                    <w:t>g/cm³</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有强折光性</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能与乙醇、</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"https://baike.baidu.com/item/%E4%B9%99%E9%86%9A/316922?fromModule=lemma_inlink"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乙醚</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"https://baike.baidu.com/item/%E4%B8%99%E9%85%AE/955883?fromModule=lemma_inlink"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丙酮</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"https://baike.baidu.com/item/%E6%B0%AF%E4%BB%BF/521847?fromModule=lemma_inlink"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氯仿</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"https://baike.baidu.com/item/%E4%BA%8C%E7%A1%AB%E5%8C%96%E7%A2%B3/6032457?fromModule=lemma_inlink"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二硫化碳</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和</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HYPERLINK "https://baike.baidu.com/item/%E5%86%B0%E4%B9%99%E9%85%B8/650983?fromModule=lemma_inlink" \t "https://baike.baidu.com/item/%E7%94%B2%E8%8B%AF/_blank"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冰乙酸</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混溶，不溶于水</w:t>
                  </w:r>
                </w:p>
              </w:tc>
              <w:tc>
                <w:tcPr>
                  <w:tcW w:w="1146" w:type="pct"/>
                  <w:tcBorders>
                    <w:left w:val="single" w:color="000000" w:sz="2" w:space="0"/>
                    <w:right w:val="single" w:color="000000" w:sz="2" w:space="0"/>
                  </w:tcBorders>
                  <w:vAlign w:val="center"/>
                </w:tcPr>
                <w:p w14:paraId="594EB2E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z w:val="21"/>
                      <w:szCs w:val="21"/>
                      <w:vertAlign w:val="subscript"/>
                    </w:rPr>
                    <w:t>50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636</w:t>
                  </w:r>
                  <w:r>
                    <w:rPr>
                      <w:rFonts w:hint="default" w:ascii="Times New Roman" w:hAnsi="Times New Roman" w:eastAsia="宋体" w:cs="Times New Roman"/>
                      <w:color w:val="auto"/>
                      <w:sz w:val="21"/>
                      <w:szCs w:val="21"/>
                    </w:rPr>
                    <w:t>mg/kg(大鼠经口)；</w:t>
                  </w:r>
                </w:p>
              </w:tc>
              <w:tc>
                <w:tcPr>
                  <w:tcW w:w="654" w:type="pct"/>
                  <w:tcBorders>
                    <w:left w:val="single" w:color="000000" w:sz="2" w:space="0"/>
                  </w:tcBorders>
                  <w:vAlign w:val="center"/>
                </w:tcPr>
                <w:p w14:paraId="45993E6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rPr>
                    <w:t>易燃易爆</w:t>
                  </w:r>
                </w:p>
              </w:tc>
            </w:tr>
            <w:tr w14:paraId="17B51330">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0A2BD0E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kern w:val="2"/>
                      <w:sz w:val="21"/>
                      <w:szCs w:val="21"/>
                      <w:highlight w:val="none"/>
                      <w:lang w:val="en-US" w:eastAsia="zh-CN" w:bidi="ar-SA"/>
                    </w:rPr>
                    <w:t xml:space="preserve">重芳烃100# </w:t>
                  </w:r>
                </w:p>
              </w:tc>
              <w:tc>
                <w:tcPr>
                  <w:tcW w:w="2649" w:type="pct"/>
                  <w:tcBorders>
                    <w:right w:val="single" w:color="000000" w:sz="2" w:space="0"/>
                  </w:tcBorders>
                  <w:vAlign w:val="center"/>
                </w:tcPr>
                <w:p w14:paraId="2EEAA393">
                  <w:pPr>
                    <w:widowControl/>
                    <w:jc w:val="left"/>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olor w:val="auto"/>
                      <w:spacing w:val="0"/>
                      <w:sz w:val="21"/>
                      <w:szCs w:val="21"/>
                      <w:shd w:val="clear" w:fill="FFFFFF"/>
                      <w:lang w:val="en-US" w:eastAsia="zh-CN"/>
                    </w:rPr>
                    <w:t>CAS号64742-95-6，</w:t>
                  </w:r>
                  <w:r>
                    <w:rPr>
                      <w:rFonts w:hint="default" w:ascii="Times New Roman" w:hAnsi="Times New Roman" w:eastAsia="宋体" w:cs="Times New Roman"/>
                      <w:i w:val="0"/>
                      <w:iCs w:val="0"/>
                      <w:caps w:val="0"/>
                      <w:color w:val="auto"/>
                      <w:spacing w:val="0"/>
                      <w:sz w:val="21"/>
                      <w:szCs w:val="21"/>
                      <w:shd w:val="clear" w:fill="FFFFFF"/>
                    </w:rPr>
                    <w:t>无色透明液体</w:t>
                  </w:r>
                  <w:r>
                    <w:rPr>
                      <w:rFonts w:hint="default" w:ascii="Times New Roman" w:hAnsi="Times New Roman" w:eastAsia="宋体" w:cs="Times New Roman"/>
                      <w:i w:val="0"/>
                      <w:iCs w:val="0"/>
                      <w:caps w:val="0"/>
                      <w:color w:val="auto"/>
                      <w:spacing w:val="0"/>
                      <w:sz w:val="21"/>
                      <w:szCs w:val="21"/>
                      <w:shd w:val="clear" w:fill="FFFFFF"/>
                      <w:lang w:val="en-US" w:eastAsia="zh-CN"/>
                    </w:rPr>
                    <w:t>,沸点</w:t>
                  </w:r>
                  <w:r>
                    <w:rPr>
                      <w:rFonts w:hint="default" w:ascii="Times New Roman" w:hAnsi="Times New Roman" w:eastAsia="宋体" w:cs="Times New Roman"/>
                      <w:i w:val="0"/>
                      <w:iCs w:val="0"/>
                      <w:caps w:val="0"/>
                      <w:color w:val="auto"/>
                      <w:spacing w:val="0"/>
                      <w:sz w:val="21"/>
                      <w:szCs w:val="21"/>
                      <w:shd w:val="clear" w:fill="FFFFFF"/>
                    </w:rPr>
                    <w:t>110℃-190℃</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i w:val="0"/>
                      <w:iCs w:val="0"/>
                      <w:caps w:val="0"/>
                      <w:color w:val="auto"/>
                      <w:spacing w:val="0"/>
                      <w:sz w:val="21"/>
                      <w:szCs w:val="21"/>
                      <w:shd w:val="clear" w:fill="FFFFFF"/>
                    </w:rPr>
                    <w:t>能溶解多种有机物质，可用于油漆、涂料、油墨等行业，作为溶剂来稀释树脂、颜料等</w:t>
                  </w:r>
                </w:p>
              </w:tc>
              <w:tc>
                <w:tcPr>
                  <w:tcW w:w="1146" w:type="pct"/>
                  <w:tcBorders>
                    <w:left w:val="single" w:color="000000" w:sz="2" w:space="0"/>
                    <w:right w:val="single" w:color="000000" w:sz="2" w:space="0"/>
                  </w:tcBorders>
                  <w:vAlign w:val="center"/>
                </w:tcPr>
                <w:p w14:paraId="5829283A">
                  <w:pPr>
                    <w:widowControl/>
                    <w:contextualSpacing/>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1A43299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5A3B7330">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799FCFE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萘</w:t>
                  </w:r>
                </w:p>
              </w:tc>
              <w:tc>
                <w:tcPr>
                  <w:tcW w:w="2649" w:type="pct"/>
                  <w:tcBorders>
                    <w:right w:val="single" w:color="000000" w:sz="2" w:space="0"/>
                  </w:tcBorders>
                  <w:vAlign w:val="center"/>
                </w:tcPr>
                <w:p w14:paraId="58080D60">
                  <w:pPr>
                    <w:widowControl/>
                    <w:jc w:val="left"/>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olor w:val="auto"/>
                      <w:spacing w:val="0"/>
                      <w:sz w:val="21"/>
                      <w:szCs w:val="21"/>
                      <w:shd w:val="clear" w:fill="FFFFFF"/>
                      <w:lang w:val="en-US" w:eastAsia="zh-CN"/>
                    </w:rPr>
                    <w:t>CAS号91-20-3，</w:t>
                  </w:r>
                  <w:r>
                    <w:rPr>
                      <w:rFonts w:hint="default" w:ascii="Times New Roman" w:hAnsi="Times New Roman" w:eastAsia="宋体" w:cs="Times New Roman"/>
                      <w:i w:val="0"/>
                      <w:iCs w:val="0"/>
                      <w:caps w:val="0"/>
                      <w:color w:val="auto"/>
                      <w:spacing w:val="0"/>
                      <w:sz w:val="21"/>
                      <w:szCs w:val="21"/>
                      <w:shd w:val="clear" w:fill="FFFFFF"/>
                    </w:rPr>
                    <w:t>无色有光泽的单斜晶体，有强烈的焦油味，</w:t>
                  </w:r>
                  <w:r>
                    <w:rPr>
                      <w:rFonts w:hint="default" w:ascii="Times New Roman" w:hAnsi="Times New Roman" w:eastAsia="宋体" w:cs="Times New Roman"/>
                      <w:i w:val="0"/>
                      <w:iCs w:val="0"/>
                      <w:caps w:val="0"/>
                      <w:color w:val="auto"/>
                      <w:spacing w:val="0"/>
                      <w:sz w:val="21"/>
                      <w:szCs w:val="21"/>
                      <w:shd w:val="clear" w:fill="FFFFFF"/>
                      <w:lang w:val="en-US" w:eastAsia="zh-CN"/>
                    </w:rPr>
                    <w:t>熔点80-82</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，沸点218</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，闪点78</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i w:val="0"/>
                      <w:iCs w:val="0"/>
                      <w:caps w:val="0"/>
                      <w:color w:val="auto"/>
                      <w:spacing w:val="0"/>
                      <w:sz w:val="21"/>
                      <w:szCs w:val="21"/>
                      <w:shd w:val="clear" w:fill="FFFFFF"/>
                    </w:rPr>
                    <w:t>不溶于水，可溶于乙醚、乙醇、氯仿、二硫化碳、苯等</w:t>
                  </w:r>
                </w:p>
              </w:tc>
              <w:tc>
                <w:tcPr>
                  <w:tcW w:w="1146" w:type="pct"/>
                  <w:tcBorders>
                    <w:left w:val="single" w:color="000000" w:sz="2" w:space="0"/>
                    <w:right w:val="single" w:color="000000" w:sz="2" w:space="0"/>
                  </w:tcBorders>
                  <w:vAlign w:val="center"/>
                </w:tcPr>
                <w:p w14:paraId="1555478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z w:val="21"/>
                      <w:szCs w:val="21"/>
                      <w:vertAlign w:val="subscript"/>
                    </w:rPr>
                    <w:t>50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490</w:t>
                  </w:r>
                  <w:r>
                    <w:rPr>
                      <w:rFonts w:hint="default" w:ascii="Times New Roman" w:hAnsi="Times New Roman" w:eastAsia="宋体" w:cs="Times New Roman"/>
                      <w:color w:val="auto"/>
                      <w:sz w:val="21"/>
                      <w:szCs w:val="21"/>
                    </w:rPr>
                    <w:t>mg/kg(大鼠经口)；</w:t>
                  </w:r>
                </w:p>
              </w:tc>
              <w:tc>
                <w:tcPr>
                  <w:tcW w:w="654" w:type="pct"/>
                  <w:tcBorders>
                    <w:left w:val="single" w:color="000000" w:sz="2" w:space="0"/>
                  </w:tcBorders>
                  <w:vAlign w:val="center"/>
                </w:tcPr>
                <w:p w14:paraId="57C856C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1BFFD213">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28BF8BE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UV打印机油墨</w:t>
                  </w:r>
                </w:p>
              </w:tc>
              <w:tc>
                <w:tcPr>
                  <w:tcW w:w="2649" w:type="pct"/>
                  <w:tcBorders>
                    <w:right w:val="single" w:color="000000" w:sz="2" w:space="0"/>
                  </w:tcBorders>
                  <w:vAlign w:val="center"/>
                </w:tcPr>
                <w:p w14:paraId="21B5595F">
                  <w:pPr>
                    <w:widowControl/>
                    <w:jc w:val="left"/>
                    <w:rPr>
                      <w:rFonts w:hint="default" w:ascii="Times New Roman" w:hAnsi="Times New Roman" w:eastAsia="宋体" w:cs="Times New Roman"/>
                      <w:i w:val="0"/>
                      <w:iCs w:val="0"/>
                      <w:caps w:val="0"/>
                      <w:color w:val="auto"/>
                      <w:spacing w:val="0"/>
                      <w:sz w:val="21"/>
                      <w:szCs w:val="21"/>
                      <w:shd w:val="clear" w:fill="FFFFFF"/>
                      <w:lang w:val="en-US"/>
                    </w:rPr>
                  </w:pPr>
                  <w:r>
                    <w:rPr>
                      <w:rFonts w:hint="default" w:ascii="Times New Roman" w:hAnsi="Times New Roman" w:eastAsia="宋体" w:cs="Times New Roman"/>
                      <w:i w:val="0"/>
                      <w:iCs w:val="0"/>
                      <w:caps w:val="0"/>
                      <w:color w:val="auto"/>
                      <w:spacing w:val="0"/>
                      <w:sz w:val="21"/>
                      <w:szCs w:val="21"/>
                      <w:shd w:val="clear" w:fill="FFFFFF"/>
                      <w:lang w:val="en-US" w:eastAsia="zh-CN"/>
                    </w:rPr>
                    <w:t>有色粘稠液体，</w:t>
                  </w:r>
                  <w:r>
                    <w:rPr>
                      <w:rFonts w:hint="default" w:ascii="Times New Roman" w:hAnsi="Times New Roman" w:eastAsia="宋体" w:cs="Times New Roman"/>
                      <w:color w:val="auto"/>
                      <w:sz w:val="21"/>
                      <w:szCs w:val="21"/>
                    </w:rPr>
                    <w:t>闪点：&gt;</w:t>
                  </w:r>
                  <w:r>
                    <w:rPr>
                      <w:rFonts w:hint="default" w:ascii="Times New Roman" w:hAnsi="Times New Roman" w:eastAsia="宋体" w:cs="Times New Roman"/>
                      <w:color w:val="auto"/>
                      <w:sz w:val="21"/>
                      <w:szCs w:val="21"/>
                      <w:lang w:val="en-US" w:eastAsia="zh-CN"/>
                    </w:rPr>
                    <w:t>93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相对密度</w:t>
                  </w:r>
                  <w:r>
                    <w:rPr>
                      <w:rFonts w:hint="default" w:ascii="Times New Roman" w:hAnsi="Times New Roman" w:eastAsia="宋体" w:cs="Times New Roman"/>
                      <w:color w:val="auto"/>
                      <w:sz w:val="21"/>
                      <w:szCs w:val="21"/>
                    </w:rPr>
                    <w:t>&gt;</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可混溶于醚、</w:t>
                  </w:r>
                  <w:r>
                    <w:rPr>
                      <w:rFonts w:hint="default" w:ascii="Times New Roman" w:hAnsi="Times New Roman" w:eastAsia="宋体" w:cs="Times New Roman"/>
                      <w:color w:val="auto"/>
                      <w:sz w:val="21"/>
                      <w:szCs w:val="21"/>
                      <w:lang w:val="en-US" w:eastAsia="zh-CN"/>
                    </w:rPr>
                    <w:t>乙醇</w:t>
                  </w:r>
                  <w:r>
                    <w:rPr>
                      <w:rFonts w:hint="default" w:ascii="Times New Roman" w:hAnsi="Times New Roman" w:eastAsia="宋体" w:cs="Times New Roman"/>
                      <w:color w:val="auto"/>
                      <w:sz w:val="21"/>
                      <w:szCs w:val="21"/>
                    </w:rPr>
                    <w:t>、甘油等多数有机溶剂</w:t>
                  </w:r>
                </w:p>
              </w:tc>
              <w:tc>
                <w:tcPr>
                  <w:tcW w:w="1146" w:type="pct"/>
                  <w:tcBorders>
                    <w:left w:val="single" w:color="000000" w:sz="2" w:space="0"/>
                    <w:right w:val="single" w:color="000000" w:sz="2" w:space="0"/>
                  </w:tcBorders>
                  <w:vAlign w:val="center"/>
                </w:tcPr>
                <w:p w14:paraId="0233F530">
                  <w:pPr>
                    <w:widowControl/>
                    <w:contextualSpacing/>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0BE9BD3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44D5131B">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6A9FAA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kern w:val="2"/>
                      <w:sz w:val="21"/>
                      <w:szCs w:val="21"/>
                      <w:highlight w:val="none"/>
                      <w:lang w:val="en-US" w:eastAsia="zh-CN" w:bidi="ar-SA"/>
                    </w:rPr>
                    <w:t>六亚甲基二丙烯酸酯</w:t>
                  </w:r>
                </w:p>
              </w:tc>
              <w:tc>
                <w:tcPr>
                  <w:tcW w:w="2649" w:type="pct"/>
                  <w:tcBorders>
                    <w:right w:val="single" w:color="000000" w:sz="2" w:space="0"/>
                  </w:tcBorders>
                  <w:vAlign w:val="center"/>
                </w:tcPr>
                <w:p w14:paraId="6F8C5068">
                  <w:pPr>
                    <w:widowControl/>
                    <w:jc w:val="left"/>
                    <w:rPr>
                      <w:rFonts w:hint="default" w:ascii="Times New Roman" w:hAnsi="Times New Roman" w:eastAsia="宋体" w:cs="Times New Roman"/>
                      <w:i w:val="0"/>
                      <w:iCs w:val="0"/>
                      <w:caps w:val="0"/>
                      <w:color w:val="auto"/>
                      <w:spacing w:val="0"/>
                      <w:sz w:val="21"/>
                      <w:szCs w:val="21"/>
                      <w:shd w:val="clear" w:fill="FFFFFF"/>
                      <w:lang w:eastAsia="zh-CN"/>
                    </w:rPr>
                  </w:pPr>
                  <w:r>
                    <w:rPr>
                      <w:rFonts w:hint="default" w:ascii="Times New Roman" w:hAnsi="Times New Roman" w:eastAsia="宋体" w:cs="Times New Roman"/>
                      <w:i w:val="0"/>
                      <w:iCs w:val="0"/>
                      <w:color w:val="auto"/>
                      <w:spacing w:val="0"/>
                      <w:sz w:val="21"/>
                      <w:szCs w:val="21"/>
                      <w:shd w:val="clear" w:fill="FFFFFF"/>
                      <w:lang w:val="en-US" w:eastAsia="zh-CN"/>
                    </w:rPr>
                    <w:t>CAS号13048-33-4，</w:t>
                  </w:r>
                  <w:r>
                    <w:rPr>
                      <w:rFonts w:hint="default" w:ascii="Times New Roman" w:hAnsi="Times New Roman" w:eastAsia="宋体" w:cs="Times New Roman"/>
                      <w:i w:val="0"/>
                      <w:iCs w:val="0"/>
                      <w:caps w:val="0"/>
                      <w:color w:val="auto"/>
                      <w:spacing w:val="0"/>
                      <w:sz w:val="21"/>
                      <w:szCs w:val="21"/>
                      <w:shd w:val="clear" w:fill="FFFFFF"/>
                    </w:rPr>
                    <w:t>无色透明液体</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default" w:ascii="Times New Roman" w:hAnsi="Times New Roman" w:eastAsia="宋体" w:cs="Times New Roman"/>
                      <w:color w:val="auto"/>
                      <w:sz w:val="21"/>
                      <w:szCs w:val="21"/>
                      <w:lang w:val="en-US" w:eastAsia="zh-CN"/>
                    </w:rPr>
                    <w:t>沸点165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，微溶于水，</w:t>
                  </w:r>
                  <w:r>
                    <w:rPr>
                      <w:rFonts w:hint="default" w:ascii="Times New Roman" w:hAnsi="Times New Roman" w:eastAsia="宋体" w:cs="Times New Roman"/>
                      <w:i w:val="0"/>
                      <w:iCs w:val="0"/>
                      <w:caps w:val="0"/>
                      <w:color w:val="auto"/>
                      <w:spacing w:val="0"/>
                      <w:sz w:val="21"/>
                      <w:szCs w:val="21"/>
                      <w:shd w:val="clear" w:fill="FFFFFF"/>
                    </w:rPr>
                    <w:t>作为油墨的稀释剂和交联剂，可改善油墨的干燥速度、附着力和光泽度，提高油墨的印刷适应性和质量，常用于 UV 固化油墨中</w:t>
                  </w:r>
                </w:p>
              </w:tc>
              <w:tc>
                <w:tcPr>
                  <w:tcW w:w="1146" w:type="pct"/>
                  <w:tcBorders>
                    <w:left w:val="single" w:color="000000" w:sz="2" w:space="0"/>
                    <w:right w:val="single" w:color="000000" w:sz="2" w:space="0"/>
                  </w:tcBorders>
                  <w:vAlign w:val="center"/>
                </w:tcPr>
                <w:p w14:paraId="390D5E7C">
                  <w:pPr>
                    <w:widowControl/>
                    <w:contextualSpacing/>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645923B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136C20D1">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4EF5E3F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kern w:val="2"/>
                      <w:sz w:val="21"/>
                      <w:szCs w:val="21"/>
                      <w:highlight w:val="none"/>
                      <w:lang w:val="en-US" w:eastAsia="zh-CN" w:bidi="ar-SA"/>
                    </w:rPr>
                    <w:t>二丙二醇二丙烯酸酯</w:t>
                  </w:r>
                </w:p>
              </w:tc>
              <w:tc>
                <w:tcPr>
                  <w:tcW w:w="2649" w:type="pct"/>
                  <w:tcBorders>
                    <w:right w:val="single" w:color="000000" w:sz="2" w:space="0"/>
                  </w:tcBorders>
                  <w:vAlign w:val="center"/>
                </w:tcPr>
                <w:p w14:paraId="09A8DF9F">
                  <w:pPr>
                    <w:widowControl/>
                    <w:jc w:val="left"/>
                    <w:rPr>
                      <w:rFonts w:hint="default" w:ascii="Times New Roman" w:hAnsi="Times New Roman" w:eastAsia="宋体" w:cs="Times New Roman"/>
                      <w:i w:val="0"/>
                      <w:iCs w:val="0"/>
                      <w:caps w:val="0"/>
                      <w:color w:val="auto"/>
                      <w:spacing w:val="0"/>
                      <w:sz w:val="21"/>
                      <w:szCs w:val="21"/>
                      <w:shd w:val="clear" w:fill="FFFFFF"/>
                      <w:lang w:val="en-US"/>
                    </w:rPr>
                  </w:pPr>
                  <w:r>
                    <w:rPr>
                      <w:rFonts w:hint="default" w:ascii="Times New Roman" w:hAnsi="Times New Roman" w:eastAsia="宋体" w:cs="Times New Roman"/>
                      <w:i w:val="0"/>
                      <w:iCs w:val="0"/>
                      <w:color w:val="auto"/>
                      <w:spacing w:val="0"/>
                      <w:sz w:val="21"/>
                      <w:szCs w:val="21"/>
                      <w:shd w:val="clear" w:fill="FFFFFF"/>
                      <w:lang w:val="en-US" w:eastAsia="zh-CN"/>
                    </w:rPr>
                    <w:t>CAS号57472-68-1，透明液体，</w:t>
                  </w:r>
                  <w:r>
                    <w:rPr>
                      <w:rFonts w:hint="default" w:ascii="Times New Roman" w:hAnsi="Times New Roman" w:eastAsia="宋体" w:cs="Times New Roman"/>
                      <w:color w:val="auto"/>
                      <w:sz w:val="21"/>
                      <w:szCs w:val="21"/>
                      <w:lang w:eastAsia="zh-CN"/>
                    </w:rPr>
                    <w:t>密度</w:t>
                  </w:r>
                  <w:r>
                    <w:rPr>
                      <w:rFonts w:hint="default" w:ascii="Times New Roman" w:hAnsi="Times New Roman" w:eastAsia="宋体" w:cs="Times New Roman"/>
                      <w:color w:val="auto"/>
                      <w:sz w:val="21"/>
                      <w:szCs w:val="21"/>
                      <w:shd w:val="clear" w:color="auto" w:fill="FFFFFF"/>
                      <w:lang w:val="en-US" w:eastAsia="zh-CN"/>
                    </w:rPr>
                    <w:t>1.05</w:t>
                  </w:r>
                  <w:r>
                    <w:rPr>
                      <w:rFonts w:hint="default" w:ascii="Times New Roman" w:hAnsi="Times New Roman" w:eastAsia="宋体" w:cs="Times New Roman"/>
                      <w:color w:val="auto"/>
                      <w:sz w:val="21"/>
                      <w:szCs w:val="21"/>
                      <w:shd w:val="clear" w:color="auto" w:fill="FFFFFF"/>
                    </w:rPr>
                    <w:t>g/cm³</w:t>
                  </w:r>
                  <w:r>
                    <w:rPr>
                      <w:rFonts w:hint="default" w:ascii="Times New Roman" w:hAnsi="Times New Roman" w:eastAsia="宋体" w:cs="Times New Roman"/>
                      <w:color w:val="auto"/>
                      <w:sz w:val="21"/>
                      <w:szCs w:val="21"/>
                      <w:shd w:val="clear" w:color="auto" w:fill="FFFFFF"/>
                      <w:lang w:val="en-US" w:eastAsia="zh-CN"/>
                    </w:rPr>
                    <w:t>,</w:t>
                  </w:r>
                  <w:r>
                    <w:rPr>
                      <w:rFonts w:hint="default" w:ascii="Times New Roman" w:hAnsi="Times New Roman" w:eastAsia="宋体" w:cs="Times New Roman"/>
                      <w:color w:val="auto"/>
                      <w:sz w:val="21"/>
                      <w:szCs w:val="21"/>
                      <w:lang w:val="en-US" w:eastAsia="zh-CN"/>
                    </w:rPr>
                    <w:t>沸点119-121</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，闪点133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i w:val="0"/>
                      <w:iCs w:val="0"/>
                      <w:caps w:val="0"/>
                      <w:color w:val="auto"/>
                      <w:spacing w:val="0"/>
                      <w:sz w:val="21"/>
                      <w:szCs w:val="21"/>
                      <w:shd w:val="clear" w:fill="FFFFFF"/>
                    </w:rPr>
                    <w:t>不溶于水，易溶于甲苯、苯、醇，可溶于丙酮</w:t>
                  </w:r>
                </w:p>
              </w:tc>
              <w:tc>
                <w:tcPr>
                  <w:tcW w:w="1146" w:type="pct"/>
                  <w:tcBorders>
                    <w:left w:val="single" w:color="000000" w:sz="2" w:space="0"/>
                    <w:right w:val="single" w:color="000000" w:sz="2" w:space="0"/>
                  </w:tcBorders>
                  <w:vAlign w:val="center"/>
                </w:tcPr>
                <w:p w14:paraId="05BE58D9">
                  <w:pPr>
                    <w:widowControl/>
                    <w:contextualSpacing/>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10F0176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73C84D13">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68A6EB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写真机油墨</w:t>
                  </w:r>
                </w:p>
              </w:tc>
              <w:tc>
                <w:tcPr>
                  <w:tcW w:w="2649" w:type="pct"/>
                  <w:tcBorders>
                    <w:right w:val="single" w:color="000000" w:sz="2" w:space="0"/>
                  </w:tcBorders>
                  <w:vAlign w:val="center"/>
                </w:tcPr>
                <w:p w14:paraId="7C76A078">
                  <w:pPr>
                    <w:widowControl/>
                    <w:jc w:val="left"/>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aps w:val="0"/>
                      <w:color w:val="auto"/>
                      <w:spacing w:val="0"/>
                      <w:sz w:val="21"/>
                      <w:szCs w:val="21"/>
                      <w:shd w:val="clear" w:fill="FFFFFF"/>
                      <w:lang w:val="en-US" w:eastAsia="zh-CN"/>
                    </w:rPr>
                    <w:t>红色液体，稍有气味，</w:t>
                  </w:r>
                  <w:r>
                    <w:rPr>
                      <w:rFonts w:hint="default" w:ascii="Times New Roman" w:hAnsi="Times New Roman" w:eastAsia="宋体" w:cs="Times New Roman"/>
                      <w:color w:val="auto"/>
                      <w:sz w:val="21"/>
                      <w:szCs w:val="21"/>
                    </w:rPr>
                    <w:t>闪点：</w:t>
                  </w:r>
                  <w:r>
                    <w:rPr>
                      <w:rFonts w:hint="default" w:ascii="Times New Roman" w:hAnsi="Times New Roman" w:eastAsia="宋体" w:cs="Times New Roman"/>
                      <w:color w:val="auto"/>
                      <w:sz w:val="21"/>
                      <w:szCs w:val="21"/>
                      <w:lang w:val="en-US" w:eastAsia="zh-CN"/>
                    </w:rPr>
                    <w:t>77</w:t>
                  </w:r>
                  <w:r>
                    <w:rPr>
                      <w:rFonts w:hint="default" w:ascii="Times New Roman" w:hAnsi="Times New Roman" w:eastAsia="宋体" w:cs="Times New Roman"/>
                      <w:color w:val="auto"/>
                      <w:sz w:val="21"/>
                      <w:szCs w:val="21"/>
                    </w:rPr>
                    <w:t>℃，可混溶于醚、</w:t>
                  </w:r>
                  <w:r>
                    <w:rPr>
                      <w:rFonts w:hint="default" w:ascii="Times New Roman" w:hAnsi="Times New Roman" w:eastAsia="宋体" w:cs="Times New Roman"/>
                      <w:color w:val="auto"/>
                      <w:sz w:val="21"/>
                      <w:szCs w:val="21"/>
                      <w:lang w:val="en-US" w:eastAsia="zh-CN"/>
                    </w:rPr>
                    <w:t>乙醇</w:t>
                  </w:r>
                  <w:r>
                    <w:rPr>
                      <w:rFonts w:hint="default" w:ascii="Times New Roman" w:hAnsi="Times New Roman" w:eastAsia="宋体" w:cs="Times New Roman"/>
                      <w:color w:val="auto"/>
                      <w:sz w:val="21"/>
                      <w:szCs w:val="21"/>
                    </w:rPr>
                    <w:t>、甘油等多数有机溶剂</w:t>
                  </w:r>
                </w:p>
              </w:tc>
              <w:tc>
                <w:tcPr>
                  <w:tcW w:w="1146" w:type="pct"/>
                  <w:tcBorders>
                    <w:left w:val="single" w:color="000000" w:sz="2" w:space="0"/>
                    <w:right w:val="single" w:color="000000" w:sz="2" w:space="0"/>
                  </w:tcBorders>
                  <w:vAlign w:val="center"/>
                </w:tcPr>
                <w:p w14:paraId="7EF285A2">
                  <w:pPr>
                    <w:widowControl/>
                    <w:contextualSpacing/>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257E689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29E6D3F5">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546BAEA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乙二醇丁醚醋酸酯</w:t>
                  </w:r>
                </w:p>
              </w:tc>
              <w:tc>
                <w:tcPr>
                  <w:tcW w:w="2649" w:type="pct"/>
                  <w:tcBorders>
                    <w:right w:val="single" w:color="000000" w:sz="2" w:space="0"/>
                  </w:tcBorders>
                  <w:vAlign w:val="center"/>
                </w:tcPr>
                <w:p w14:paraId="55E9B2E7">
                  <w:pPr>
                    <w:widowControl/>
                    <w:jc w:val="left"/>
                    <w:rPr>
                      <w:rFonts w:hint="default" w:ascii="Times New Roman" w:hAnsi="Times New Roman" w:eastAsia="宋体" w:cs="Times New Roman"/>
                      <w:i w:val="0"/>
                      <w:iCs w:val="0"/>
                      <w:caps w:val="0"/>
                      <w:color w:val="auto"/>
                      <w:spacing w:val="0"/>
                      <w:sz w:val="21"/>
                      <w:szCs w:val="21"/>
                      <w:shd w:val="clear" w:fill="FFFFFF"/>
                      <w:lang w:val="en-US" w:eastAsia="zh-CN"/>
                    </w:rPr>
                  </w:pPr>
                  <w:r>
                    <w:rPr>
                      <w:rFonts w:hint="default" w:ascii="Times New Roman" w:hAnsi="Times New Roman" w:eastAsia="宋体" w:cs="Times New Roman"/>
                      <w:i w:val="0"/>
                      <w:iCs w:val="0"/>
                      <w:color w:val="auto"/>
                      <w:spacing w:val="0"/>
                      <w:sz w:val="21"/>
                      <w:szCs w:val="21"/>
                      <w:shd w:val="clear" w:fill="FFFFFF"/>
                      <w:lang w:val="en-US" w:eastAsia="zh-CN"/>
                    </w:rPr>
                    <w:t>CAS号112-7-2，透明液体，熔点-63</w:t>
                  </w:r>
                  <w:r>
                    <w:rPr>
                      <w:rFonts w:hint="default" w:ascii="Times New Roman" w:hAnsi="Times New Roman" w:eastAsia="宋体" w:cs="Times New Roman"/>
                      <w:i w:val="0"/>
                      <w:iCs w:val="0"/>
                      <w:caps w:val="0"/>
                      <w:color w:val="auto"/>
                      <w:spacing w:val="0"/>
                      <w:sz w:val="21"/>
                      <w:szCs w:val="21"/>
                      <w:shd w:val="clear" w:fill="FFFFFF"/>
                      <w:lang w:val="en-US" w:eastAsia="zh-CN"/>
                    </w:rPr>
                    <w:t>，</w:t>
                  </w:r>
                  <w:r>
                    <w:rPr>
                      <w:rFonts w:hint="default" w:ascii="Times New Roman" w:hAnsi="Times New Roman" w:eastAsia="宋体" w:cs="Times New Roman"/>
                      <w:color w:val="auto"/>
                      <w:sz w:val="21"/>
                      <w:szCs w:val="21"/>
                    </w:rPr>
                    <w:t>闪点：</w:t>
                  </w:r>
                  <w:r>
                    <w:rPr>
                      <w:rFonts w:hint="default" w:ascii="Times New Roman" w:hAnsi="Times New Roman" w:eastAsia="宋体" w:cs="Times New Roman"/>
                      <w:color w:val="auto"/>
                      <w:sz w:val="21"/>
                      <w:szCs w:val="21"/>
                      <w:lang w:val="en-US" w:eastAsia="zh-CN"/>
                    </w:rPr>
                    <w:t>88</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沸点192</w:t>
                  </w:r>
                  <w:r>
                    <w:rPr>
                      <w:rFonts w:hint="default" w:ascii="Times New Roman" w:hAnsi="Times New Roman" w:eastAsia="宋体" w:cs="Times New Roman"/>
                      <w:color w:val="auto"/>
                      <w:sz w:val="21"/>
                      <w:szCs w:val="21"/>
                    </w:rPr>
                    <w:t>℃，</w:t>
                  </w:r>
                  <w:r>
                    <w:rPr>
                      <w:rFonts w:hint="default" w:ascii="Times New Roman" w:hAnsi="Times New Roman" w:eastAsia="宋体" w:cs="Times New Roman"/>
                      <w:i w:val="0"/>
                      <w:iCs w:val="0"/>
                      <w:caps w:val="0"/>
                      <w:color w:val="auto"/>
                      <w:spacing w:val="0"/>
                      <w:sz w:val="21"/>
                      <w:szCs w:val="21"/>
                      <w:shd w:val="clear" w:fill="FFFFFF"/>
                    </w:rPr>
                    <w:t>用作油墨溶剂，尤其适用于丝网油墨，能够改善油墨的流动性和光泽度</w:t>
                  </w:r>
                </w:p>
              </w:tc>
              <w:tc>
                <w:tcPr>
                  <w:tcW w:w="1146" w:type="pct"/>
                  <w:tcBorders>
                    <w:left w:val="single" w:color="000000" w:sz="2" w:space="0"/>
                    <w:right w:val="single" w:color="000000" w:sz="2" w:space="0"/>
                  </w:tcBorders>
                  <w:vAlign w:val="center"/>
                </w:tcPr>
                <w:p w14:paraId="212A241A">
                  <w:pPr>
                    <w:widowControl/>
                    <w:contextualSpacing/>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457DCD8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可燃</w:t>
                  </w:r>
                </w:p>
              </w:tc>
            </w:tr>
            <w:tr w14:paraId="53D03008">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0467D21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氯醋树脂</w:t>
                  </w:r>
                </w:p>
              </w:tc>
              <w:tc>
                <w:tcPr>
                  <w:tcW w:w="2649" w:type="pct"/>
                  <w:tcBorders>
                    <w:right w:val="single" w:color="000000" w:sz="2" w:space="0"/>
                  </w:tcBorders>
                  <w:vAlign w:val="center"/>
                </w:tcPr>
                <w:p w14:paraId="25BBCA11">
                  <w:pPr>
                    <w:widowControl/>
                    <w:jc w:val="left"/>
                    <w:rPr>
                      <w:rFonts w:hint="default" w:ascii="Times New Roman" w:hAnsi="Times New Roman" w:eastAsia="宋体" w:cs="Times New Roman"/>
                      <w:i w:val="0"/>
                      <w:iCs w:val="0"/>
                      <w:caps w:val="0"/>
                      <w:color w:val="auto"/>
                      <w:spacing w:val="0"/>
                      <w:sz w:val="21"/>
                      <w:szCs w:val="21"/>
                      <w:shd w:val="clear" w:fill="FFFFFF"/>
                      <w:lang w:val="en-US"/>
                    </w:rPr>
                  </w:pPr>
                  <w:r>
                    <w:rPr>
                      <w:rFonts w:hint="default" w:ascii="Times New Roman" w:hAnsi="Times New Roman" w:eastAsia="宋体" w:cs="Times New Roman"/>
                      <w:i w:val="0"/>
                      <w:iCs w:val="0"/>
                      <w:color w:val="auto"/>
                      <w:spacing w:val="0"/>
                      <w:sz w:val="21"/>
                      <w:szCs w:val="21"/>
                      <w:shd w:val="clear" w:fill="FFFFFF"/>
                      <w:lang w:val="en-US" w:eastAsia="zh-CN"/>
                    </w:rPr>
                    <w:t>CAS号9005-09-8，白色粉末，</w:t>
                  </w:r>
                  <w:r>
                    <w:rPr>
                      <w:rFonts w:hint="default" w:ascii="Times New Roman" w:hAnsi="Times New Roman" w:eastAsia="宋体" w:cs="Times New Roman"/>
                      <w:i w:val="0"/>
                      <w:iCs w:val="0"/>
                      <w:caps w:val="0"/>
                      <w:color w:val="auto"/>
                      <w:spacing w:val="0"/>
                      <w:sz w:val="21"/>
                      <w:szCs w:val="21"/>
                      <w:shd w:val="clear" w:fill="FFFFFF"/>
                    </w:rPr>
                    <w:t>具有良好的溶解性和相容性，能溶于多种有机溶剂。</w:t>
                  </w:r>
                </w:p>
              </w:tc>
              <w:tc>
                <w:tcPr>
                  <w:tcW w:w="1146" w:type="pct"/>
                  <w:tcBorders>
                    <w:left w:val="single" w:color="000000" w:sz="2" w:space="0"/>
                    <w:right w:val="single" w:color="000000" w:sz="2" w:space="0"/>
                  </w:tcBorders>
                  <w:vAlign w:val="center"/>
                </w:tcPr>
                <w:p w14:paraId="465EF896">
                  <w:pPr>
                    <w:widowControl/>
                    <w:contextualSpacing/>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shd w:val="clear" w:color="auto" w:fill="FFFFFF"/>
                      <w:lang w:val="en-US" w:eastAsia="zh-CN"/>
                    </w:rPr>
                    <w:t>无资料</w:t>
                  </w:r>
                </w:p>
              </w:tc>
              <w:tc>
                <w:tcPr>
                  <w:tcW w:w="654" w:type="pct"/>
                  <w:tcBorders>
                    <w:left w:val="single" w:color="000000" w:sz="2" w:space="0"/>
                  </w:tcBorders>
                  <w:vAlign w:val="center"/>
                </w:tcPr>
                <w:p w14:paraId="53CCECE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shd w:val="clear" w:color="auto" w:fill="FFFFFF"/>
                      <w:lang w:val="en-US" w:eastAsia="zh-CN"/>
                    </w:rPr>
                    <w:t>不燃</w:t>
                  </w:r>
                </w:p>
              </w:tc>
            </w:tr>
            <w:tr w14:paraId="0BBC4C11">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51" w:type="dxa"/>
                  <w:bottom w:w="0" w:type="dxa"/>
                  <w:right w:w="51" w:type="dxa"/>
                </w:tblCellMar>
              </w:tblPrEx>
              <w:trPr>
                <w:trHeight w:val="340" w:hRule="atLeast"/>
                <w:jc w:val="center"/>
              </w:trPr>
              <w:tc>
                <w:tcPr>
                  <w:tcW w:w="549" w:type="pct"/>
                  <w:vAlign w:val="center"/>
                </w:tcPr>
                <w:p w14:paraId="5A4F1BD6">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乙醇</w:t>
                  </w:r>
                </w:p>
              </w:tc>
              <w:tc>
                <w:tcPr>
                  <w:tcW w:w="2649" w:type="pct"/>
                  <w:tcBorders>
                    <w:right w:val="single" w:color="000000" w:sz="2" w:space="0"/>
                  </w:tcBorders>
                  <w:vAlign w:val="center"/>
                </w:tcPr>
                <w:p w14:paraId="7EA466CF">
                  <w:pPr>
                    <w:autoSpaceDE w:val="0"/>
                    <w:autoSpaceDN w:val="0"/>
                    <w:adjustRightInd w:val="0"/>
                    <w:snapToGrid w:val="0"/>
                    <w:rPr>
                      <w:rFonts w:hint="default" w:ascii="Times New Roman" w:hAnsi="Times New Roman" w:eastAsia="宋体" w:cs="Times New Roman"/>
                      <w:i w:val="0"/>
                      <w:iCs w:val="0"/>
                      <w:caps w:val="0"/>
                      <w:color w:val="auto"/>
                      <w:spacing w:val="0"/>
                      <w:sz w:val="21"/>
                      <w:szCs w:val="21"/>
                      <w:shd w:val="clear" w:fill="FFFFFF"/>
                    </w:rPr>
                  </w:pPr>
                  <w:r>
                    <w:rPr>
                      <w:rFonts w:hint="default" w:ascii="Times New Roman" w:hAnsi="Times New Roman" w:eastAsia="宋体" w:cs="Times New Roman"/>
                      <w:color w:val="auto"/>
                      <w:sz w:val="21"/>
                      <w:szCs w:val="21"/>
                    </w:rPr>
                    <w:t>无色液体，有酒香；闪点14℃，熔点-114.1℃，沸点：78.3℃</w:t>
                  </w:r>
                  <w:r>
                    <w:rPr>
                      <w:rFonts w:hint="default" w:ascii="Times New Roman" w:hAnsi="Times New Roman" w:eastAsia="宋体" w:cs="Times New Roman"/>
                      <w:color w:val="auto"/>
                      <w:sz w:val="21"/>
                      <w:szCs w:val="21"/>
                      <w:lang w:eastAsia="zh-CN"/>
                    </w:rPr>
                    <w:t>，密度</w:t>
                  </w:r>
                  <w:r>
                    <w:rPr>
                      <w:rFonts w:hint="default" w:ascii="Times New Roman" w:hAnsi="Times New Roman" w:eastAsia="宋体" w:cs="Times New Roman"/>
                      <w:color w:val="auto"/>
                      <w:sz w:val="21"/>
                      <w:szCs w:val="21"/>
                      <w:shd w:val="clear" w:color="auto" w:fill="FFFFFF"/>
                    </w:rPr>
                    <w:t>0.</w:t>
                  </w:r>
                  <w:r>
                    <w:rPr>
                      <w:rFonts w:hint="default" w:ascii="Times New Roman" w:hAnsi="Times New Roman" w:eastAsia="宋体" w:cs="Times New Roman"/>
                      <w:color w:val="auto"/>
                      <w:sz w:val="21"/>
                      <w:szCs w:val="21"/>
                      <w:shd w:val="clear" w:color="auto" w:fill="FFFFFF"/>
                      <w:lang w:val="en-US" w:eastAsia="zh-CN"/>
                    </w:rPr>
                    <w:t>789</w:t>
                  </w:r>
                  <w:r>
                    <w:rPr>
                      <w:rFonts w:hint="default" w:ascii="Times New Roman" w:hAnsi="Times New Roman" w:eastAsia="宋体" w:cs="Times New Roman"/>
                      <w:color w:val="auto"/>
                      <w:sz w:val="21"/>
                      <w:szCs w:val="21"/>
                      <w:shd w:val="clear" w:color="auto" w:fill="FFFFFF"/>
                    </w:rPr>
                    <w:t>g/cm³</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与水混溶，可混溶于醚、氯仿、甘油等多数有机溶剂</w:t>
                  </w:r>
                  <w:r>
                    <w:rPr>
                      <w:rFonts w:hint="default" w:ascii="Times New Roman" w:hAnsi="Times New Roman" w:eastAsia="宋体" w:cs="Times New Roman"/>
                      <w:color w:val="auto"/>
                      <w:kern w:val="0"/>
                      <w:sz w:val="21"/>
                      <w:szCs w:val="21"/>
                    </w:rPr>
                    <w:t>。</w:t>
                  </w:r>
                </w:p>
              </w:tc>
              <w:tc>
                <w:tcPr>
                  <w:tcW w:w="1146" w:type="pct"/>
                  <w:tcBorders>
                    <w:left w:val="single" w:color="000000" w:sz="2" w:space="0"/>
                    <w:right w:val="single" w:color="000000" w:sz="2" w:space="0"/>
                  </w:tcBorders>
                  <w:vAlign w:val="center"/>
                </w:tcPr>
                <w:p w14:paraId="4A24B90F">
                  <w:pPr>
                    <w:adjustRightInd w:val="0"/>
                    <w:snapToGrid w:val="0"/>
                    <w:jc w:val="center"/>
                    <w:rPr>
                      <w:rFonts w:hint="default" w:ascii="Times New Roman" w:hAnsi="Times New Roman" w:eastAsia="宋体" w:cs="Times New Roman"/>
                      <w:color w:val="auto"/>
                      <w:sz w:val="21"/>
                      <w:szCs w:val="21"/>
                      <w:shd w:val="clear" w:color="auto" w:fill="FFFFFF"/>
                    </w:rPr>
                  </w:pPr>
                  <w:r>
                    <w:rPr>
                      <w:rFonts w:hint="default" w:ascii="Times New Roman" w:hAnsi="Times New Roman" w:eastAsia="宋体" w:cs="Times New Roman"/>
                      <w:color w:val="auto"/>
                      <w:sz w:val="21"/>
                      <w:szCs w:val="21"/>
                    </w:rPr>
                    <w:t>LD</w:t>
                  </w:r>
                  <w:r>
                    <w:rPr>
                      <w:rFonts w:hint="default" w:ascii="Times New Roman" w:hAnsi="Times New Roman" w:eastAsia="宋体" w:cs="Times New Roman"/>
                      <w:color w:val="auto"/>
                      <w:sz w:val="21"/>
                      <w:szCs w:val="21"/>
                      <w:vertAlign w:val="subscript"/>
                    </w:rPr>
                    <w:t>50</w:t>
                  </w:r>
                  <w:r>
                    <w:rPr>
                      <w:rFonts w:hint="default" w:ascii="Times New Roman" w:hAnsi="Times New Roman" w:eastAsia="宋体" w:cs="Times New Roman"/>
                      <w:color w:val="auto"/>
                      <w:sz w:val="21"/>
                      <w:szCs w:val="21"/>
                    </w:rPr>
                    <w:t>：7060mg/kg(大鼠经口)；</w:t>
                  </w:r>
                </w:p>
              </w:tc>
              <w:tc>
                <w:tcPr>
                  <w:tcW w:w="654" w:type="pct"/>
                  <w:tcBorders>
                    <w:left w:val="single" w:color="000000" w:sz="2" w:space="0"/>
                  </w:tcBorders>
                  <w:vAlign w:val="center"/>
                </w:tcPr>
                <w:p w14:paraId="37576D4A">
                  <w:pPr>
                    <w:adjustRightInd w:val="0"/>
                    <w:snapToGrid w:val="0"/>
                    <w:jc w:val="center"/>
                    <w:rPr>
                      <w:rFonts w:hint="default" w:ascii="Times New Roman" w:hAnsi="Times New Roman" w:eastAsia="宋体" w:cs="Times New Roman"/>
                      <w:color w:val="auto"/>
                      <w:sz w:val="21"/>
                      <w:szCs w:val="21"/>
                      <w:shd w:val="clear" w:color="auto" w:fill="FFFFFF"/>
                      <w:lang w:val="en-US" w:eastAsia="zh-CN"/>
                    </w:rPr>
                  </w:pPr>
                  <w:r>
                    <w:rPr>
                      <w:rFonts w:hint="default" w:ascii="Times New Roman" w:hAnsi="Times New Roman" w:eastAsia="宋体" w:cs="Times New Roman"/>
                      <w:color w:val="auto"/>
                      <w:sz w:val="21"/>
                      <w:szCs w:val="21"/>
                    </w:rPr>
                    <w:t>易燃易爆</w:t>
                  </w:r>
                </w:p>
              </w:tc>
            </w:tr>
          </w:tbl>
          <w:p w14:paraId="42B647BC">
            <w:pPr>
              <w:keepNext w:val="0"/>
              <w:keepLines w:val="0"/>
              <w:pageBreakBefore w:val="0"/>
              <w:kinsoku/>
              <w:wordWrap/>
              <w:overflowPunct/>
              <w:topLinePunct w:val="0"/>
              <w:bidi w:val="0"/>
              <w:adjustRightInd w:val="0"/>
              <w:snapToGrid w:val="0"/>
              <w:spacing w:line="500" w:lineRule="exact"/>
              <w:ind w:left="0" w:right="0" w:firstLine="241" w:firstLineChars="1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rPr>
              <w:t>、主要生产设施</w:t>
            </w:r>
          </w:p>
          <w:p w14:paraId="38607C38">
            <w:pPr>
              <w:keepNext w:val="0"/>
              <w:keepLines w:val="0"/>
              <w:pageBreakBefore w:val="0"/>
              <w:kinsoku/>
              <w:wordWrap/>
              <w:overflowPunct/>
              <w:topLinePunct w:val="0"/>
              <w:bidi w:val="0"/>
              <w:adjustRightInd w:val="0"/>
              <w:snapToGrid w:val="0"/>
              <w:spacing w:line="500" w:lineRule="exact"/>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 xml:space="preserve">4 </w:t>
            </w:r>
            <w:r>
              <w:rPr>
                <w:rFonts w:hint="default" w:ascii="Times New Roman" w:hAnsi="Times New Roman" w:eastAsia="宋体" w:cs="Times New Roman"/>
                <w:b/>
                <w:bCs/>
                <w:color w:val="auto"/>
                <w:sz w:val="21"/>
                <w:szCs w:val="21"/>
                <w:highlight w:val="none"/>
              </w:rPr>
              <w:t>本项目建成后全厂主要生产设备一览表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fixed"/>
              <w:tblCellMar>
                <w:top w:w="0" w:type="dxa"/>
                <w:left w:w="79" w:type="dxa"/>
                <w:bottom w:w="0" w:type="dxa"/>
                <w:right w:w="79" w:type="dxa"/>
              </w:tblCellMar>
            </w:tblPr>
            <w:tblGrid>
              <w:gridCol w:w="1036"/>
              <w:gridCol w:w="1711"/>
              <w:gridCol w:w="1768"/>
              <w:gridCol w:w="817"/>
              <w:gridCol w:w="817"/>
              <w:gridCol w:w="819"/>
              <w:gridCol w:w="1038"/>
            </w:tblGrid>
            <w:tr w14:paraId="40BE7EBB">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PrEx>
              <w:trPr>
                <w:trHeight w:val="340" w:hRule="atLeast"/>
                <w:jc w:val="center"/>
              </w:trPr>
              <w:tc>
                <w:tcPr>
                  <w:tcW w:w="647" w:type="pct"/>
                  <w:vMerge w:val="restart"/>
                  <w:noWrap w:val="0"/>
                  <w:vAlign w:val="center"/>
                </w:tcPr>
                <w:p w14:paraId="1CA6BA9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068" w:type="pct"/>
                  <w:vMerge w:val="restart"/>
                  <w:noWrap w:val="0"/>
                  <w:vAlign w:val="center"/>
                </w:tcPr>
                <w:p w14:paraId="0F48882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1104" w:type="pct"/>
                  <w:vMerge w:val="restart"/>
                  <w:noWrap w:val="0"/>
                  <w:vAlign w:val="center"/>
                </w:tcPr>
                <w:p w14:paraId="124AC5E7">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 w:val="21"/>
                      <w:szCs w:val="21"/>
                    </w:rPr>
                    <w:t>规格型号</w:t>
                  </w:r>
                </w:p>
              </w:tc>
              <w:tc>
                <w:tcPr>
                  <w:tcW w:w="1531" w:type="pct"/>
                  <w:gridSpan w:val="3"/>
                  <w:tcBorders>
                    <w:bottom w:val="single" w:color="auto" w:sz="4" w:space="0"/>
                  </w:tcBorders>
                  <w:noWrap w:val="0"/>
                  <w:vAlign w:val="center"/>
                </w:tcPr>
                <w:p w14:paraId="7303F7E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数量（台/套）</w:t>
                  </w:r>
                </w:p>
              </w:tc>
              <w:tc>
                <w:tcPr>
                  <w:tcW w:w="648" w:type="pct"/>
                  <w:vMerge w:val="restart"/>
                  <w:noWrap w:val="0"/>
                  <w:vAlign w:val="center"/>
                </w:tcPr>
                <w:p w14:paraId="22B591C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备注</w:t>
                  </w:r>
                </w:p>
              </w:tc>
            </w:tr>
            <w:tr w14:paraId="0103F8D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2CDCFD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1068" w:type="pct"/>
                  <w:vMerge w:val="continue"/>
                  <w:noWrap w:val="0"/>
                  <w:vAlign w:val="center"/>
                </w:tcPr>
                <w:p w14:paraId="51664A5D">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1104" w:type="pct"/>
                  <w:vMerge w:val="continue"/>
                  <w:noWrap w:val="0"/>
                  <w:vAlign w:val="center"/>
                </w:tcPr>
                <w:p w14:paraId="64C0E2A5">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510" w:type="pct"/>
                  <w:tcBorders>
                    <w:top w:val="single" w:color="auto" w:sz="4" w:space="0"/>
                    <w:right w:val="single" w:color="000000" w:sz="4" w:space="0"/>
                  </w:tcBorders>
                  <w:noWrap w:val="0"/>
                  <w:vAlign w:val="center"/>
                </w:tcPr>
                <w:p w14:paraId="51F9D31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前</w:t>
                  </w:r>
                </w:p>
              </w:tc>
              <w:tc>
                <w:tcPr>
                  <w:tcW w:w="510" w:type="pct"/>
                  <w:tcBorders>
                    <w:top w:val="single" w:color="auto" w:sz="4" w:space="0"/>
                    <w:left w:val="single" w:color="000000" w:sz="4" w:space="0"/>
                    <w:right w:val="single" w:color="auto" w:sz="4" w:space="0"/>
                  </w:tcBorders>
                  <w:noWrap w:val="0"/>
                  <w:vAlign w:val="center"/>
                </w:tcPr>
                <w:p w14:paraId="4A87C8F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技改</w:t>
                  </w:r>
                  <w:r>
                    <w:rPr>
                      <w:rFonts w:hint="default" w:ascii="Times New Roman" w:hAnsi="Times New Roman" w:eastAsia="宋体" w:cs="Times New Roman"/>
                      <w:b/>
                      <w:bCs/>
                      <w:color w:val="auto"/>
                      <w:sz w:val="21"/>
                      <w:szCs w:val="21"/>
                    </w:rPr>
                    <w:t>后</w:t>
                  </w:r>
                </w:p>
              </w:tc>
              <w:tc>
                <w:tcPr>
                  <w:tcW w:w="511" w:type="pct"/>
                  <w:tcBorders>
                    <w:top w:val="single" w:color="auto" w:sz="4" w:space="0"/>
                    <w:left w:val="single" w:color="auto" w:sz="4" w:space="0"/>
                    <w:right w:val="single" w:color="auto" w:sz="4" w:space="0"/>
                  </w:tcBorders>
                  <w:noWrap w:val="0"/>
                  <w:vAlign w:val="center"/>
                </w:tcPr>
                <w:p w14:paraId="2EF9D35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变化量</w:t>
                  </w:r>
                </w:p>
              </w:tc>
              <w:tc>
                <w:tcPr>
                  <w:tcW w:w="648" w:type="pct"/>
                  <w:vMerge w:val="continue"/>
                  <w:noWrap w:val="0"/>
                  <w:vAlign w:val="center"/>
                </w:tcPr>
                <w:p w14:paraId="0A27A287">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r>
            <w:tr w14:paraId="5B150E2B">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restart"/>
                  <w:noWrap w:val="0"/>
                  <w:vAlign w:val="center"/>
                </w:tcPr>
                <w:p w14:paraId="7C21317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生产设备</w:t>
                  </w:r>
                </w:p>
                <w:p w14:paraId="0467EFA5">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color w:val="auto"/>
                      <w:sz w:val="21"/>
                      <w:szCs w:val="21"/>
                    </w:rPr>
                  </w:pPr>
                </w:p>
                <w:p w14:paraId="43F74431">
                  <w:pPr>
                    <w:pStyle w:val="8"/>
                    <w:keepNext w:val="0"/>
                    <w:keepLines w:val="0"/>
                    <w:pageBreakBefore w:val="0"/>
                    <w:kinsoku/>
                    <w:wordWrap/>
                    <w:overflowPunct/>
                    <w:topLinePunct w:val="0"/>
                    <w:autoSpaceDE/>
                    <w:autoSpaceDN/>
                    <w:bidi w:val="0"/>
                    <w:adjustRightInd w:val="0"/>
                    <w:snapToGrid w:val="0"/>
                    <w:spacing w:before="0" w:after="0" w:line="240" w:lineRule="auto"/>
                    <w:ind w:left="0" w:right="0"/>
                    <w:jc w:val="center"/>
                    <w:rPr>
                      <w:rFonts w:hint="default" w:ascii="Times New Roman" w:hAnsi="Times New Roman" w:eastAsia="宋体" w:cs="Times New Roman"/>
                      <w:color w:val="auto"/>
                      <w:sz w:val="21"/>
                      <w:szCs w:val="21"/>
                    </w:rPr>
                  </w:pPr>
                </w:p>
              </w:tc>
              <w:tc>
                <w:tcPr>
                  <w:tcW w:w="1068" w:type="pct"/>
                  <w:noWrap w:val="0"/>
                  <w:vAlign w:val="center"/>
                </w:tcPr>
                <w:p w14:paraId="434F5C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切管机</w:t>
                  </w:r>
                </w:p>
              </w:tc>
              <w:tc>
                <w:tcPr>
                  <w:tcW w:w="1104" w:type="pct"/>
                  <w:tcBorders>
                    <w:right w:val="single" w:color="auto" w:sz="4" w:space="0"/>
                  </w:tcBorders>
                  <w:noWrap w:val="0"/>
                  <w:vAlign w:val="center"/>
                </w:tcPr>
                <w:p w14:paraId="5C1392D9">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MC-315A</w:t>
                  </w:r>
                </w:p>
              </w:tc>
              <w:tc>
                <w:tcPr>
                  <w:tcW w:w="510" w:type="pct"/>
                  <w:tcBorders>
                    <w:right w:val="single" w:color="auto" w:sz="4" w:space="0"/>
                  </w:tcBorders>
                  <w:noWrap w:val="0"/>
                  <w:vAlign w:val="center"/>
                </w:tcPr>
                <w:p w14:paraId="4B0D9106">
                  <w:pPr>
                    <w:widowControl/>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510" w:type="pct"/>
                  <w:tcBorders>
                    <w:left w:val="single" w:color="auto" w:sz="4" w:space="0"/>
                    <w:right w:val="single" w:color="auto" w:sz="4" w:space="0"/>
                  </w:tcBorders>
                  <w:noWrap w:val="0"/>
                  <w:vAlign w:val="center"/>
                </w:tcPr>
                <w:p w14:paraId="54FD4408">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511" w:type="pct"/>
                  <w:tcBorders>
                    <w:left w:val="single" w:color="auto" w:sz="4" w:space="0"/>
                  </w:tcBorders>
                  <w:noWrap w:val="0"/>
                  <w:vAlign w:val="center"/>
                </w:tcPr>
                <w:p w14:paraId="27C4B651">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6CDB9B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48828E8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90" w:hRule="atLeast"/>
                <w:jc w:val="center"/>
              </w:trPr>
              <w:tc>
                <w:tcPr>
                  <w:tcW w:w="647" w:type="pct"/>
                  <w:vMerge w:val="continue"/>
                  <w:noWrap w:val="0"/>
                  <w:vAlign w:val="center"/>
                </w:tcPr>
                <w:p w14:paraId="3572AE90">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385BE4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激光雕刻机</w:t>
                  </w:r>
                </w:p>
              </w:tc>
              <w:tc>
                <w:tcPr>
                  <w:tcW w:w="1104" w:type="pct"/>
                  <w:tcBorders>
                    <w:right w:val="single" w:color="auto" w:sz="4" w:space="0"/>
                  </w:tcBorders>
                  <w:noWrap w:val="0"/>
                  <w:vAlign w:val="center"/>
                </w:tcPr>
                <w:p w14:paraId="742248FC">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LT.G-3015C</w:t>
                  </w:r>
                </w:p>
              </w:tc>
              <w:tc>
                <w:tcPr>
                  <w:tcW w:w="510" w:type="pct"/>
                  <w:tcBorders>
                    <w:right w:val="single" w:color="auto" w:sz="4" w:space="0"/>
                  </w:tcBorders>
                  <w:noWrap w:val="0"/>
                  <w:vAlign w:val="center"/>
                </w:tcPr>
                <w:p w14:paraId="5D264394">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10" w:type="pct"/>
                  <w:tcBorders>
                    <w:left w:val="single" w:color="auto" w:sz="4" w:space="0"/>
                    <w:right w:val="single" w:color="auto" w:sz="4" w:space="0"/>
                  </w:tcBorders>
                  <w:noWrap w:val="0"/>
                  <w:vAlign w:val="center"/>
                </w:tcPr>
                <w:p w14:paraId="297F17AF">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11" w:type="pct"/>
                  <w:tcBorders>
                    <w:top w:val="single" w:color="auto" w:sz="4" w:space="0"/>
                    <w:left w:val="single" w:color="auto" w:sz="4" w:space="0"/>
                  </w:tcBorders>
                  <w:noWrap w:val="0"/>
                  <w:vAlign w:val="center"/>
                </w:tcPr>
                <w:p w14:paraId="5C4C8297">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4CC50CD7">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3C6607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57FA2CE1">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5B6895D0">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eastAsia="zh-CN"/>
                    </w:rPr>
                    <w:t>焊机</w:t>
                  </w:r>
                </w:p>
              </w:tc>
              <w:tc>
                <w:tcPr>
                  <w:tcW w:w="1104" w:type="pct"/>
                  <w:tcBorders>
                    <w:right w:val="single" w:color="auto" w:sz="4" w:space="0"/>
                  </w:tcBorders>
                  <w:noWrap w:val="0"/>
                  <w:vAlign w:val="center"/>
                </w:tcPr>
                <w:p w14:paraId="51D983C2">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w:t>
                  </w:r>
                </w:p>
              </w:tc>
              <w:tc>
                <w:tcPr>
                  <w:tcW w:w="510" w:type="pct"/>
                  <w:tcBorders>
                    <w:right w:val="single" w:color="auto" w:sz="4" w:space="0"/>
                  </w:tcBorders>
                  <w:noWrap w:val="0"/>
                  <w:vAlign w:val="center"/>
                </w:tcPr>
                <w:p w14:paraId="693A101B">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510" w:type="pct"/>
                  <w:tcBorders>
                    <w:left w:val="single" w:color="auto" w:sz="4" w:space="0"/>
                    <w:right w:val="single" w:color="auto" w:sz="4" w:space="0"/>
                  </w:tcBorders>
                  <w:noWrap w:val="0"/>
                  <w:vAlign w:val="center"/>
                </w:tcPr>
                <w:p w14:paraId="58522EF4">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511" w:type="pct"/>
                  <w:tcBorders>
                    <w:top w:val="single" w:color="auto" w:sz="4" w:space="0"/>
                    <w:left w:val="single" w:color="auto" w:sz="4" w:space="0"/>
                  </w:tcBorders>
                  <w:noWrap w:val="0"/>
                  <w:vAlign w:val="center"/>
                </w:tcPr>
                <w:p w14:paraId="70B62E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01CAB5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4A44F25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856D7D5">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2515BC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折弯机</w:t>
                  </w:r>
                </w:p>
              </w:tc>
              <w:tc>
                <w:tcPr>
                  <w:tcW w:w="1104" w:type="pct"/>
                  <w:tcBorders>
                    <w:right w:val="single" w:color="auto" w:sz="4" w:space="0"/>
                  </w:tcBorders>
                  <w:noWrap w:val="0"/>
                  <w:vAlign w:val="center"/>
                </w:tcPr>
                <w:p w14:paraId="08CAC700">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WF67Y-40T*2200</w:t>
                  </w:r>
                </w:p>
              </w:tc>
              <w:tc>
                <w:tcPr>
                  <w:tcW w:w="510" w:type="pct"/>
                  <w:tcBorders>
                    <w:right w:val="single" w:color="auto" w:sz="4" w:space="0"/>
                  </w:tcBorders>
                  <w:noWrap w:val="0"/>
                  <w:vAlign w:val="center"/>
                </w:tcPr>
                <w:p w14:paraId="031D53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0" w:type="pct"/>
                  <w:tcBorders>
                    <w:left w:val="single" w:color="auto" w:sz="4" w:space="0"/>
                    <w:right w:val="single" w:color="auto" w:sz="4" w:space="0"/>
                  </w:tcBorders>
                  <w:noWrap w:val="0"/>
                  <w:vAlign w:val="center"/>
                </w:tcPr>
                <w:p w14:paraId="33622D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1" w:type="pct"/>
                  <w:tcBorders>
                    <w:top w:val="single" w:color="auto" w:sz="4" w:space="0"/>
                    <w:left w:val="single" w:color="auto" w:sz="4" w:space="0"/>
                  </w:tcBorders>
                  <w:noWrap w:val="0"/>
                  <w:vAlign w:val="center"/>
                </w:tcPr>
                <w:p w14:paraId="305E4F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5C8D6A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3277A08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7B9B2DC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1C8E9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104" w:type="pct"/>
                  <w:tcBorders>
                    <w:right w:val="single" w:color="auto" w:sz="4" w:space="0"/>
                  </w:tcBorders>
                  <w:noWrap w:val="0"/>
                  <w:vAlign w:val="center"/>
                </w:tcPr>
                <w:p w14:paraId="664AC7EF">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rPr>
                    <w:t>4*2500</w:t>
                  </w:r>
                </w:p>
              </w:tc>
              <w:tc>
                <w:tcPr>
                  <w:tcW w:w="510" w:type="pct"/>
                  <w:tcBorders>
                    <w:right w:val="single" w:color="auto" w:sz="4" w:space="0"/>
                  </w:tcBorders>
                  <w:noWrap w:val="0"/>
                  <w:vAlign w:val="center"/>
                </w:tcPr>
                <w:p w14:paraId="2DBA38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3ADC34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3E8479C8">
                  <w:pPr>
                    <w:keepNext w:val="0"/>
                    <w:keepLines w:val="0"/>
                    <w:widowControl/>
                    <w:suppressLineNumbers w:val="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7C63C0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55089EFA">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CBD8785">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5EB7D12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104" w:type="pct"/>
                  <w:tcBorders>
                    <w:right w:val="single" w:color="auto" w:sz="4" w:space="0"/>
                  </w:tcBorders>
                  <w:noWrap w:val="0"/>
                  <w:vAlign w:val="center"/>
                </w:tcPr>
                <w:p w14:paraId="1F2D47E3">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4*1600</w:t>
                  </w:r>
                </w:p>
              </w:tc>
              <w:tc>
                <w:tcPr>
                  <w:tcW w:w="510" w:type="pct"/>
                  <w:tcBorders>
                    <w:right w:val="single" w:color="auto" w:sz="4" w:space="0"/>
                  </w:tcBorders>
                  <w:noWrap w:val="0"/>
                  <w:vAlign w:val="center"/>
                </w:tcPr>
                <w:p w14:paraId="789B227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3F5E6B9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0DE20EC6">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1DAC62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5730031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F1DEC7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A35A0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104" w:type="pct"/>
                  <w:tcBorders>
                    <w:right w:val="single" w:color="auto" w:sz="4" w:space="0"/>
                  </w:tcBorders>
                  <w:noWrap w:val="0"/>
                  <w:vAlign w:val="center"/>
                </w:tcPr>
                <w:p w14:paraId="73EFFF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10" w:type="pct"/>
                  <w:tcBorders>
                    <w:right w:val="single" w:color="auto" w:sz="4" w:space="0"/>
                  </w:tcBorders>
                  <w:noWrap w:val="0"/>
                  <w:vAlign w:val="center"/>
                </w:tcPr>
                <w:p w14:paraId="3FCEF1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0" w:type="pct"/>
                  <w:tcBorders>
                    <w:left w:val="single" w:color="auto" w:sz="4" w:space="0"/>
                    <w:right w:val="single" w:color="auto" w:sz="4" w:space="0"/>
                  </w:tcBorders>
                  <w:noWrap w:val="0"/>
                  <w:vAlign w:val="center"/>
                </w:tcPr>
                <w:p w14:paraId="426BC4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1" w:type="pct"/>
                  <w:tcBorders>
                    <w:top w:val="single" w:color="auto" w:sz="4" w:space="0"/>
                    <w:left w:val="single" w:color="auto" w:sz="4" w:space="0"/>
                  </w:tcBorders>
                  <w:noWrap w:val="0"/>
                  <w:vAlign w:val="center"/>
                </w:tcPr>
                <w:p w14:paraId="23D48517">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08919267">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68FB2296">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24D0F3C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C2D85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空气压力机</w:t>
                  </w:r>
                </w:p>
              </w:tc>
              <w:tc>
                <w:tcPr>
                  <w:tcW w:w="1104" w:type="pct"/>
                  <w:tcBorders>
                    <w:right w:val="single" w:color="auto" w:sz="4" w:space="0"/>
                  </w:tcBorders>
                  <w:noWrap w:val="0"/>
                  <w:vAlign w:val="center"/>
                </w:tcPr>
                <w:p w14:paraId="33302EC8">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664356A5">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0" w:type="pct"/>
                  <w:tcBorders>
                    <w:left w:val="single" w:color="auto" w:sz="4" w:space="0"/>
                    <w:right w:val="single" w:color="auto" w:sz="4" w:space="0"/>
                  </w:tcBorders>
                  <w:noWrap w:val="0"/>
                  <w:vAlign w:val="center"/>
                </w:tcPr>
                <w:p w14:paraId="16417F7E">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1" w:type="pct"/>
                  <w:tcBorders>
                    <w:top w:val="single" w:color="auto" w:sz="4" w:space="0"/>
                    <w:left w:val="single" w:color="auto" w:sz="4" w:space="0"/>
                  </w:tcBorders>
                  <w:noWrap w:val="0"/>
                  <w:vAlign w:val="center"/>
                </w:tcPr>
                <w:p w14:paraId="5C3D2E0C">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7D4261AD">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5E60F96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6CD9BC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034683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104" w:type="pct"/>
                  <w:tcBorders>
                    <w:right w:val="single" w:color="auto" w:sz="4" w:space="0"/>
                  </w:tcBorders>
                  <w:noWrap w:val="0"/>
                  <w:vAlign w:val="center"/>
                </w:tcPr>
                <w:p w14:paraId="28CF53CE">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4*2500</w:t>
                  </w:r>
                </w:p>
              </w:tc>
              <w:tc>
                <w:tcPr>
                  <w:tcW w:w="510" w:type="pct"/>
                  <w:tcBorders>
                    <w:right w:val="single" w:color="auto" w:sz="4" w:space="0"/>
                  </w:tcBorders>
                  <w:noWrap w:val="0"/>
                  <w:vAlign w:val="center"/>
                </w:tcPr>
                <w:p w14:paraId="637438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69B1A6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62DDE7E2">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2B3932B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7D320FB4">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7B5715E">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622EFE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104" w:type="pct"/>
                  <w:tcBorders>
                    <w:right w:val="single" w:color="auto" w:sz="4" w:space="0"/>
                  </w:tcBorders>
                  <w:noWrap w:val="0"/>
                  <w:vAlign w:val="center"/>
                </w:tcPr>
                <w:p w14:paraId="466D393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4*1600</w:t>
                  </w:r>
                </w:p>
              </w:tc>
              <w:tc>
                <w:tcPr>
                  <w:tcW w:w="510" w:type="pct"/>
                  <w:tcBorders>
                    <w:right w:val="single" w:color="auto" w:sz="4" w:space="0"/>
                  </w:tcBorders>
                  <w:noWrap w:val="0"/>
                  <w:vAlign w:val="center"/>
                </w:tcPr>
                <w:p w14:paraId="3DABF5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639FDE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0752AEE4">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607FA7BE">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7E0CACB5">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B7C09F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5064BE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104" w:type="pct"/>
                  <w:tcBorders>
                    <w:right w:val="single" w:color="auto" w:sz="4" w:space="0"/>
                  </w:tcBorders>
                  <w:noWrap w:val="0"/>
                  <w:vAlign w:val="center"/>
                </w:tcPr>
                <w:p w14:paraId="3463712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10" w:type="pct"/>
                  <w:tcBorders>
                    <w:right w:val="single" w:color="auto" w:sz="4" w:space="0"/>
                  </w:tcBorders>
                  <w:noWrap w:val="0"/>
                  <w:vAlign w:val="center"/>
                </w:tcPr>
                <w:p w14:paraId="1C0164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0" w:type="pct"/>
                  <w:tcBorders>
                    <w:left w:val="single" w:color="auto" w:sz="4" w:space="0"/>
                    <w:right w:val="single" w:color="auto" w:sz="4" w:space="0"/>
                  </w:tcBorders>
                  <w:noWrap w:val="0"/>
                  <w:vAlign w:val="center"/>
                </w:tcPr>
                <w:p w14:paraId="329EA5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1" w:type="pct"/>
                  <w:tcBorders>
                    <w:top w:val="single" w:color="auto" w:sz="4" w:space="0"/>
                    <w:left w:val="single" w:color="auto" w:sz="4" w:space="0"/>
                  </w:tcBorders>
                  <w:noWrap w:val="0"/>
                  <w:vAlign w:val="center"/>
                </w:tcPr>
                <w:p w14:paraId="7A661CE2">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0ACD2CC8">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5A5B0B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3AA7DA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66D6015F">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空气压力机</w:t>
                  </w:r>
                </w:p>
              </w:tc>
              <w:tc>
                <w:tcPr>
                  <w:tcW w:w="1104" w:type="pct"/>
                  <w:tcBorders>
                    <w:right w:val="single" w:color="auto" w:sz="4" w:space="0"/>
                  </w:tcBorders>
                  <w:noWrap w:val="0"/>
                  <w:vAlign w:val="center"/>
                </w:tcPr>
                <w:p w14:paraId="7F888E8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088BF27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0" w:type="pct"/>
                  <w:tcBorders>
                    <w:left w:val="single" w:color="auto" w:sz="4" w:space="0"/>
                    <w:right w:val="single" w:color="auto" w:sz="4" w:space="0"/>
                  </w:tcBorders>
                  <w:noWrap w:val="0"/>
                  <w:vAlign w:val="center"/>
                </w:tcPr>
                <w:p w14:paraId="673C6C1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1" w:type="pct"/>
                  <w:tcBorders>
                    <w:top w:val="single" w:color="auto" w:sz="4" w:space="0"/>
                    <w:left w:val="single" w:color="auto" w:sz="4" w:space="0"/>
                  </w:tcBorders>
                  <w:noWrap w:val="0"/>
                  <w:vAlign w:val="center"/>
                </w:tcPr>
                <w:p w14:paraId="7459B71A">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2CC4D3C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4569D78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71DADE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32888C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104" w:type="pct"/>
                  <w:tcBorders>
                    <w:right w:val="single" w:color="auto" w:sz="4" w:space="0"/>
                  </w:tcBorders>
                  <w:noWrap w:val="0"/>
                  <w:vAlign w:val="center"/>
                </w:tcPr>
                <w:p w14:paraId="7EE1BEF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4*2500</w:t>
                  </w:r>
                </w:p>
              </w:tc>
              <w:tc>
                <w:tcPr>
                  <w:tcW w:w="510" w:type="pct"/>
                  <w:tcBorders>
                    <w:right w:val="single" w:color="auto" w:sz="4" w:space="0"/>
                  </w:tcBorders>
                  <w:noWrap w:val="0"/>
                  <w:vAlign w:val="center"/>
                </w:tcPr>
                <w:p w14:paraId="41AE90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0939A8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19A6CB16">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12A5FB5A">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720DF3A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11CA0AFE">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55BE7E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104" w:type="pct"/>
                  <w:tcBorders>
                    <w:right w:val="single" w:color="auto" w:sz="4" w:space="0"/>
                  </w:tcBorders>
                  <w:noWrap w:val="0"/>
                  <w:vAlign w:val="center"/>
                </w:tcPr>
                <w:p w14:paraId="4686185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4*1600</w:t>
                  </w:r>
                </w:p>
              </w:tc>
              <w:tc>
                <w:tcPr>
                  <w:tcW w:w="510" w:type="pct"/>
                  <w:tcBorders>
                    <w:right w:val="single" w:color="auto" w:sz="4" w:space="0"/>
                  </w:tcBorders>
                  <w:noWrap w:val="0"/>
                  <w:vAlign w:val="center"/>
                </w:tcPr>
                <w:p w14:paraId="713CE5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0" w:type="pct"/>
                  <w:tcBorders>
                    <w:left w:val="single" w:color="auto" w:sz="4" w:space="0"/>
                    <w:right w:val="single" w:color="auto" w:sz="4" w:space="0"/>
                  </w:tcBorders>
                  <w:noWrap w:val="0"/>
                  <w:vAlign w:val="center"/>
                </w:tcPr>
                <w:p w14:paraId="0CA1FB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11" w:type="pct"/>
                  <w:tcBorders>
                    <w:top w:val="single" w:color="auto" w:sz="4" w:space="0"/>
                    <w:left w:val="single" w:color="auto" w:sz="4" w:space="0"/>
                  </w:tcBorders>
                  <w:noWrap w:val="0"/>
                  <w:vAlign w:val="center"/>
                </w:tcPr>
                <w:p w14:paraId="28AFE154">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091940C3">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0125233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C5EABD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DC7C6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104" w:type="pct"/>
                  <w:tcBorders>
                    <w:right w:val="single" w:color="auto" w:sz="4" w:space="0"/>
                  </w:tcBorders>
                  <w:noWrap w:val="0"/>
                  <w:vAlign w:val="center"/>
                </w:tcPr>
                <w:p w14:paraId="718A1E1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10" w:type="pct"/>
                  <w:tcBorders>
                    <w:right w:val="single" w:color="auto" w:sz="4" w:space="0"/>
                  </w:tcBorders>
                  <w:noWrap w:val="0"/>
                  <w:vAlign w:val="center"/>
                </w:tcPr>
                <w:p w14:paraId="16AC844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3</w:t>
                  </w:r>
                </w:p>
              </w:tc>
              <w:tc>
                <w:tcPr>
                  <w:tcW w:w="510" w:type="pct"/>
                  <w:tcBorders>
                    <w:left w:val="single" w:color="auto" w:sz="4" w:space="0"/>
                    <w:right w:val="single" w:color="auto" w:sz="4" w:space="0"/>
                  </w:tcBorders>
                  <w:noWrap w:val="0"/>
                  <w:vAlign w:val="center"/>
                </w:tcPr>
                <w:p w14:paraId="6BFCD4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3</w:t>
                  </w:r>
                </w:p>
              </w:tc>
              <w:tc>
                <w:tcPr>
                  <w:tcW w:w="511" w:type="pct"/>
                  <w:tcBorders>
                    <w:top w:val="single" w:color="auto" w:sz="4" w:space="0"/>
                    <w:left w:val="single" w:color="auto" w:sz="4" w:space="0"/>
                  </w:tcBorders>
                  <w:noWrap w:val="0"/>
                  <w:vAlign w:val="center"/>
                </w:tcPr>
                <w:p w14:paraId="3A768B9E">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6665CD7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58B3B91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7ED4470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79C19C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外圆抛光机</w:t>
                  </w:r>
                </w:p>
              </w:tc>
              <w:tc>
                <w:tcPr>
                  <w:tcW w:w="1104" w:type="pct"/>
                  <w:tcBorders>
                    <w:right w:val="single" w:color="auto" w:sz="4" w:space="0"/>
                  </w:tcBorders>
                  <w:noWrap w:val="0"/>
                  <w:vAlign w:val="center"/>
                </w:tcPr>
                <w:p w14:paraId="29B214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Y80M2-2</w:t>
                  </w:r>
                </w:p>
              </w:tc>
              <w:tc>
                <w:tcPr>
                  <w:tcW w:w="510" w:type="pct"/>
                  <w:tcBorders>
                    <w:right w:val="single" w:color="auto" w:sz="4" w:space="0"/>
                  </w:tcBorders>
                  <w:noWrap w:val="0"/>
                  <w:vAlign w:val="center"/>
                </w:tcPr>
                <w:p w14:paraId="7166A28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p>
              </w:tc>
              <w:tc>
                <w:tcPr>
                  <w:tcW w:w="510" w:type="pct"/>
                  <w:tcBorders>
                    <w:left w:val="single" w:color="auto" w:sz="4" w:space="0"/>
                    <w:right w:val="single" w:color="auto" w:sz="4" w:space="0"/>
                  </w:tcBorders>
                  <w:noWrap w:val="0"/>
                  <w:vAlign w:val="center"/>
                </w:tcPr>
                <w:p w14:paraId="570A4B6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p>
              </w:tc>
              <w:tc>
                <w:tcPr>
                  <w:tcW w:w="511" w:type="pct"/>
                  <w:tcBorders>
                    <w:top w:val="single" w:color="auto" w:sz="4" w:space="0"/>
                    <w:left w:val="single" w:color="auto" w:sz="4" w:space="0"/>
                  </w:tcBorders>
                  <w:noWrap w:val="0"/>
                  <w:vAlign w:val="center"/>
                </w:tcPr>
                <w:p w14:paraId="05CA0903">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30DFE6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7487913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D432CE7">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9AB984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毛刺机</w:t>
                  </w:r>
                </w:p>
              </w:tc>
              <w:tc>
                <w:tcPr>
                  <w:tcW w:w="1104" w:type="pct"/>
                  <w:tcBorders>
                    <w:right w:val="single" w:color="auto" w:sz="4" w:space="0"/>
                  </w:tcBorders>
                  <w:noWrap w:val="0"/>
                  <w:vAlign w:val="center"/>
                </w:tcPr>
                <w:p w14:paraId="568A52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FMCJ-2000NG</w:t>
                  </w:r>
                </w:p>
              </w:tc>
              <w:tc>
                <w:tcPr>
                  <w:tcW w:w="510" w:type="pct"/>
                  <w:tcBorders>
                    <w:right w:val="single" w:color="auto" w:sz="4" w:space="0"/>
                  </w:tcBorders>
                  <w:noWrap w:val="0"/>
                  <w:vAlign w:val="center"/>
                </w:tcPr>
                <w:p w14:paraId="2A58D69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06442CA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3ACEC6A7">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613A0B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6A71E7E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10DB0BF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077896C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切边机</w:t>
                  </w:r>
                </w:p>
              </w:tc>
              <w:tc>
                <w:tcPr>
                  <w:tcW w:w="1104" w:type="pct"/>
                  <w:tcBorders>
                    <w:right w:val="single" w:color="auto" w:sz="4" w:space="0"/>
                  </w:tcBorders>
                  <w:noWrap w:val="0"/>
                  <w:vAlign w:val="center"/>
                </w:tcPr>
                <w:p w14:paraId="50CFBDD3">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57996C5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58E918C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5E76D392">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4ABD99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65F0E074">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7487CFD">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0FD3D5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角磨机</w:t>
                  </w:r>
                </w:p>
              </w:tc>
              <w:tc>
                <w:tcPr>
                  <w:tcW w:w="1104" w:type="pct"/>
                  <w:tcBorders>
                    <w:right w:val="single" w:color="auto" w:sz="4" w:space="0"/>
                  </w:tcBorders>
                  <w:noWrap w:val="0"/>
                  <w:vAlign w:val="center"/>
                </w:tcPr>
                <w:p w14:paraId="172A85F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5E73E6A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15</w:t>
                  </w:r>
                </w:p>
              </w:tc>
              <w:tc>
                <w:tcPr>
                  <w:tcW w:w="510" w:type="pct"/>
                  <w:tcBorders>
                    <w:left w:val="single" w:color="auto" w:sz="4" w:space="0"/>
                    <w:right w:val="single" w:color="auto" w:sz="4" w:space="0"/>
                  </w:tcBorders>
                  <w:noWrap w:val="0"/>
                  <w:vAlign w:val="center"/>
                </w:tcPr>
                <w:p w14:paraId="211AA6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15</w:t>
                  </w:r>
                </w:p>
              </w:tc>
              <w:tc>
                <w:tcPr>
                  <w:tcW w:w="511" w:type="pct"/>
                  <w:tcBorders>
                    <w:top w:val="single" w:color="auto" w:sz="4" w:space="0"/>
                    <w:left w:val="single" w:color="auto" w:sz="4" w:space="0"/>
                  </w:tcBorders>
                  <w:noWrap w:val="0"/>
                  <w:vAlign w:val="center"/>
                </w:tcPr>
                <w:p w14:paraId="34C61367">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470146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107F4DD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4C1FECC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36187C32">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裁板锯</w:t>
                  </w:r>
                </w:p>
              </w:tc>
              <w:tc>
                <w:tcPr>
                  <w:tcW w:w="1104" w:type="pct"/>
                  <w:tcBorders>
                    <w:right w:val="single" w:color="auto" w:sz="4" w:space="0"/>
                  </w:tcBorders>
                  <w:noWrap w:val="0"/>
                  <w:vAlign w:val="center"/>
                </w:tcPr>
                <w:p w14:paraId="719B9C19">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55BAC80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6A7AE471">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3000FA30">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32CB3D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5AB476F">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1CC3D595">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2087823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曲直线封边机</w:t>
                  </w:r>
                </w:p>
              </w:tc>
              <w:tc>
                <w:tcPr>
                  <w:tcW w:w="1104" w:type="pct"/>
                  <w:tcBorders>
                    <w:right w:val="single" w:color="auto" w:sz="4" w:space="0"/>
                  </w:tcBorders>
                  <w:noWrap w:val="0"/>
                  <w:vAlign w:val="center"/>
                </w:tcPr>
                <w:p w14:paraId="430873F7">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436199A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5128884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67CB82B4">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6ABD7A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F6E096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680100B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2045E08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手提式气动打包机</w:t>
                  </w:r>
                </w:p>
              </w:tc>
              <w:tc>
                <w:tcPr>
                  <w:tcW w:w="1104" w:type="pct"/>
                  <w:tcBorders>
                    <w:right w:val="single" w:color="auto" w:sz="4" w:space="0"/>
                  </w:tcBorders>
                  <w:noWrap w:val="0"/>
                  <w:vAlign w:val="center"/>
                </w:tcPr>
                <w:p w14:paraId="68124E45">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6B803696">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7AD26893">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77F071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51DC297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3A92626A">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4CA527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2E352EE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磨齿机</w:t>
                  </w:r>
                </w:p>
              </w:tc>
              <w:tc>
                <w:tcPr>
                  <w:tcW w:w="1104" w:type="pct"/>
                  <w:tcBorders>
                    <w:right w:val="single" w:color="auto" w:sz="4" w:space="0"/>
                  </w:tcBorders>
                  <w:noWrap w:val="0"/>
                  <w:vAlign w:val="center"/>
                </w:tcPr>
                <w:p w14:paraId="0CD9E3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MG-450</w:t>
                  </w:r>
                </w:p>
              </w:tc>
              <w:tc>
                <w:tcPr>
                  <w:tcW w:w="510" w:type="pct"/>
                  <w:tcBorders>
                    <w:right w:val="single" w:color="auto" w:sz="4" w:space="0"/>
                  </w:tcBorders>
                  <w:noWrap w:val="0"/>
                  <w:vAlign w:val="center"/>
                </w:tcPr>
                <w:p w14:paraId="6A3D3842">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10" w:type="pct"/>
                  <w:tcBorders>
                    <w:left w:val="single" w:color="auto" w:sz="4" w:space="0"/>
                    <w:right w:val="single" w:color="auto" w:sz="4" w:space="0"/>
                  </w:tcBorders>
                  <w:noWrap w:val="0"/>
                  <w:vAlign w:val="center"/>
                </w:tcPr>
                <w:p w14:paraId="6F8486FB">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11" w:type="pct"/>
                  <w:tcBorders>
                    <w:top w:val="single" w:color="auto" w:sz="4" w:space="0"/>
                    <w:left w:val="single" w:color="auto" w:sz="4" w:space="0"/>
                  </w:tcBorders>
                  <w:noWrap w:val="0"/>
                  <w:vAlign w:val="center"/>
                </w:tcPr>
                <w:p w14:paraId="3EDC3360">
                  <w:pPr>
                    <w:keepNext w:val="0"/>
                    <w:keepLines w:val="0"/>
                    <w:widowControl/>
                    <w:suppressLineNumbers w:val="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38674E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323CE0F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4C6FE56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7BB73DC1">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砂轮机</w:t>
                  </w:r>
                </w:p>
              </w:tc>
              <w:tc>
                <w:tcPr>
                  <w:tcW w:w="1104" w:type="pct"/>
                  <w:tcBorders>
                    <w:right w:val="single" w:color="auto" w:sz="4" w:space="0"/>
                  </w:tcBorders>
                  <w:noWrap w:val="0"/>
                  <w:vAlign w:val="center"/>
                </w:tcPr>
                <w:p w14:paraId="03792179">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77D70461">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10" w:type="pct"/>
                  <w:tcBorders>
                    <w:left w:val="single" w:color="auto" w:sz="4" w:space="0"/>
                    <w:right w:val="single" w:color="auto" w:sz="4" w:space="0"/>
                  </w:tcBorders>
                  <w:noWrap w:val="0"/>
                  <w:vAlign w:val="center"/>
                </w:tcPr>
                <w:p w14:paraId="197B08CE">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11" w:type="pct"/>
                  <w:tcBorders>
                    <w:top w:val="single" w:color="auto" w:sz="4" w:space="0"/>
                    <w:left w:val="single" w:color="auto" w:sz="4" w:space="0"/>
                  </w:tcBorders>
                  <w:noWrap w:val="0"/>
                  <w:vAlign w:val="center"/>
                </w:tcPr>
                <w:p w14:paraId="204ADC11">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3B5188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0409EA1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50B12D9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0632B3F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锯片研磨机</w:t>
                  </w:r>
                </w:p>
              </w:tc>
              <w:tc>
                <w:tcPr>
                  <w:tcW w:w="1104" w:type="pct"/>
                  <w:tcBorders>
                    <w:right w:val="single" w:color="auto" w:sz="4" w:space="0"/>
                  </w:tcBorders>
                  <w:noWrap w:val="0"/>
                  <w:vAlign w:val="center"/>
                </w:tcPr>
                <w:p w14:paraId="3787B2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KL-270</w:t>
                  </w:r>
                </w:p>
              </w:tc>
              <w:tc>
                <w:tcPr>
                  <w:tcW w:w="510" w:type="pct"/>
                  <w:tcBorders>
                    <w:right w:val="single" w:color="auto" w:sz="4" w:space="0"/>
                  </w:tcBorders>
                  <w:noWrap w:val="0"/>
                  <w:vAlign w:val="center"/>
                </w:tcPr>
                <w:p w14:paraId="1DEB34CC">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10" w:type="pct"/>
                  <w:tcBorders>
                    <w:left w:val="single" w:color="auto" w:sz="4" w:space="0"/>
                    <w:right w:val="single" w:color="auto" w:sz="4" w:space="0"/>
                  </w:tcBorders>
                  <w:noWrap w:val="0"/>
                  <w:vAlign w:val="center"/>
                </w:tcPr>
                <w:p w14:paraId="40390893">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2BC1E374">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top w:val="single" w:color="auto" w:sz="4" w:space="0"/>
                    <w:left w:val="single" w:color="auto" w:sz="4" w:space="0"/>
                  </w:tcBorders>
                  <w:noWrap w:val="0"/>
                  <w:vAlign w:val="center"/>
                </w:tcPr>
                <w:p w14:paraId="478A6D0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588AE5C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2CB93AB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26448F77">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丝网印刷工作台</w:t>
                  </w:r>
                </w:p>
              </w:tc>
              <w:tc>
                <w:tcPr>
                  <w:tcW w:w="1104" w:type="pct"/>
                  <w:tcBorders>
                    <w:right w:val="single" w:color="auto" w:sz="4" w:space="0"/>
                  </w:tcBorders>
                  <w:noWrap w:val="0"/>
                  <w:vAlign w:val="center"/>
                </w:tcPr>
                <w:p w14:paraId="1D1E0107">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7DA59D01">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510" w:type="pct"/>
                  <w:tcBorders>
                    <w:left w:val="single" w:color="auto" w:sz="4" w:space="0"/>
                    <w:right w:val="single" w:color="auto" w:sz="4" w:space="0"/>
                  </w:tcBorders>
                  <w:noWrap w:val="0"/>
                  <w:vAlign w:val="center"/>
                </w:tcPr>
                <w:p w14:paraId="10575DBB">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11" w:type="pct"/>
                  <w:tcBorders>
                    <w:top w:val="single" w:color="auto" w:sz="4" w:space="0"/>
                    <w:left w:val="single" w:color="auto" w:sz="4" w:space="0"/>
                  </w:tcBorders>
                  <w:noWrap w:val="0"/>
                  <w:vAlign w:val="center"/>
                </w:tcPr>
                <w:p w14:paraId="79228D8B">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+2</w:t>
                  </w:r>
                </w:p>
              </w:tc>
              <w:tc>
                <w:tcPr>
                  <w:tcW w:w="648" w:type="pct"/>
                  <w:tcBorders>
                    <w:top w:val="single" w:color="auto" w:sz="4" w:space="0"/>
                    <w:left w:val="single" w:color="auto" w:sz="4" w:space="0"/>
                  </w:tcBorders>
                  <w:noWrap w:val="0"/>
                  <w:vAlign w:val="center"/>
                </w:tcPr>
                <w:p w14:paraId="142C20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新增</w:t>
                  </w:r>
                </w:p>
              </w:tc>
            </w:tr>
            <w:tr w14:paraId="028D005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B5C129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0C598E9D">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写真机</w:t>
                  </w:r>
                </w:p>
              </w:tc>
              <w:tc>
                <w:tcPr>
                  <w:tcW w:w="1104" w:type="pct"/>
                  <w:tcBorders>
                    <w:right w:val="single" w:color="auto" w:sz="4" w:space="0"/>
                  </w:tcBorders>
                  <w:noWrap w:val="0"/>
                  <w:vAlign w:val="center"/>
                </w:tcPr>
                <w:p w14:paraId="52E437D8">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38D251CB">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510" w:type="pct"/>
                  <w:tcBorders>
                    <w:left w:val="single" w:color="auto" w:sz="4" w:space="0"/>
                    <w:right w:val="single" w:color="auto" w:sz="4" w:space="0"/>
                  </w:tcBorders>
                  <w:noWrap w:val="0"/>
                  <w:vAlign w:val="center"/>
                </w:tcPr>
                <w:p w14:paraId="1C9CD4B9">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w:t>
                  </w:r>
                </w:p>
              </w:tc>
              <w:tc>
                <w:tcPr>
                  <w:tcW w:w="511" w:type="pct"/>
                  <w:tcBorders>
                    <w:top w:val="single" w:color="auto" w:sz="4" w:space="0"/>
                    <w:left w:val="single" w:color="auto" w:sz="4" w:space="0"/>
                  </w:tcBorders>
                  <w:noWrap w:val="0"/>
                  <w:vAlign w:val="center"/>
                </w:tcPr>
                <w:p w14:paraId="167F837D">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+3</w:t>
                  </w:r>
                </w:p>
              </w:tc>
              <w:tc>
                <w:tcPr>
                  <w:tcW w:w="648" w:type="pct"/>
                  <w:tcBorders>
                    <w:top w:val="single" w:color="auto" w:sz="4" w:space="0"/>
                    <w:left w:val="single" w:color="auto" w:sz="4" w:space="0"/>
                  </w:tcBorders>
                  <w:noWrap w:val="0"/>
                  <w:vAlign w:val="center"/>
                </w:tcPr>
                <w:p w14:paraId="2A854E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新增</w:t>
                  </w:r>
                </w:p>
              </w:tc>
            </w:tr>
            <w:tr w14:paraId="32F92297">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593B3C2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173384FF">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UV打印机</w:t>
                  </w:r>
                </w:p>
              </w:tc>
              <w:tc>
                <w:tcPr>
                  <w:tcW w:w="1104" w:type="pct"/>
                  <w:tcBorders>
                    <w:right w:val="single" w:color="auto" w:sz="4" w:space="0"/>
                  </w:tcBorders>
                  <w:noWrap w:val="0"/>
                  <w:vAlign w:val="center"/>
                </w:tcPr>
                <w:p w14:paraId="21F7102D">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62E5807A">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510" w:type="pct"/>
                  <w:tcBorders>
                    <w:left w:val="single" w:color="auto" w:sz="4" w:space="0"/>
                    <w:right w:val="single" w:color="auto" w:sz="4" w:space="0"/>
                  </w:tcBorders>
                  <w:noWrap w:val="0"/>
                  <w:vAlign w:val="center"/>
                </w:tcPr>
                <w:p w14:paraId="58F6169F">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5EF9A63C">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w:t>
                  </w:r>
                </w:p>
              </w:tc>
              <w:tc>
                <w:tcPr>
                  <w:tcW w:w="648" w:type="pct"/>
                  <w:tcBorders>
                    <w:top w:val="single" w:color="auto" w:sz="4" w:space="0"/>
                    <w:left w:val="single" w:color="auto" w:sz="4" w:space="0"/>
                  </w:tcBorders>
                  <w:noWrap w:val="0"/>
                  <w:vAlign w:val="center"/>
                </w:tcPr>
                <w:p w14:paraId="389D517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新增</w:t>
                  </w:r>
                </w:p>
              </w:tc>
            </w:tr>
            <w:tr w14:paraId="12A3EF1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55E1746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068" w:type="pct"/>
                  <w:noWrap w:val="0"/>
                  <w:vAlign w:val="center"/>
                </w:tcPr>
                <w:p w14:paraId="484ACF6E">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cs="Times New Roman" w:eastAsiaTheme="minorEastAsia"/>
                      <w:color w:val="FF0000"/>
                      <w:sz w:val="24"/>
                      <w:szCs w:val="24"/>
                      <w:lang w:val="en-US" w:eastAsia="zh-CN"/>
                    </w:rPr>
                    <w:t>清洗烘干一体机</w:t>
                  </w:r>
                </w:p>
              </w:tc>
              <w:tc>
                <w:tcPr>
                  <w:tcW w:w="1104" w:type="pct"/>
                  <w:tcBorders>
                    <w:right w:val="single" w:color="auto" w:sz="4" w:space="0"/>
                  </w:tcBorders>
                  <w:noWrap w:val="0"/>
                  <w:vAlign w:val="center"/>
                </w:tcPr>
                <w:p w14:paraId="2A5A0318">
                  <w:pPr>
                    <w:keepNext w:val="0"/>
                    <w:keepLines w:val="0"/>
                    <w:widowControl/>
                    <w:suppressLineNumbers w:val="0"/>
                    <w:jc w:val="center"/>
                    <w:textAlignment w:val="center"/>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2个清洗槽、1个烘干槽</w:t>
                  </w:r>
                </w:p>
              </w:tc>
              <w:tc>
                <w:tcPr>
                  <w:tcW w:w="510" w:type="pct"/>
                  <w:tcBorders>
                    <w:right w:val="single" w:color="auto" w:sz="4" w:space="0"/>
                  </w:tcBorders>
                  <w:noWrap w:val="0"/>
                  <w:vAlign w:val="center"/>
                </w:tcPr>
                <w:p w14:paraId="36CC9FDA">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u w:val="none"/>
                      <w:lang w:val="en-US" w:eastAsia="zh-CN" w:bidi="ar"/>
                    </w:rPr>
                  </w:pPr>
                  <w:r>
                    <w:rPr>
                      <w:rFonts w:hint="default" w:ascii="Times New Roman" w:hAnsi="Times New Roman" w:eastAsia="宋体" w:cs="Times New Roman"/>
                      <w:i w:val="0"/>
                      <w:color w:val="FF0000"/>
                      <w:kern w:val="0"/>
                      <w:sz w:val="21"/>
                      <w:szCs w:val="21"/>
                      <w:u w:val="none"/>
                      <w:lang w:val="en-US" w:eastAsia="zh-CN" w:bidi="ar"/>
                    </w:rPr>
                    <w:t>0</w:t>
                  </w:r>
                </w:p>
              </w:tc>
              <w:tc>
                <w:tcPr>
                  <w:tcW w:w="510" w:type="pct"/>
                  <w:tcBorders>
                    <w:left w:val="single" w:color="auto" w:sz="4" w:space="0"/>
                    <w:right w:val="single" w:color="auto" w:sz="4" w:space="0"/>
                  </w:tcBorders>
                  <w:noWrap w:val="0"/>
                  <w:vAlign w:val="center"/>
                </w:tcPr>
                <w:p w14:paraId="0FFC5B11">
                  <w:pPr>
                    <w:keepNext w:val="0"/>
                    <w:keepLines w:val="0"/>
                    <w:widowControl/>
                    <w:suppressLineNumbers w:val="0"/>
                    <w:jc w:val="center"/>
                    <w:textAlignment w:val="center"/>
                    <w:rPr>
                      <w:rFonts w:hint="default" w:ascii="Times New Roman" w:hAnsi="Times New Roman" w:eastAsia="宋体" w:cs="Times New Roman"/>
                      <w:i w:val="0"/>
                      <w:color w:val="FF0000"/>
                      <w:kern w:val="0"/>
                      <w:sz w:val="21"/>
                      <w:szCs w:val="21"/>
                      <w:u w:val="none"/>
                      <w:lang w:val="en-US" w:eastAsia="zh-CN" w:bidi="ar"/>
                    </w:rPr>
                  </w:pPr>
                  <w:r>
                    <w:rPr>
                      <w:rFonts w:hint="default" w:ascii="Times New Roman" w:hAnsi="Times New Roman" w:eastAsia="宋体" w:cs="Times New Roman"/>
                      <w:i w:val="0"/>
                      <w:color w:val="FF0000"/>
                      <w:kern w:val="0"/>
                      <w:sz w:val="21"/>
                      <w:szCs w:val="21"/>
                      <w:u w:val="none"/>
                      <w:lang w:val="en-US" w:eastAsia="zh-CN" w:bidi="ar"/>
                    </w:rPr>
                    <w:t>1</w:t>
                  </w:r>
                </w:p>
              </w:tc>
              <w:tc>
                <w:tcPr>
                  <w:tcW w:w="511" w:type="pct"/>
                  <w:tcBorders>
                    <w:top w:val="single" w:color="auto" w:sz="4" w:space="0"/>
                    <w:left w:val="single" w:color="auto" w:sz="4" w:space="0"/>
                  </w:tcBorders>
                  <w:noWrap w:val="0"/>
                  <w:vAlign w:val="center"/>
                </w:tcPr>
                <w:p w14:paraId="2969A2AC">
                  <w:pPr>
                    <w:keepNext w:val="0"/>
                    <w:keepLines w:val="0"/>
                    <w:widowControl/>
                    <w:suppressLineNumbers w:val="0"/>
                    <w:jc w:val="center"/>
                    <w:textAlignment w:val="center"/>
                    <w:rPr>
                      <w:rFonts w:hint="default" w:ascii="Times New Roman" w:hAnsi="Times New Roman" w:eastAsia="宋体" w:cs="Times New Roman"/>
                      <w:bCs/>
                      <w:color w:val="FF0000"/>
                      <w:sz w:val="21"/>
                      <w:szCs w:val="21"/>
                      <w:lang w:val="en-US" w:eastAsia="zh-CN"/>
                    </w:rPr>
                  </w:pPr>
                  <w:r>
                    <w:rPr>
                      <w:rFonts w:hint="default" w:ascii="Times New Roman" w:hAnsi="Times New Roman" w:eastAsia="宋体" w:cs="Times New Roman"/>
                      <w:bCs/>
                      <w:color w:val="FF0000"/>
                      <w:sz w:val="21"/>
                      <w:szCs w:val="21"/>
                      <w:lang w:val="en-US" w:eastAsia="zh-CN"/>
                    </w:rPr>
                    <w:t>+1</w:t>
                  </w:r>
                </w:p>
              </w:tc>
              <w:tc>
                <w:tcPr>
                  <w:tcW w:w="648" w:type="pct"/>
                  <w:tcBorders>
                    <w:top w:val="single" w:color="auto" w:sz="4" w:space="0"/>
                    <w:left w:val="single" w:color="auto" w:sz="4" w:space="0"/>
                  </w:tcBorders>
                  <w:noWrap w:val="0"/>
                  <w:vAlign w:val="center"/>
                </w:tcPr>
                <w:p w14:paraId="377963A3">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新增</w:t>
                  </w:r>
                </w:p>
              </w:tc>
            </w:tr>
            <w:tr w14:paraId="7DAC6C3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restart"/>
                  <w:noWrap w:val="0"/>
                  <w:vAlign w:val="center"/>
                </w:tcPr>
                <w:p w14:paraId="342392D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公辅设备</w:t>
                  </w:r>
                </w:p>
              </w:tc>
              <w:tc>
                <w:tcPr>
                  <w:tcW w:w="1068" w:type="pct"/>
                  <w:noWrap w:val="0"/>
                  <w:vAlign w:val="center"/>
                </w:tcPr>
                <w:p w14:paraId="043C13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空压机</w:t>
                  </w:r>
                </w:p>
              </w:tc>
              <w:tc>
                <w:tcPr>
                  <w:tcW w:w="1104" w:type="pct"/>
                  <w:tcBorders>
                    <w:right w:val="single" w:color="auto" w:sz="4" w:space="0"/>
                  </w:tcBorders>
                  <w:noWrap w:val="0"/>
                  <w:vAlign w:val="center"/>
                </w:tcPr>
                <w:p w14:paraId="7920C3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7F8A6A3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0" w:type="pct"/>
                  <w:tcBorders>
                    <w:left w:val="single" w:color="auto" w:sz="4" w:space="0"/>
                    <w:right w:val="single" w:color="auto" w:sz="4" w:space="0"/>
                  </w:tcBorders>
                  <w:noWrap w:val="0"/>
                  <w:vAlign w:val="center"/>
                </w:tcPr>
                <w:p w14:paraId="40253E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11" w:type="pct"/>
                  <w:tcBorders>
                    <w:left w:val="single" w:color="auto" w:sz="4" w:space="0"/>
                  </w:tcBorders>
                  <w:noWrap w:val="0"/>
                  <w:vAlign w:val="center"/>
                </w:tcPr>
                <w:p w14:paraId="30C496A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700F6AC0">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39CADF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098E6D9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068" w:type="pct"/>
                  <w:noWrap w:val="0"/>
                  <w:vAlign w:val="center"/>
                </w:tcPr>
                <w:p w14:paraId="5B6E2B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气泵</w:t>
                  </w:r>
                </w:p>
              </w:tc>
              <w:tc>
                <w:tcPr>
                  <w:tcW w:w="1104" w:type="pct"/>
                  <w:tcBorders>
                    <w:right w:val="single" w:color="auto" w:sz="4" w:space="0"/>
                  </w:tcBorders>
                  <w:noWrap w:val="0"/>
                  <w:vAlign w:val="center"/>
                </w:tcPr>
                <w:p w14:paraId="544CAEF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w:t>
                  </w:r>
                </w:p>
              </w:tc>
              <w:tc>
                <w:tcPr>
                  <w:tcW w:w="510" w:type="pct"/>
                  <w:tcBorders>
                    <w:right w:val="single" w:color="auto" w:sz="4" w:space="0"/>
                  </w:tcBorders>
                  <w:noWrap w:val="0"/>
                  <w:vAlign w:val="center"/>
                </w:tcPr>
                <w:p w14:paraId="7B92C3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0" w:type="pct"/>
                  <w:tcBorders>
                    <w:left w:val="single" w:color="auto" w:sz="4" w:space="0"/>
                    <w:right w:val="single" w:color="auto" w:sz="4" w:space="0"/>
                  </w:tcBorders>
                  <w:noWrap w:val="0"/>
                  <w:vAlign w:val="center"/>
                </w:tcPr>
                <w:p w14:paraId="1F6C27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1" w:type="pct"/>
                  <w:tcBorders>
                    <w:left w:val="single" w:color="auto" w:sz="4" w:space="0"/>
                  </w:tcBorders>
                  <w:noWrap w:val="0"/>
                  <w:vAlign w:val="center"/>
                </w:tcPr>
                <w:p w14:paraId="1C94A2D7">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6D118FB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043AEF5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115BBB6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068" w:type="pct"/>
                  <w:noWrap w:val="0"/>
                  <w:vAlign w:val="center"/>
                </w:tcPr>
                <w:p w14:paraId="1AF044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叉车</w:t>
                  </w:r>
                </w:p>
              </w:tc>
              <w:tc>
                <w:tcPr>
                  <w:tcW w:w="1104" w:type="pct"/>
                  <w:tcBorders>
                    <w:right w:val="single" w:color="auto" w:sz="4" w:space="0"/>
                  </w:tcBorders>
                  <w:noWrap w:val="0"/>
                  <w:vAlign w:val="center"/>
                </w:tcPr>
                <w:p w14:paraId="177CA73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3.5t</w:t>
                  </w:r>
                </w:p>
              </w:tc>
              <w:tc>
                <w:tcPr>
                  <w:tcW w:w="510" w:type="pct"/>
                  <w:tcBorders>
                    <w:right w:val="single" w:color="auto" w:sz="4" w:space="0"/>
                  </w:tcBorders>
                  <w:noWrap w:val="0"/>
                  <w:vAlign w:val="center"/>
                </w:tcPr>
                <w:p w14:paraId="69A1CB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0" w:type="pct"/>
                  <w:tcBorders>
                    <w:left w:val="single" w:color="auto" w:sz="4" w:space="0"/>
                    <w:right w:val="single" w:color="auto" w:sz="4" w:space="0"/>
                  </w:tcBorders>
                  <w:noWrap w:val="0"/>
                  <w:vAlign w:val="center"/>
                </w:tcPr>
                <w:p w14:paraId="1362F1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11" w:type="pct"/>
                  <w:tcBorders>
                    <w:left w:val="single" w:color="auto" w:sz="4" w:space="0"/>
                  </w:tcBorders>
                  <w:noWrap w:val="0"/>
                  <w:vAlign w:val="center"/>
                </w:tcPr>
                <w:p w14:paraId="7D317037">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6F0B0F8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r w14:paraId="2924BA6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647" w:type="pct"/>
                  <w:vMerge w:val="continue"/>
                  <w:noWrap w:val="0"/>
                  <w:vAlign w:val="center"/>
                </w:tcPr>
                <w:p w14:paraId="3C5DFA4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068" w:type="pct"/>
                  <w:noWrap w:val="0"/>
                  <w:vAlign w:val="center"/>
                </w:tcPr>
                <w:p w14:paraId="645E8A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储气罐</w:t>
                  </w:r>
                </w:p>
              </w:tc>
              <w:tc>
                <w:tcPr>
                  <w:tcW w:w="1104" w:type="pct"/>
                  <w:tcBorders>
                    <w:right w:val="single" w:color="auto" w:sz="4" w:space="0"/>
                  </w:tcBorders>
                  <w:noWrap w:val="0"/>
                  <w:vAlign w:val="center"/>
                </w:tcPr>
                <w:p w14:paraId="1B47E27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0.6</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510" w:type="pct"/>
                  <w:tcBorders>
                    <w:right w:val="single" w:color="auto" w:sz="4" w:space="0"/>
                  </w:tcBorders>
                  <w:noWrap w:val="0"/>
                  <w:vAlign w:val="center"/>
                </w:tcPr>
                <w:p w14:paraId="18CC39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0" w:type="pct"/>
                  <w:tcBorders>
                    <w:left w:val="single" w:color="auto" w:sz="4" w:space="0"/>
                    <w:right w:val="single" w:color="auto" w:sz="4" w:space="0"/>
                  </w:tcBorders>
                  <w:noWrap w:val="0"/>
                  <w:vAlign w:val="center"/>
                </w:tcPr>
                <w:p w14:paraId="221BA5C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11" w:type="pct"/>
                  <w:tcBorders>
                    <w:left w:val="single" w:color="auto" w:sz="4" w:space="0"/>
                  </w:tcBorders>
                  <w:noWrap w:val="0"/>
                  <w:vAlign w:val="center"/>
                </w:tcPr>
                <w:p w14:paraId="13B439F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w:t>
                  </w:r>
                </w:p>
              </w:tc>
              <w:tc>
                <w:tcPr>
                  <w:tcW w:w="648" w:type="pct"/>
                  <w:tcBorders>
                    <w:left w:val="single" w:color="auto" w:sz="4" w:space="0"/>
                  </w:tcBorders>
                  <w:noWrap w:val="0"/>
                  <w:vAlign w:val="center"/>
                </w:tcPr>
                <w:p w14:paraId="01A8A05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不变</w:t>
                  </w:r>
                </w:p>
              </w:tc>
            </w:tr>
          </w:tbl>
          <w:p w14:paraId="6BA83909">
            <w:pPr>
              <w:keepNext w:val="0"/>
              <w:keepLines w:val="0"/>
              <w:pageBreakBefore w:val="0"/>
              <w:widowControl w:val="0"/>
              <w:kinsoku/>
              <w:wordWrap/>
              <w:overflowPunct/>
              <w:topLinePunct w:val="0"/>
              <w:autoSpaceDE/>
              <w:autoSpaceDN/>
              <w:bidi w:val="0"/>
              <w:adjustRightInd w:val="0"/>
              <w:snapToGrid w:val="0"/>
              <w:spacing w:line="500" w:lineRule="exact"/>
              <w:ind w:left="0" w:right="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5</w:t>
            </w:r>
            <w:r>
              <w:rPr>
                <w:rFonts w:hint="default" w:ascii="Times New Roman" w:hAnsi="Times New Roman" w:eastAsia="宋体" w:cs="Times New Roman"/>
                <w:b/>
                <w:color w:val="auto"/>
                <w:sz w:val="24"/>
              </w:rPr>
              <w:t>、主体、公用、辅助、储运、环保及依托工程</w:t>
            </w:r>
          </w:p>
          <w:p w14:paraId="1A34973A">
            <w:pPr>
              <w:keepNext w:val="0"/>
              <w:keepLines w:val="0"/>
              <w:pageBreakBefore w:val="0"/>
              <w:kinsoku/>
              <w:wordWrap/>
              <w:overflowPunct/>
              <w:topLinePunct w:val="0"/>
              <w:bidi w:val="0"/>
              <w:adjustRightInd w:val="0"/>
              <w:snapToGrid w:val="0"/>
              <w:spacing w:line="500" w:lineRule="exact"/>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表2-5 本项目建成后全厂主体、公用、辅助、储运和环保工程一览表</w:t>
            </w:r>
          </w:p>
          <w:tbl>
            <w:tblPr>
              <w:tblStyle w:val="27"/>
              <w:tblW w:w="499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909"/>
              <w:gridCol w:w="1693"/>
              <w:gridCol w:w="1395"/>
              <w:gridCol w:w="1771"/>
              <w:gridCol w:w="1590"/>
            </w:tblGrid>
            <w:tr w14:paraId="17D4A9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0"/>
                  <w:vAlign w:val="center"/>
                </w:tcPr>
                <w:p w14:paraId="649EEC03">
                  <w:pPr>
                    <w:adjustRightInd w:val="0"/>
                    <w:snapToGrid w:val="0"/>
                    <w:spacing w:line="30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类别</w:t>
                  </w:r>
                </w:p>
              </w:tc>
              <w:tc>
                <w:tcPr>
                  <w:tcW w:w="568" w:type="pct"/>
                  <w:vMerge w:val="restart"/>
                  <w:noWrap w:val="0"/>
                  <w:vAlign w:val="center"/>
                </w:tcPr>
                <w:p w14:paraId="3FDC4F11">
                  <w:pPr>
                    <w:adjustRightInd w:val="0"/>
                    <w:snapToGrid w:val="0"/>
                    <w:spacing w:line="30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工程名称</w:t>
                  </w:r>
                </w:p>
              </w:tc>
              <w:tc>
                <w:tcPr>
                  <w:tcW w:w="3037" w:type="pct"/>
                  <w:gridSpan w:val="3"/>
                  <w:noWrap w:val="0"/>
                  <w:vAlign w:val="center"/>
                </w:tcPr>
                <w:p w14:paraId="7BA99FEB">
                  <w:pPr>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具体内容及能力</w:t>
                  </w:r>
                </w:p>
              </w:tc>
              <w:tc>
                <w:tcPr>
                  <w:tcW w:w="993" w:type="pct"/>
                  <w:vMerge w:val="restart"/>
                  <w:noWrap w:val="0"/>
                  <w:vAlign w:val="center"/>
                </w:tcPr>
                <w:p w14:paraId="5563E382">
                  <w:pPr>
                    <w:adjustRightInd w:val="0"/>
                    <w:snapToGrid w:val="0"/>
                    <w:spacing w:line="300" w:lineRule="exact"/>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备注</w:t>
                  </w:r>
                </w:p>
              </w:tc>
            </w:tr>
            <w:tr w14:paraId="1BD520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68AB5615">
                  <w:pPr>
                    <w:adjustRightInd w:val="0"/>
                    <w:snapToGrid w:val="0"/>
                    <w:spacing w:line="300" w:lineRule="exact"/>
                    <w:jc w:val="center"/>
                    <w:rPr>
                      <w:rFonts w:hint="default" w:ascii="Times New Roman" w:hAnsi="Times New Roman" w:eastAsia="宋体" w:cs="Times New Roman"/>
                      <w:b/>
                      <w:color w:val="auto"/>
                      <w:sz w:val="21"/>
                      <w:szCs w:val="21"/>
                    </w:rPr>
                  </w:pPr>
                </w:p>
              </w:tc>
              <w:tc>
                <w:tcPr>
                  <w:tcW w:w="568" w:type="pct"/>
                  <w:vMerge w:val="continue"/>
                  <w:noWrap w:val="0"/>
                  <w:vAlign w:val="center"/>
                </w:tcPr>
                <w:p w14:paraId="70A365BA">
                  <w:pPr>
                    <w:adjustRightInd w:val="0"/>
                    <w:snapToGrid w:val="0"/>
                    <w:spacing w:line="300" w:lineRule="exact"/>
                    <w:jc w:val="center"/>
                    <w:rPr>
                      <w:rFonts w:hint="default" w:ascii="Times New Roman" w:hAnsi="Times New Roman" w:eastAsia="宋体" w:cs="Times New Roman"/>
                      <w:b/>
                      <w:color w:val="auto"/>
                      <w:sz w:val="21"/>
                      <w:szCs w:val="21"/>
                    </w:rPr>
                  </w:pPr>
                </w:p>
              </w:tc>
              <w:tc>
                <w:tcPr>
                  <w:tcW w:w="1058" w:type="pct"/>
                  <w:noWrap w:val="0"/>
                  <w:vAlign w:val="center"/>
                </w:tcPr>
                <w:p w14:paraId="60D55AC8">
                  <w:pPr>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lang w:val="en-US" w:eastAsia="zh-CN"/>
                    </w:rPr>
                    <w:t>技改</w:t>
                  </w:r>
                  <w:r>
                    <w:rPr>
                      <w:rFonts w:hint="default" w:ascii="Times New Roman" w:hAnsi="Times New Roman" w:eastAsia="宋体" w:cs="Times New Roman"/>
                      <w:b/>
                      <w:bCs/>
                      <w:color w:val="auto"/>
                      <w:sz w:val="21"/>
                      <w:szCs w:val="21"/>
                    </w:rPr>
                    <w:t>前</w:t>
                  </w:r>
                </w:p>
              </w:tc>
              <w:tc>
                <w:tcPr>
                  <w:tcW w:w="872" w:type="pct"/>
                  <w:noWrap w:val="0"/>
                  <w:vAlign w:val="center"/>
                </w:tcPr>
                <w:p w14:paraId="7206D91D">
                  <w:pPr>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本项目</w:t>
                  </w:r>
                </w:p>
              </w:tc>
              <w:tc>
                <w:tcPr>
                  <w:tcW w:w="1107" w:type="pct"/>
                  <w:noWrap w:val="0"/>
                  <w:vAlign w:val="center"/>
                </w:tcPr>
                <w:p w14:paraId="3D163B16">
                  <w:pPr>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技改</w:t>
                  </w:r>
                  <w:r>
                    <w:rPr>
                      <w:rFonts w:hint="default" w:ascii="Times New Roman" w:hAnsi="Times New Roman" w:eastAsia="宋体" w:cs="Times New Roman"/>
                      <w:b/>
                      <w:bCs/>
                      <w:color w:val="auto"/>
                      <w:sz w:val="21"/>
                      <w:szCs w:val="21"/>
                    </w:rPr>
                    <w:t>后全厂</w:t>
                  </w:r>
                </w:p>
              </w:tc>
              <w:tc>
                <w:tcPr>
                  <w:tcW w:w="993" w:type="pct"/>
                  <w:vMerge w:val="continue"/>
                  <w:noWrap w:val="0"/>
                  <w:vAlign w:val="center"/>
                </w:tcPr>
                <w:p w14:paraId="71F5C342">
                  <w:pPr>
                    <w:adjustRightInd w:val="0"/>
                    <w:snapToGrid w:val="0"/>
                    <w:spacing w:line="300" w:lineRule="exact"/>
                    <w:jc w:val="center"/>
                    <w:rPr>
                      <w:rFonts w:hint="default" w:ascii="Times New Roman" w:hAnsi="Times New Roman" w:eastAsia="宋体" w:cs="Times New Roman"/>
                      <w:b/>
                      <w:color w:val="auto"/>
                      <w:sz w:val="21"/>
                      <w:szCs w:val="21"/>
                    </w:rPr>
                  </w:pPr>
                </w:p>
              </w:tc>
            </w:tr>
            <w:tr w14:paraId="43BEF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00" w:type="pct"/>
                  <w:noWrap w:val="0"/>
                  <w:vAlign w:val="center"/>
                </w:tcPr>
                <w:p w14:paraId="43DE3FF2">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568" w:type="pct"/>
                  <w:noWrap w:val="0"/>
                  <w:vAlign w:val="center"/>
                </w:tcPr>
                <w:p w14:paraId="2C933BD4">
                  <w:pPr>
                    <w:pStyle w:val="45"/>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车间</w:t>
                  </w:r>
                </w:p>
              </w:tc>
              <w:tc>
                <w:tcPr>
                  <w:tcW w:w="1058" w:type="pct"/>
                  <w:noWrap w:val="0"/>
                  <w:vAlign w:val="center"/>
                </w:tcPr>
                <w:p w14:paraId="587C9A22">
                  <w:pPr>
                    <w:spacing w:line="30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占地面积1800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建筑面积</w:t>
                  </w:r>
                  <w:r>
                    <w:rPr>
                      <w:rFonts w:hint="default" w:ascii="Times New Roman" w:hAnsi="Times New Roman" w:eastAsia="宋体" w:cs="Times New Roman"/>
                      <w:color w:val="auto"/>
                      <w:szCs w:val="21"/>
                      <w:lang w:val="en-US" w:eastAsia="zh-CN"/>
                    </w:rPr>
                    <w:t>3600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p>
              </w:tc>
              <w:tc>
                <w:tcPr>
                  <w:tcW w:w="872" w:type="pct"/>
                  <w:noWrap w:val="0"/>
                  <w:vAlign w:val="center"/>
                </w:tcPr>
                <w:p w14:paraId="65080A7A">
                  <w:pPr>
                    <w:pStyle w:val="7"/>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依托现有车间</w:t>
                  </w:r>
                </w:p>
              </w:tc>
              <w:tc>
                <w:tcPr>
                  <w:tcW w:w="1107" w:type="pct"/>
                  <w:noWrap w:val="0"/>
                  <w:vAlign w:val="center"/>
                </w:tcPr>
                <w:p w14:paraId="02C138FE">
                  <w:pPr>
                    <w:spacing w:line="30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占地面积1800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建筑面积</w:t>
                  </w:r>
                  <w:r>
                    <w:rPr>
                      <w:rFonts w:hint="default" w:ascii="Times New Roman" w:hAnsi="Times New Roman" w:eastAsia="宋体" w:cs="Times New Roman"/>
                      <w:color w:val="auto"/>
                      <w:szCs w:val="21"/>
                      <w:lang w:val="en-US" w:eastAsia="zh-CN"/>
                    </w:rPr>
                    <w:t>3600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p>
              </w:tc>
              <w:tc>
                <w:tcPr>
                  <w:tcW w:w="993" w:type="pct"/>
                  <w:noWrap w:val="0"/>
                  <w:vAlign w:val="center"/>
                </w:tcPr>
                <w:p w14:paraId="6DE2576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1F布置现有设备，2F西侧装配线，东侧</w:t>
                  </w:r>
                  <w:r>
                    <w:rPr>
                      <w:rFonts w:hint="default" w:ascii="Times New Roman" w:hAnsi="Times New Roman" w:eastAsia="宋体" w:cs="Times New Roman"/>
                      <w:color w:val="auto"/>
                      <w:szCs w:val="21"/>
                      <w:lang w:val="en-US" w:eastAsia="zh-CN"/>
                    </w:rPr>
                    <w:t>布设新增的</w:t>
                  </w:r>
                  <w:r>
                    <w:rPr>
                      <w:rFonts w:hint="default" w:ascii="Times New Roman" w:hAnsi="Times New Roman" w:eastAsia="宋体" w:cs="Times New Roman"/>
                      <w:i w:val="0"/>
                      <w:iCs w:val="0"/>
                      <w:color w:val="auto"/>
                      <w:kern w:val="0"/>
                      <w:sz w:val="21"/>
                      <w:szCs w:val="21"/>
                      <w:u w:val="none"/>
                      <w:lang w:val="en-US" w:eastAsia="zh-CN" w:bidi="ar"/>
                    </w:rPr>
                    <w:t>丝网印刷工作台、写真机和UV打印机</w:t>
                  </w:r>
                </w:p>
              </w:tc>
            </w:tr>
            <w:tr w14:paraId="7D6500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0"/>
                  <w:vAlign w:val="center"/>
                </w:tcPr>
                <w:p w14:paraId="3BED9718">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568" w:type="pct"/>
                  <w:noWrap w:val="0"/>
                  <w:vAlign w:val="center"/>
                </w:tcPr>
                <w:p w14:paraId="18393D57">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给水工程</w:t>
                  </w:r>
                </w:p>
              </w:tc>
              <w:tc>
                <w:tcPr>
                  <w:tcW w:w="1058" w:type="pct"/>
                  <w:noWrap w:val="0"/>
                  <w:vAlign w:val="center"/>
                </w:tcPr>
                <w:p w14:paraId="33C26143">
                  <w:pPr>
                    <w:adjustRightInd w:val="0"/>
                    <w:snapToGrid w:val="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lang w:val="en-US" w:eastAsia="zh-CN"/>
                    </w:rPr>
                    <w:t>用水1500</w:t>
                  </w:r>
                  <w:r>
                    <w:rPr>
                      <w:rFonts w:hint="eastAsia" w:cs="Times New Roman"/>
                      <w:color w:val="FF0000"/>
                      <w:sz w:val="21"/>
                      <w:szCs w:val="21"/>
                      <w:lang w:val="en-US" w:eastAsia="zh-CN"/>
                    </w:rPr>
                    <w:t>t/a</w:t>
                  </w:r>
                </w:p>
              </w:tc>
              <w:tc>
                <w:tcPr>
                  <w:tcW w:w="872" w:type="pct"/>
                  <w:noWrap w:val="0"/>
                  <w:vAlign w:val="center"/>
                </w:tcPr>
                <w:p w14:paraId="41158F65">
                  <w:pPr>
                    <w:adjustRightInd w:val="0"/>
                    <w:snapToGrid w:val="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lang w:val="en-US" w:eastAsia="zh-CN"/>
                    </w:rPr>
                    <w:t>用水</w:t>
                  </w:r>
                  <w:r>
                    <w:rPr>
                      <w:rFonts w:hint="eastAsia" w:ascii="Times New Roman" w:hAnsi="Times New Roman" w:eastAsia="宋体" w:cs="Times New Roman"/>
                      <w:color w:val="FF0000"/>
                      <w:lang w:val="en-US" w:eastAsia="zh-CN"/>
                    </w:rPr>
                    <w:t>9.2</w:t>
                  </w:r>
                  <w:r>
                    <w:rPr>
                      <w:rFonts w:hint="eastAsia" w:cs="Times New Roman"/>
                      <w:color w:val="FF0000"/>
                      <w:sz w:val="21"/>
                      <w:szCs w:val="21"/>
                      <w:lang w:val="en-US" w:eastAsia="zh-CN"/>
                    </w:rPr>
                    <w:t>t/a</w:t>
                  </w:r>
                </w:p>
              </w:tc>
              <w:tc>
                <w:tcPr>
                  <w:tcW w:w="1107" w:type="pct"/>
                  <w:noWrap w:val="0"/>
                  <w:vAlign w:val="center"/>
                </w:tcPr>
                <w:p w14:paraId="48D753AE">
                  <w:pPr>
                    <w:adjustRightInd w:val="0"/>
                    <w:snapToGrid w:val="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lang w:val="en-US" w:eastAsia="zh-CN"/>
                    </w:rPr>
                    <w:t>生活用水150</w:t>
                  </w:r>
                  <w:r>
                    <w:rPr>
                      <w:rFonts w:hint="eastAsia" w:cs="Times New Roman"/>
                      <w:color w:val="FF0000"/>
                      <w:lang w:val="en-US" w:eastAsia="zh-CN"/>
                    </w:rPr>
                    <w:t>9.2</w:t>
                  </w:r>
                  <w:r>
                    <w:rPr>
                      <w:rFonts w:hint="eastAsia" w:cs="Times New Roman"/>
                      <w:color w:val="FF0000"/>
                      <w:sz w:val="21"/>
                      <w:szCs w:val="21"/>
                      <w:lang w:val="en-US" w:eastAsia="zh-CN"/>
                    </w:rPr>
                    <w:t>t/a</w:t>
                  </w:r>
                </w:p>
              </w:tc>
              <w:tc>
                <w:tcPr>
                  <w:tcW w:w="993" w:type="pct"/>
                  <w:noWrap w:val="0"/>
                  <w:vAlign w:val="center"/>
                </w:tcPr>
                <w:p w14:paraId="44B019DA">
                  <w:pPr>
                    <w:adjustRightInd w:val="0"/>
                    <w:snapToGrid w:val="0"/>
                    <w:spacing w:line="300" w:lineRule="exact"/>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rPr>
                    <w:t>新增</w:t>
                  </w:r>
                  <w:r>
                    <w:rPr>
                      <w:rFonts w:hint="eastAsia" w:cs="Times New Roman"/>
                      <w:color w:val="FF0000"/>
                      <w:sz w:val="21"/>
                      <w:szCs w:val="21"/>
                      <w:lang w:val="en-US" w:eastAsia="zh-CN"/>
                    </w:rPr>
                    <w:t>清洗</w:t>
                  </w:r>
                  <w:r>
                    <w:rPr>
                      <w:rFonts w:hint="default" w:ascii="Times New Roman" w:hAnsi="Times New Roman" w:eastAsia="宋体" w:cs="Times New Roman"/>
                      <w:color w:val="FF0000"/>
                      <w:sz w:val="21"/>
                      <w:szCs w:val="21"/>
                    </w:rPr>
                    <w:t>用水</w:t>
                  </w:r>
                  <w:r>
                    <w:rPr>
                      <w:rFonts w:hint="eastAsia" w:cs="Times New Roman"/>
                      <w:color w:val="FF0000"/>
                      <w:sz w:val="21"/>
                      <w:szCs w:val="21"/>
                      <w:lang w:val="en-US" w:eastAsia="zh-CN"/>
                    </w:rPr>
                    <w:t>9.2t/a</w:t>
                  </w:r>
                </w:p>
              </w:tc>
            </w:tr>
            <w:tr w14:paraId="7C54D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40B4EF2D">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noWrap w:val="0"/>
                  <w:vAlign w:val="center"/>
                </w:tcPr>
                <w:p w14:paraId="44F8E447">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排水工程</w:t>
                  </w:r>
                </w:p>
              </w:tc>
              <w:tc>
                <w:tcPr>
                  <w:tcW w:w="1058" w:type="pct"/>
                  <w:noWrap w:val="0"/>
                  <w:vAlign w:val="center"/>
                </w:tcPr>
                <w:p w14:paraId="327B6FEE">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生活污水</w:t>
                  </w:r>
                  <w:r>
                    <w:rPr>
                      <w:rFonts w:hint="default" w:ascii="Times New Roman" w:hAnsi="Times New Roman" w:eastAsia="宋体" w:cs="Times New Roman"/>
                      <w:color w:val="auto"/>
                      <w:lang w:val="en-US" w:eastAsia="zh-CN"/>
                    </w:rPr>
                    <w:t>1200</w:t>
                  </w:r>
                  <w:r>
                    <w:rPr>
                      <w:rFonts w:hint="eastAsia" w:cs="Times New Roman"/>
                      <w:color w:val="auto"/>
                      <w:sz w:val="21"/>
                      <w:szCs w:val="21"/>
                      <w:lang w:val="en-US" w:eastAsia="zh-CN"/>
                    </w:rPr>
                    <w:t>t/a</w:t>
                  </w:r>
                </w:p>
              </w:tc>
              <w:tc>
                <w:tcPr>
                  <w:tcW w:w="872" w:type="pct"/>
                  <w:noWrap w:val="0"/>
                  <w:vAlign w:val="center"/>
                </w:tcPr>
                <w:p w14:paraId="1C313AD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w:t>
                  </w:r>
                </w:p>
              </w:tc>
              <w:tc>
                <w:tcPr>
                  <w:tcW w:w="1107" w:type="pct"/>
                  <w:noWrap w:val="0"/>
                  <w:vAlign w:val="center"/>
                </w:tcPr>
                <w:p w14:paraId="14D879B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生活污水</w:t>
                  </w:r>
                  <w:r>
                    <w:rPr>
                      <w:rFonts w:hint="default" w:ascii="Times New Roman" w:hAnsi="Times New Roman" w:eastAsia="宋体" w:cs="Times New Roman"/>
                      <w:color w:val="auto"/>
                      <w:lang w:val="en-US" w:eastAsia="zh-CN"/>
                    </w:rPr>
                    <w:t>1200</w:t>
                  </w:r>
                  <w:r>
                    <w:rPr>
                      <w:rFonts w:hint="eastAsia" w:cs="Times New Roman"/>
                      <w:color w:val="auto"/>
                      <w:sz w:val="21"/>
                      <w:szCs w:val="21"/>
                      <w:lang w:val="en-US" w:eastAsia="zh-CN"/>
                    </w:rPr>
                    <w:t>t/a</w:t>
                  </w:r>
                </w:p>
              </w:tc>
              <w:tc>
                <w:tcPr>
                  <w:tcW w:w="993" w:type="pct"/>
                  <w:noWrap w:val="0"/>
                  <w:vAlign w:val="center"/>
                </w:tcPr>
                <w:p w14:paraId="7FC8642D">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不</w:t>
                  </w:r>
                  <w:r>
                    <w:rPr>
                      <w:rFonts w:hint="default" w:ascii="Times New Roman" w:hAnsi="Times New Roman" w:eastAsia="宋体" w:cs="Times New Roman"/>
                      <w:color w:val="auto"/>
                      <w:sz w:val="21"/>
                      <w:szCs w:val="21"/>
                    </w:rPr>
                    <w:t>新增生活污水</w:t>
                  </w:r>
                </w:p>
              </w:tc>
            </w:tr>
            <w:tr w14:paraId="51CFA7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6F2379E2">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noWrap w:val="0"/>
                  <w:vAlign w:val="center"/>
                </w:tcPr>
                <w:p w14:paraId="53A239DF">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1058" w:type="pct"/>
                  <w:noWrap w:val="0"/>
                  <w:vAlign w:val="center"/>
                </w:tcPr>
                <w:p w14:paraId="6044ACF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val="en-US" w:eastAsia="zh-CN"/>
                    </w:rPr>
                    <w:t>8.5</w:t>
                  </w:r>
                  <w:r>
                    <w:rPr>
                      <w:rFonts w:hint="default" w:ascii="Times New Roman" w:hAnsi="Times New Roman" w:eastAsia="宋体" w:cs="Times New Roman"/>
                      <w:color w:val="auto"/>
                    </w:rPr>
                    <w:t>万</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rPr>
                    <w:t>/a</w:t>
                  </w:r>
                </w:p>
              </w:tc>
              <w:tc>
                <w:tcPr>
                  <w:tcW w:w="872" w:type="pct"/>
                  <w:noWrap w:val="0"/>
                  <w:vAlign w:val="center"/>
                </w:tcPr>
                <w:p w14:paraId="067492F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rPr>
                    <w:t>万</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rPr>
                    <w:t>/a</w:t>
                  </w:r>
                </w:p>
              </w:tc>
              <w:tc>
                <w:tcPr>
                  <w:tcW w:w="1107" w:type="pct"/>
                  <w:noWrap w:val="0"/>
                  <w:vAlign w:val="center"/>
                </w:tcPr>
                <w:p w14:paraId="1195CD4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9.5</w:t>
                  </w:r>
                  <w:r>
                    <w:rPr>
                      <w:rFonts w:hint="default" w:ascii="Times New Roman" w:hAnsi="Times New Roman" w:eastAsia="宋体" w:cs="Times New Roman"/>
                      <w:color w:val="auto"/>
                      <w:szCs w:val="21"/>
                    </w:rPr>
                    <w:t>万</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rPr>
                    <w:t>/a</w:t>
                  </w:r>
                </w:p>
              </w:tc>
              <w:tc>
                <w:tcPr>
                  <w:tcW w:w="993" w:type="pct"/>
                  <w:noWrap w:val="0"/>
                  <w:vAlign w:val="center"/>
                </w:tcPr>
                <w:p w14:paraId="61506189">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新增用电量</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万度/年</w:t>
                  </w:r>
                </w:p>
              </w:tc>
            </w:tr>
            <w:tr w14:paraId="27DD40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0"/>
                  <w:vAlign w:val="center"/>
                </w:tcPr>
                <w:p w14:paraId="115628E1">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贮运工程</w:t>
                  </w:r>
                </w:p>
              </w:tc>
              <w:tc>
                <w:tcPr>
                  <w:tcW w:w="568" w:type="pct"/>
                  <w:noWrap w:val="0"/>
                  <w:vAlign w:val="center"/>
                </w:tcPr>
                <w:p w14:paraId="0F0CA29E">
                  <w:pPr>
                    <w:pStyle w:val="4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原料仓库</w:t>
                  </w:r>
                </w:p>
              </w:tc>
              <w:tc>
                <w:tcPr>
                  <w:tcW w:w="1058" w:type="pct"/>
                  <w:noWrap w:val="0"/>
                  <w:vAlign w:val="center"/>
                </w:tcPr>
                <w:p w14:paraId="3B524394">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r>
                    <w:rPr>
                      <w:rFonts w:hint="default" w:ascii="Times New Roman" w:hAnsi="Times New Roman" w:eastAsia="宋体" w:cs="Times New Roman"/>
                      <w:color w:val="auto"/>
                      <w:sz w:val="21"/>
                      <w:szCs w:val="21"/>
                      <w:lang w:val="en-US" w:eastAsia="zh-CN"/>
                    </w:rPr>
                    <w:t>100</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872" w:type="pct"/>
                  <w:noWrap w:val="0"/>
                  <w:vAlign w:val="center"/>
                </w:tcPr>
                <w:p w14:paraId="1BD0C04C">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依托原有</w:t>
                  </w:r>
                </w:p>
              </w:tc>
              <w:tc>
                <w:tcPr>
                  <w:tcW w:w="1107" w:type="pct"/>
                  <w:noWrap w:val="0"/>
                  <w:vAlign w:val="center"/>
                </w:tcPr>
                <w:p w14:paraId="50969113">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r>
                    <w:rPr>
                      <w:rFonts w:hint="default" w:ascii="Times New Roman" w:hAnsi="Times New Roman" w:eastAsia="宋体" w:cs="Times New Roman"/>
                      <w:color w:val="auto"/>
                      <w:sz w:val="21"/>
                      <w:szCs w:val="21"/>
                      <w:lang w:val="en-US" w:eastAsia="zh-CN"/>
                    </w:rPr>
                    <w:t>100</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993" w:type="pct"/>
                  <w:noWrap w:val="0"/>
                  <w:vAlign w:val="center"/>
                </w:tcPr>
                <w:p w14:paraId="6B1ECBFC">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不新增</w:t>
                  </w:r>
                </w:p>
              </w:tc>
            </w:tr>
            <w:tr w14:paraId="2635D7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486EC4EE">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noWrap w:val="0"/>
                  <w:vAlign w:val="center"/>
                </w:tcPr>
                <w:p w14:paraId="00F0187E">
                  <w:pPr>
                    <w:pStyle w:val="4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成品仓库</w:t>
                  </w:r>
                </w:p>
              </w:tc>
              <w:tc>
                <w:tcPr>
                  <w:tcW w:w="1058" w:type="pct"/>
                  <w:noWrap w:val="0"/>
                  <w:vAlign w:val="center"/>
                </w:tcPr>
                <w:p w14:paraId="1F6AF098">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872" w:type="pct"/>
                  <w:noWrap w:val="0"/>
                  <w:vAlign w:val="center"/>
                </w:tcPr>
                <w:p w14:paraId="36C27B81">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依托原有</w:t>
                  </w:r>
                </w:p>
              </w:tc>
              <w:tc>
                <w:tcPr>
                  <w:tcW w:w="1107" w:type="pct"/>
                  <w:noWrap w:val="0"/>
                  <w:vAlign w:val="center"/>
                </w:tcPr>
                <w:p w14:paraId="19759E23">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993" w:type="pct"/>
                  <w:noWrap w:val="0"/>
                  <w:vAlign w:val="center"/>
                </w:tcPr>
                <w:p w14:paraId="1EA5C229">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不新增</w:t>
                  </w:r>
                </w:p>
              </w:tc>
            </w:tr>
            <w:tr w14:paraId="66CB7F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restart"/>
                  <w:noWrap w:val="0"/>
                  <w:vAlign w:val="center"/>
                </w:tcPr>
                <w:p w14:paraId="69CF4AE4">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568" w:type="pct"/>
                  <w:vMerge w:val="restart"/>
                  <w:noWrap w:val="0"/>
                  <w:vAlign w:val="center"/>
                </w:tcPr>
                <w:p w14:paraId="6BF76F49">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1058" w:type="pct"/>
                  <w:noWrap w:val="0"/>
                  <w:vAlign w:val="center"/>
                </w:tcPr>
                <w:p w14:paraId="76922360">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eastAsia="zh-CN"/>
                    </w:rPr>
                    <w:t>焊接烟尘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kern w:val="4"/>
                      <w:szCs w:val="21"/>
                      <w:highlight w:val="none"/>
                    </w:rPr>
                    <w:t>移动焊接烟尘净化处理器</w:t>
                  </w:r>
                </w:p>
              </w:tc>
              <w:tc>
                <w:tcPr>
                  <w:tcW w:w="872" w:type="pct"/>
                  <w:noWrap w:val="0"/>
                  <w:vAlign w:val="center"/>
                </w:tcPr>
                <w:p w14:paraId="5FF53029">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07" w:type="pct"/>
                  <w:noWrap w:val="0"/>
                  <w:vAlign w:val="center"/>
                </w:tcPr>
                <w:p w14:paraId="47301CBF">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eastAsia="zh-CN"/>
                    </w:rPr>
                    <w:t>焊接烟尘</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kern w:val="4"/>
                      <w:szCs w:val="21"/>
                      <w:highlight w:val="none"/>
                    </w:rPr>
                    <w:t>移动焊接烟尘净化处理器</w:t>
                  </w:r>
                </w:p>
              </w:tc>
              <w:tc>
                <w:tcPr>
                  <w:tcW w:w="993" w:type="pct"/>
                  <w:noWrap w:val="0"/>
                  <w:vAlign w:val="center"/>
                </w:tcPr>
                <w:p w14:paraId="4E42AFDE">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现有已建，</w:t>
                  </w:r>
                  <w:r>
                    <w:rPr>
                      <w:rFonts w:hint="default" w:ascii="Times New Roman" w:hAnsi="Times New Roman" w:eastAsia="宋体" w:cs="Times New Roman"/>
                      <w:color w:val="auto"/>
                      <w:sz w:val="21"/>
                      <w:szCs w:val="21"/>
                      <w:lang w:val="en-US" w:eastAsia="zh-CN"/>
                    </w:rPr>
                    <w:t>本次不涉及</w:t>
                  </w:r>
                </w:p>
              </w:tc>
            </w:tr>
            <w:tr w14:paraId="6DA091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31E0630C">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vMerge w:val="continue"/>
                  <w:noWrap w:val="0"/>
                  <w:vAlign w:val="center"/>
                </w:tcPr>
                <w:p w14:paraId="5E239EF0">
                  <w:pPr>
                    <w:spacing w:line="300" w:lineRule="exact"/>
                    <w:jc w:val="center"/>
                    <w:rPr>
                      <w:rFonts w:hint="default" w:ascii="Times New Roman" w:hAnsi="Times New Roman" w:eastAsia="宋体" w:cs="Times New Roman"/>
                      <w:color w:val="auto"/>
                      <w:sz w:val="21"/>
                      <w:szCs w:val="21"/>
                    </w:rPr>
                  </w:pPr>
                </w:p>
              </w:tc>
              <w:tc>
                <w:tcPr>
                  <w:tcW w:w="1058" w:type="pct"/>
                  <w:noWrap w:val="0"/>
                  <w:vAlign w:val="center"/>
                </w:tcPr>
                <w:p w14:paraId="2D087792">
                  <w:pPr>
                    <w:adjustRightInd w:val="0"/>
                    <w:snapToGrid w:val="0"/>
                    <w:spacing w:line="30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抛光粉尘：</w:t>
                  </w:r>
                  <w:r>
                    <w:rPr>
                      <w:rFonts w:hint="default" w:ascii="Times New Roman" w:hAnsi="Times New Roman" w:eastAsia="宋体" w:cs="Times New Roman"/>
                      <w:color w:val="auto"/>
                      <w:kern w:val="4"/>
                      <w:szCs w:val="21"/>
                      <w:highlight w:val="none"/>
                      <w:lang w:eastAsia="zh-CN"/>
                    </w:rPr>
                    <w:t>布袋除尘器</w:t>
                  </w:r>
                </w:p>
              </w:tc>
              <w:tc>
                <w:tcPr>
                  <w:tcW w:w="872" w:type="pct"/>
                  <w:noWrap w:val="0"/>
                  <w:vAlign w:val="center"/>
                </w:tcPr>
                <w:p w14:paraId="0FFD4F0B">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07" w:type="pct"/>
                  <w:noWrap w:val="0"/>
                  <w:vAlign w:val="center"/>
                </w:tcPr>
                <w:p w14:paraId="1EE2F6A8">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eastAsia="zh-CN"/>
                    </w:rPr>
                    <w:t>抛光粉尘：</w:t>
                  </w:r>
                  <w:r>
                    <w:rPr>
                      <w:rFonts w:hint="default" w:ascii="Times New Roman" w:hAnsi="Times New Roman" w:eastAsia="宋体" w:cs="Times New Roman"/>
                      <w:color w:val="auto"/>
                      <w:kern w:val="4"/>
                      <w:szCs w:val="21"/>
                      <w:highlight w:val="none"/>
                      <w:lang w:eastAsia="zh-CN"/>
                    </w:rPr>
                    <w:t>布袋除尘器</w:t>
                  </w:r>
                </w:p>
              </w:tc>
              <w:tc>
                <w:tcPr>
                  <w:tcW w:w="993" w:type="pct"/>
                  <w:noWrap w:val="0"/>
                  <w:vAlign w:val="center"/>
                </w:tcPr>
                <w:p w14:paraId="14984A16">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现有已建，</w:t>
                  </w:r>
                  <w:r>
                    <w:rPr>
                      <w:rFonts w:hint="default" w:ascii="Times New Roman" w:hAnsi="Times New Roman" w:eastAsia="宋体" w:cs="Times New Roman"/>
                      <w:color w:val="auto"/>
                      <w:sz w:val="21"/>
                      <w:szCs w:val="21"/>
                      <w:lang w:val="en-US" w:eastAsia="zh-CN"/>
                    </w:rPr>
                    <w:t>本次不涉及</w:t>
                  </w:r>
                </w:p>
              </w:tc>
            </w:tr>
            <w:tr w14:paraId="6D5FB6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2D83A74A">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vMerge w:val="continue"/>
                  <w:noWrap w:val="0"/>
                  <w:vAlign w:val="center"/>
                </w:tcPr>
                <w:p w14:paraId="4F700D11">
                  <w:pPr>
                    <w:spacing w:line="300" w:lineRule="exact"/>
                    <w:jc w:val="center"/>
                    <w:rPr>
                      <w:rFonts w:hint="default" w:ascii="Times New Roman" w:hAnsi="Times New Roman" w:eastAsia="宋体" w:cs="Times New Roman"/>
                      <w:color w:val="auto"/>
                      <w:sz w:val="21"/>
                      <w:szCs w:val="21"/>
                    </w:rPr>
                  </w:pPr>
                </w:p>
              </w:tc>
              <w:tc>
                <w:tcPr>
                  <w:tcW w:w="1058" w:type="pct"/>
                  <w:noWrap w:val="0"/>
                  <w:vAlign w:val="center"/>
                </w:tcPr>
                <w:p w14:paraId="4F5A6DFA">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食堂油烟：油烟净化器+</w:t>
                  </w:r>
                  <w:r>
                    <w:rPr>
                      <w:rFonts w:hint="default" w:ascii="Times New Roman" w:hAnsi="Times New Roman" w:eastAsia="宋体" w:cs="Times New Roman"/>
                      <w:color w:val="auto"/>
                      <w:sz w:val="21"/>
                      <w:szCs w:val="21"/>
                    </w:rPr>
                    <w:t>15</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rPr>
                    <w:t>高排气筒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DA001</w:t>
                  </w:r>
                  <w:r>
                    <w:rPr>
                      <w:rFonts w:hint="default" w:ascii="Times New Roman" w:hAnsi="Times New Roman" w:eastAsia="宋体" w:cs="Times New Roman"/>
                      <w:color w:val="auto"/>
                      <w:sz w:val="21"/>
                      <w:szCs w:val="21"/>
                      <w:lang w:eastAsia="zh-CN"/>
                    </w:rPr>
                    <w:t>）</w:t>
                  </w:r>
                </w:p>
              </w:tc>
              <w:tc>
                <w:tcPr>
                  <w:tcW w:w="872" w:type="pct"/>
                  <w:noWrap w:val="0"/>
                  <w:vAlign w:val="center"/>
                </w:tcPr>
                <w:p w14:paraId="213E51FE">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107" w:type="pct"/>
                  <w:noWrap w:val="0"/>
                  <w:vAlign w:val="center"/>
                </w:tcPr>
                <w:p w14:paraId="0BAA5F01">
                  <w:pPr>
                    <w:adjustRightInd w:val="0"/>
                    <w:snapToGrid w:val="0"/>
                    <w:spacing w:line="30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食堂油烟：油烟净化器</w:t>
                  </w:r>
                  <w:r>
                    <w:rPr>
                      <w:rFonts w:hint="default" w:ascii="Times New Roman" w:hAnsi="Times New Roman" w:eastAsia="宋体" w:cs="Times New Roman"/>
                      <w:color w:val="auto"/>
                      <w:sz w:val="21"/>
                      <w:szCs w:val="21"/>
                    </w:rPr>
                    <w:t>15</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rPr>
                    <w:t>高排气筒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DA001</w:t>
                  </w:r>
                  <w:r>
                    <w:rPr>
                      <w:rFonts w:hint="default" w:ascii="Times New Roman" w:hAnsi="Times New Roman" w:eastAsia="宋体" w:cs="Times New Roman"/>
                      <w:color w:val="auto"/>
                      <w:sz w:val="21"/>
                      <w:szCs w:val="21"/>
                      <w:lang w:eastAsia="zh-CN"/>
                    </w:rPr>
                    <w:t>）</w:t>
                  </w:r>
                </w:p>
              </w:tc>
              <w:tc>
                <w:tcPr>
                  <w:tcW w:w="993" w:type="pct"/>
                  <w:noWrap w:val="0"/>
                  <w:vAlign w:val="center"/>
                </w:tcPr>
                <w:p w14:paraId="099C14BA">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现有已建，</w:t>
                  </w:r>
                  <w:r>
                    <w:rPr>
                      <w:rFonts w:hint="default" w:ascii="Times New Roman" w:hAnsi="Times New Roman" w:eastAsia="宋体" w:cs="Times New Roman"/>
                      <w:color w:val="auto"/>
                      <w:sz w:val="21"/>
                      <w:szCs w:val="21"/>
                      <w:lang w:val="en-US" w:eastAsia="zh-CN"/>
                    </w:rPr>
                    <w:t>本次不涉及</w:t>
                  </w:r>
                </w:p>
              </w:tc>
            </w:tr>
            <w:tr w14:paraId="215A50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4796686C">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vMerge w:val="continue"/>
                  <w:noWrap w:val="0"/>
                  <w:vAlign w:val="center"/>
                </w:tcPr>
                <w:p w14:paraId="50DE138A">
                  <w:pPr>
                    <w:adjustRightInd w:val="0"/>
                    <w:snapToGrid w:val="0"/>
                    <w:spacing w:line="300" w:lineRule="exact"/>
                    <w:jc w:val="center"/>
                    <w:rPr>
                      <w:rFonts w:hint="default" w:ascii="Times New Roman" w:hAnsi="Times New Roman" w:eastAsia="宋体" w:cs="Times New Roman"/>
                      <w:color w:val="auto"/>
                      <w:sz w:val="21"/>
                      <w:szCs w:val="21"/>
                    </w:rPr>
                  </w:pPr>
                </w:p>
              </w:tc>
              <w:tc>
                <w:tcPr>
                  <w:tcW w:w="1058" w:type="pct"/>
                  <w:noWrap w:val="0"/>
                  <w:vAlign w:val="center"/>
                </w:tcPr>
                <w:p w14:paraId="01490D07">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872" w:type="pct"/>
                  <w:noWrap w:val="0"/>
                  <w:vAlign w:val="center"/>
                </w:tcPr>
                <w:p w14:paraId="10B60E7B">
                  <w:pPr>
                    <w:adjustRightInd w:val="0"/>
                    <w:snapToGrid w:val="0"/>
                    <w:spacing w:line="30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丝网印刷、UV打印、写真机</w:t>
                  </w:r>
                  <w:r>
                    <w:rPr>
                      <w:rFonts w:hint="default" w:ascii="Times New Roman" w:hAnsi="Times New Roman" w:eastAsia="宋体" w:cs="Times New Roman"/>
                      <w:color w:val="auto"/>
                      <w:kern w:val="2"/>
                      <w:sz w:val="21"/>
                      <w:szCs w:val="21"/>
                      <w:lang w:val="en-US" w:eastAsia="zh-CN" w:bidi="ar-SA"/>
                    </w:rPr>
                    <w:t>废气</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二级活性炭吸附</w:t>
                  </w:r>
                  <w:r>
                    <w:rPr>
                      <w:rFonts w:hint="default" w:ascii="Times New Roman" w:hAnsi="Times New Roman" w:eastAsia="宋体" w:cs="Times New Roman"/>
                      <w:bCs/>
                      <w:color w:val="auto"/>
                      <w:sz w:val="21"/>
                      <w:szCs w:val="21"/>
                      <w:lang w:val="en-US" w:eastAsia="zh-CN"/>
                    </w:rPr>
                    <w:t>+</w:t>
                  </w:r>
                  <w:r>
                    <w:rPr>
                      <w:rFonts w:hint="default" w:ascii="Times New Roman" w:hAnsi="Times New Roman" w:eastAsia="宋体" w:cs="Times New Roman"/>
                      <w:color w:val="auto"/>
                      <w:sz w:val="21"/>
                      <w:szCs w:val="21"/>
                    </w:rPr>
                    <w:t>15</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rPr>
                    <w:t>高排气筒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DA002</w:t>
                  </w:r>
                  <w:r>
                    <w:rPr>
                      <w:rFonts w:hint="default" w:ascii="Times New Roman" w:hAnsi="Times New Roman" w:eastAsia="宋体" w:cs="Times New Roman"/>
                      <w:color w:val="auto"/>
                      <w:sz w:val="21"/>
                      <w:szCs w:val="21"/>
                      <w:lang w:eastAsia="zh-CN"/>
                    </w:rPr>
                    <w:t>）</w:t>
                  </w:r>
                </w:p>
              </w:tc>
              <w:tc>
                <w:tcPr>
                  <w:tcW w:w="1107" w:type="pct"/>
                  <w:noWrap w:val="0"/>
                  <w:vAlign w:val="center"/>
                </w:tcPr>
                <w:p w14:paraId="00CF7598">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丝网印刷、UV打印、写真机</w:t>
                  </w:r>
                  <w:r>
                    <w:rPr>
                      <w:rFonts w:hint="default" w:ascii="Times New Roman" w:hAnsi="Times New Roman" w:eastAsia="宋体" w:cs="Times New Roman"/>
                      <w:color w:val="auto"/>
                      <w:kern w:val="2"/>
                      <w:sz w:val="21"/>
                      <w:szCs w:val="21"/>
                      <w:lang w:val="en-US" w:eastAsia="zh-CN" w:bidi="ar-SA"/>
                    </w:rPr>
                    <w:t>废气</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二级活性炭吸附</w:t>
                  </w:r>
                  <w:r>
                    <w:rPr>
                      <w:rFonts w:hint="default" w:ascii="Times New Roman" w:hAnsi="Times New Roman" w:eastAsia="宋体" w:cs="Times New Roman"/>
                      <w:bCs/>
                      <w:color w:val="auto"/>
                      <w:sz w:val="21"/>
                      <w:szCs w:val="21"/>
                      <w:lang w:val="en-US" w:eastAsia="zh-CN"/>
                    </w:rPr>
                    <w:t>+</w:t>
                  </w:r>
                  <w:r>
                    <w:rPr>
                      <w:rFonts w:hint="default" w:ascii="Times New Roman" w:hAnsi="Times New Roman" w:eastAsia="宋体" w:cs="Times New Roman"/>
                      <w:color w:val="auto"/>
                      <w:sz w:val="21"/>
                      <w:szCs w:val="21"/>
                    </w:rPr>
                    <w:t>15</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rPr>
                    <w:t>高排气筒</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DA002</w:t>
                  </w:r>
                  <w:r>
                    <w:rPr>
                      <w:rFonts w:hint="default" w:ascii="Times New Roman" w:hAnsi="Times New Roman" w:eastAsia="宋体" w:cs="Times New Roman"/>
                      <w:color w:val="auto"/>
                      <w:sz w:val="21"/>
                      <w:szCs w:val="21"/>
                      <w:lang w:eastAsia="zh-CN"/>
                    </w:rPr>
                    <w:t>）</w:t>
                  </w:r>
                </w:p>
              </w:tc>
              <w:tc>
                <w:tcPr>
                  <w:tcW w:w="993" w:type="pct"/>
                  <w:noWrap w:val="0"/>
                  <w:vAlign w:val="center"/>
                </w:tcPr>
                <w:p w14:paraId="5E76B83A">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w:t>
                  </w:r>
                </w:p>
              </w:tc>
            </w:tr>
            <w:tr w14:paraId="16E735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0318194F">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noWrap w:val="0"/>
                  <w:vAlign w:val="center"/>
                </w:tcPr>
                <w:p w14:paraId="29AE35D2">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037" w:type="pct"/>
                  <w:gridSpan w:val="3"/>
                  <w:noWrap w:val="0"/>
                  <w:vAlign w:val="center"/>
                </w:tcPr>
                <w:p w14:paraId="5642F431">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w:t>
                  </w:r>
                  <w:r>
                    <w:rPr>
                      <w:rFonts w:hint="default" w:ascii="Times New Roman" w:hAnsi="Times New Roman" w:eastAsia="宋体" w:cs="Times New Roman"/>
                      <w:color w:val="auto"/>
                      <w:sz w:val="21"/>
                      <w:szCs w:val="21"/>
                      <w:lang w:val="en-US" w:eastAsia="zh-CN"/>
                    </w:rPr>
                    <w:t>依托出租方</w:t>
                  </w:r>
                  <w:r>
                    <w:rPr>
                      <w:rFonts w:hint="default" w:ascii="Times New Roman" w:hAnsi="Times New Roman" w:eastAsia="宋体" w:cs="Times New Roman"/>
                      <w:color w:val="auto"/>
                      <w:sz w:val="21"/>
                      <w:szCs w:val="21"/>
                    </w:rPr>
                    <w:t>化粪池</w:t>
                  </w:r>
                </w:p>
              </w:tc>
              <w:tc>
                <w:tcPr>
                  <w:tcW w:w="993" w:type="pct"/>
                  <w:noWrap w:val="0"/>
                  <w:vAlign w:val="center"/>
                </w:tcPr>
                <w:p w14:paraId="5FF0F5FF">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44815B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05EFBAA0">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noWrap w:val="0"/>
                  <w:vAlign w:val="center"/>
                </w:tcPr>
                <w:p w14:paraId="76CEF414">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3037" w:type="pct"/>
                  <w:gridSpan w:val="3"/>
                  <w:noWrap w:val="0"/>
                  <w:vAlign w:val="center"/>
                </w:tcPr>
                <w:p w14:paraId="3D68A213">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选购低噪声设备，隔声、减震、</w:t>
                  </w:r>
                  <w:r>
                    <w:rPr>
                      <w:rFonts w:hint="default" w:ascii="Times New Roman" w:hAnsi="Times New Roman" w:eastAsia="宋体" w:cs="Times New Roman"/>
                      <w:color w:val="auto"/>
                      <w:sz w:val="21"/>
                      <w:szCs w:val="21"/>
                      <w:lang w:val="en-US" w:eastAsia="zh-CN"/>
                    </w:rPr>
                    <w:t>合理布局</w:t>
                  </w:r>
                  <w:r>
                    <w:rPr>
                      <w:rFonts w:hint="default" w:ascii="Times New Roman" w:hAnsi="Times New Roman" w:eastAsia="宋体" w:cs="Times New Roman"/>
                      <w:color w:val="auto"/>
                      <w:sz w:val="21"/>
                      <w:szCs w:val="21"/>
                    </w:rPr>
                    <w:t>等噪声污染</w:t>
                  </w:r>
                  <w:r>
                    <w:rPr>
                      <w:rFonts w:hint="default" w:ascii="Times New Roman" w:hAnsi="Times New Roman" w:eastAsia="宋体" w:cs="Times New Roman"/>
                      <w:color w:val="auto"/>
                      <w:sz w:val="21"/>
                      <w:szCs w:val="21"/>
                      <w:shd w:val="clear" w:fill="auto"/>
                    </w:rPr>
                    <w:t>防治</w:t>
                  </w:r>
                  <w:r>
                    <w:rPr>
                      <w:rFonts w:hint="default" w:ascii="Times New Roman" w:hAnsi="Times New Roman" w:eastAsia="宋体" w:cs="Times New Roman"/>
                      <w:color w:val="auto"/>
                      <w:sz w:val="21"/>
                      <w:szCs w:val="21"/>
                    </w:rPr>
                    <w:t>措施</w:t>
                  </w:r>
                </w:p>
              </w:tc>
              <w:tc>
                <w:tcPr>
                  <w:tcW w:w="993" w:type="pct"/>
                  <w:noWrap w:val="0"/>
                  <w:vAlign w:val="center"/>
                </w:tcPr>
                <w:p w14:paraId="145F8664">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达标排放</w:t>
                  </w:r>
                </w:p>
              </w:tc>
            </w:tr>
            <w:tr w14:paraId="65B9F8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71BAB035">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vMerge w:val="restart"/>
                  <w:noWrap w:val="0"/>
                  <w:vAlign w:val="center"/>
                </w:tcPr>
                <w:p w14:paraId="13AE5195">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1058" w:type="pct"/>
                  <w:noWrap w:val="0"/>
                  <w:vAlign w:val="center"/>
                </w:tcPr>
                <w:p w14:paraId="10D7F495">
                  <w:pPr>
                    <w:adjustRightInd w:val="0"/>
                    <w:snapToGrid w:val="0"/>
                    <w:spacing w:line="30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现有已验收危废</w:t>
                  </w:r>
                  <w:r>
                    <w:rPr>
                      <w:rFonts w:hint="default" w:ascii="Times New Roman" w:hAnsi="Times New Roman" w:eastAsia="宋体" w:cs="Times New Roman"/>
                      <w:bCs/>
                      <w:color w:val="auto"/>
                      <w:sz w:val="21"/>
                      <w:szCs w:val="21"/>
                      <w:lang w:val="en-US" w:eastAsia="zh-CN"/>
                    </w:rPr>
                    <w:t>仓库6</w:t>
                  </w:r>
                  <w:r>
                    <w:rPr>
                      <w:rFonts w:hint="default" w:ascii="Times New Roman" w:hAnsi="Times New Roman" w:eastAsia="宋体" w:cs="Times New Roman"/>
                      <w:bCs/>
                      <w:color w:val="auto"/>
                      <w:sz w:val="21"/>
                      <w:szCs w:val="21"/>
                      <w:lang w:eastAsia="zh-CN"/>
                    </w:rPr>
                    <w:t>m</w:t>
                  </w:r>
                  <w:r>
                    <w:rPr>
                      <w:rFonts w:hint="default" w:ascii="Times New Roman" w:hAnsi="Times New Roman" w:eastAsia="宋体" w:cs="Times New Roman"/>
                      <w:bCs/>
                      <w:color w:val="auto"/>
                      <w:sz w:val="21"/>
                      <w:szCs w:val="21"/>
                      <w:vertAlign w:val="superscript"/>
                    </w:rPr>
                    <w:t>2</w:t>
                  </w:r>
                </w:p>
              </w:tc>
              <w:tc>
                <w:tcPr>
                  <w:tcW w:w="1979" w:type="pct"/>
                  <w:gridSpan w:val="2"/>
                  <w:noWrap w:val="0"/>
                  <w:vAlign w:val="center"/>
                </w:tcPr>
                <w:p w14:paraId="44EE6778">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扩建</w:t>
                  </w:r>
                  <w:r>
                    <w:rPr>
                      <w:rFonts w:hint="default" w:ascii="Times New Roman" w:hAnsi="Times New Roman" w:eastAsia="宋体" w:cs="Times New Roman"/>
                      <w:bCs/>
                      <w:color w:val="auto"/>
                      <w:sz w:val="21"/>
                      <w:szCs w:val="21"/>
                    </w:rPr>
                    <w:t>危废</w:t>
                  </w:r>
                  <w:r>
                    <w:rPr>
                      <w:rFonts w:hint="default" w:ascii="Times New Roman" w:hAnsi="Times New Roman" w:eastAsia="宋体" w:cs="Times New Roman"/>
                      <w:bCs/>
                      <w:color w:val="auto"/>
                      <w:sz w:val="21"/>
                      <w:szCs w:val="21"/>
                      <w:lang w:val="en-US" w:eastAsia="zh-CN"/>
                    </w:rPr>
                    <w:t>仓库至</w:t>
                  </w:r>
                  <w:r>
                    <w:rPr>
                      <w:rFonts w:hint="default"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993" w:type="pct"/>
                  <w:noWrap w:val="0"/>
                  <w:vAlign w:val="center"/>
                </w:tcPr>
                <w:p w14:paraId="7B78490D">
                  <w:pPr>
                    <w:adjustRightInd w:val="0"/>
                    <w:snapToGrid w:val="0"/>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扩建现有</w:t>
                  </w:r>
                  <w:r>
                    <w:rPr>
                      <w:rFonts w:hint="default" w:ascii="Times New Roman" w:hAnsi="Times New Roman" w:eastAsia="宋体" w:cs="Times New Roman"/>
                      <w:bCs/>
                      <w:color w:val="auto"/>
                      <w:sz w:val="21"/>
                      <w:szCs w:val="21"/>
                    </w:rPr>
                    <w:t>危废</w:t>
                  </w:r>
                  <w:r>
                    <w:rPr>
                      <w:rFonts w:hint="default" w:ascii="Times New Roman" w:hAnsi="Times New Roman" w:eastAsia="宋体" w:cs="Times New Roman"/>
                      <w:bCs/>
                      <w:color w:val="auto"/>
                      <w:sz w:val="21"/>
                      <w:szCs w:val="21"/>
                      <w:lang w:val="en-US" w:eastAsia="zh-CN"/>
                    </w:rPr>
                    <w:t>仓库</w:t>
                  </w:r>
                </w:p>
              </w:tc>
            </w:tr>
            <w:tr w14:paraId="326B05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vMerge w:val="continue"/>
                  <w:noWrap w:val="0"/>
                  <w:vAlign w:val="center"/>
                </w:tcPr>
                <w:p w14:paraId="37B07976">
                  <w:pPr>
                    <w:adjustRightInd w:val="0"/>
                    <w:snapToGrid w:val="0"/>
                    <w:spacing w:line="300" w:lineRule="exact"/>
                    <w:jc w:val="center"/>
                    <w:rPr>
                      <w:rFonts w:hint="default" w:ascii="Times New Roman" w:hAnsi="Times New Roman" w:eastAsia="宋体" w:cs="Times New Roman"/>
                      <w:color w:val="auto"/>
                      <w:sz w:val="21"/>
                      <w:szCs w:val="21"/>
                    </w:rPr>
                  </w:pPr>
                </w:p>
              </w:tc>
              <w:tc>
                <w:tcPr>
                  <w:tcW w:w="568" w:type="pct"/>
                  <w:vMerge w:val="continue"/>
                  <w:noWrap w:val="0"/>
                  <w:vAlign w:val="center"/>
                </w:tcPr>
                <w:p w14:paraId="7FCCACC4">
                  <w:pPr>
                    <w:spacing w:line="300" w:lineRule="exact"/>
                    <w:jc w:val="center"/>
                    <w:rPr>
                      <w:rFonts w:hint="default" w:ascii="Times New Roman" w:hAnsi="Times New Roman" w:eastAsia="宋体" w:cs="Times New Roman"/>
                      <w:color w:val="auto"/>
                      <w:sz w:val="21"/>
                      <w:szCs w:val="21"/>
                    </w:rPr>
                  </w:pPr>
                </w:p>
              </w:tc>
              <w:tc>
                <w:tcPr>
                  <w:tcW w:w="1058" w:type="pct"/>
                  <w:noWrap w:val="0"/>
                  <w:vAlign w:val="center"/>
                </w:tcPr>
                <w:p w14:paraId="0F884067">
                  <w:pPr>
                    <w:adjustRightInd w:val="0"/>
                    <w:snapToGrid w:val="0"/>
                    <w:spacing w:line="30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现有已验收一般固废</w:t>
                  </w:r>
                  <w:r>
                    <w:rPr>
                      <w:rFonts w:hint="default" w:ascii="Times New Roman" w:hAnsi="Times New Roman" w:eastAsia="宋体" w:cs="Times New Roman"/>
                      <w:bCs/>
                      <w:color w:val="auto"/>
                      <w:sz w:val="21"/>
                      <w:szCs w:val="21"/>
                      <w:lang w:val="en-US" w:eastAsia="zh-CN"/>
                    </w:rPr>
                    <w:t>仓库15</w:t>
                  </w:r>
                  <w:r>
                    <w:rPr>
                      <w:rFonts w:hint="default" w:ascii="Times New Roman" w:hAnsi="Times New Roman" w:eastAsia="宋体" w:cs="Times New Roman"/>
                      <w:bCs/>
                      <w:color w:val="auto"/>
                      <w:sz w:val="21"/>
                      <w:szCs w:val="21"/>
                      <w:lang w:eastAsia="zh-CN"/>
                    </w:rPr>
                    <w:t>m</w:t>
                  </w:r>
                  <w:r>
                    <w:rPr>
                      <w:rFonts w:hint="default" w:ascii="Times New Roman" w:hAnsi="Times New Roman" w:eastAsia="宋体" w:cs="Times New Roman"/>
                      <w:bCs/>
                      <w:color w:val="auto"/>
                      <w:sz w:val="21"/>
                      <w:szCs w:val="21"/>
                      <w:vertAlign w:val="superscript"/>
                    </w:rPr>
                    <w:t>2</w:t>
                  </w:r>
                </w:p>
              </w:tc>
              <w:tc>
                <w:tcPr>
                  <w:tcW w:w="872" w:type="pct"/>
                  <w:noWrap w:val="0"/>
                  <w:vAlign w:val="center"/>
                </w:tcPr>
                <w:p w14:paraId="742228AC">
                  <w:pPr>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Cs/>
                      <w:color w:val="auto"/>
                      <w:sz w:val="21"/>
                      <w:szCs w:val="21"/>
                      <w:lang w:val="en-US" w:eastAsia="zh-CN"/>
                    </w:rPr>
                    <w:t>/</w:t>
                  </w:r>
                </w:p>
              </w:tc>
              <w:tc>
                <w:tcPr>
                  <w:tcW w:w="1107" w:type="pct"/>
                  <w:noWrap w:val="0"/>
                  <w:vAlign w:val="center"/>
                </w:tcPr>
                <w:p w14:paraId="7AA51B9D">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eastAsia="zh-CN"/>
                    </w:rPr>
                    <w:t>一般固废</w:t>
                  </w:r>
                  <w:r>
                    <w:rPr>
                      <w:rFonts w:hint="default" w:ascii="Times New Roman" w:hAnsi="Times New Roman" w:eastAsia="宋体" w:cs="Times New Roman"/>
                      <w:bCs/>
                      <w:color w:val="auto"/>
                      <w:sz w:val="21"/>
                      <w:szCs w:val="21"/>
                      <w:lang w:val="en-US" w:eastAsia="zh-CN"/>
                    </w:rPr>
                    <w:t>仓库</w:t>
                  </w:r>
                  <w:r>
                    <w:rPr>
                      <w:rFonts w:hint="default" w:ascii="Times New Roman" w:hAnsi="Times New Roman" w:eastAsia="宋体" w:cs="Times New Roman"/>
                      <w:color w:val="auto"/>
                      <w:sz w:val="21"/>
                      <w:szCs w:val="21"/>
                      <w:lang w:val="en-US" w:eastAsia="zh-CN"/>
                    </w:rPr>
                    <w:t>15</w:t>
                  </w:r>
                  <w:r>
                    <w:rPr>
                      <w:rFonts w:hint="default" w:ascii="Times New Roman" w:hAnsi="Times New Roman" w:eastAsia="宋体" w:cs="Times New Roman"/>
                      <w:color w:val="auto"/>
                      <w:sz w:val="21"/>
                      <w:szCs w:val="21"/>
                      <w:lang w:eastAsia="zh-CN"/>
                    </w:rPr>
                    <w:t>m</w:t>
                  </w:r>
                  <w:r>
                    <w:rPr>
                      <w:rFonts w:hint="default" w:ascii="Times New Roman" w:hAnsi="Times New Roman" w:eastAsia="宋体" w:cs="Times New Roman"/>
                      <w:color w:val="auto"/>
                      <w:sz w:val="21"/>
                      <w:szCs w:val="21"/>
                      <w:vertAlign w:val="superscript"/>
                    </w:rPr>
                    <w:t>2</w:t>
                  </w:r>
                </w:p>
              </w:tc>
              <w:tc>
                <w:tcPr>
                  <w:tcW w:w="993" w:type="pct"/>
                  <w:noWrap w:val="0"/>
                  <w:vAlign w:val="center"/>
                </w:tcPr>
                <w:p w14:paraId="7D0331E7">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不新增</w:t>
                  </w:r>
                </w:p>
              </w:tc>
            </w:tr>
            <w:tr w14:paraId="5945C9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0" w:type="pct"/>
                  <w:noWrap w:val="0"/>
                  <w:vAlign w:val="center"/>
                </w:tcPr>
                <w:p w14:paraId="0337C57B">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风险防控</w:t>
                  </w:r>
                </w:p>
              </w:tc>
              <w:tc>
                <w:tcPr>
                  <w:tcW w:w="568" w:type="pct"/>
                  <w:noWrap w:val="0"/>
                  <w:vAlign w:val="center"/>
                </w:tcPr>
                <w:p w14:paraId="71F33C80">
                  <w:pPr>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事故应急池</w:t>
                  </w:r>
                </w:p>
              </w:tc>
              <w:tc>
                <w:tcPr>
                  <w:tcW w:w="1058" w:type="pct"/>
                  <w:noWrap w:val="0"/>
                  <w:vAlign w:val="center"/>
                </w:tcPr>
                <w:p w14:paraId="64A7E59A">
                  <w:pPr>
                    <w:adjustRightInd w:val="0"/>
                    <w:snapToGrid w:val="0"/>
                    <w:spacing w:line="30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w:t>
                  </w:r>
                </w:p>
              </w:tc>
              <w:tc>
                <w:tcPr>
                  <w:tcW w:w="1979" w:type="pct"/>
                  <w:gridSpan w:val="2"/>
                  <w:noWrap w:val="0"/>
                  <w:vAlign w:val="center"/>
                </w:tcPr>
                <w:p w14:paraId="2196049E">
                  <w:pPr>
                    <w:snapToGri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新建40m</w:t>
                  </w:r>
                  <w:r>
                    <w:rPr>
                      <w:rFonts w:hint="default" w:ascii="Times New Roman" w:hAnsi="Times New Roman" w:eastAsia="宋体" w:cs="Times New Roman"/>
                      <w:bCs/>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事故应急池</w:t>
                  </w:r>
                </w:p>
              </w:tc>
              <w:tc>
                <w:tcPr>
                  <w:tcW w:w="993" w:type="pct"/>
                  <w:noWrap w:val="0"/>
                  <w:vAlign w:val="center"/>
                </w:tcPr>
                <w:p w14:paraId="22A5EFF2">
                  <w:pPr>
                    <w:adjustRightInd w:val="0"/>
                    <w:snapToGrid w:val="0"/>
                    <w:spacing w:line="30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以新带老</w:t>
                  </w:r>
                </w:p>
              </w:tc>
            </w:tr>
          </w:tbl>
          <w:p w14:paraId="6531C4FC">
            <w:pPr>
              <w:keepNext w:val="0"/>
              <w:keepLines w:val="0"/>
              <w:pageBreakBefore w:val="0"/>
              <w:widowControl w:val="0"/>
              <w:numPr>
                <w:ilvl w:val="0"/>
                <w:numId w:val="2"/>
              </w:numPr>
              <w:kinsoku/>
              <w:wordWrap/>
              <w:overflowPunct/>
              <w:topLinePunct w:val="0"/>
              <w:autoSpaceDE/>
              <w:autoSpaceDN/>
              <w:bidi w:val="0"/>
              <w:snapToGrid w:val="0"/>
              <w:spacing w:line="360" w:lineRule="auto"/>
              <w:textAlignment w:val="auto"/>
              <w:rPr>
                <w:rFonts w:hint="eastAsia" w:cs="Times New Roman"/>
                <w:b/>
                <w:color w:val="auto"/>
                <w:sz w:val="24"/>
                <w:szCs w:val="24"/>
                <w:lang w:val="en-US" w:eastAsia="zh-CN"/>
              </w:rPr>
            </w:pPr>
            <w:r>
              <w:rPr>
                <w:rFonts w:hint="eastAsia" w:cs="Times New Roman"/>
                <w:b/>
                <w:color w:val="auto"/>
                <w:sz w:val="24"/>
                <w:szCs w:val="24"/>
                <w:lang w:val="en-US" w:eastAsia="zh-CN"/>
              </w:rPr>
              <w:t>水平衡</w:t>
            </w:r>
          </w:p>
          <w:p w14:paraId="318A61AE">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FF0000"/>
                <w:sz w:val="24"/>
                <w:szCs w:val="24"/>
                <w:lang w:val="en-US" w:eastAsia="zh-CN"/>
              </w:rPr>
              <w:t>本项目</w:t>
            </w:r>
            <w:r>
              <w:rPr>
                <w:rFonts w:hint="eastAsia" w:ascii="Times New Roman" w:hAnsi="Times New Roman" w:cs="Times New Roman" w:eastAsiaTheme="minorEastAsia"/>
                <w:color w:val="FF0000"/>
                <w:sz w:val="24"/>
                <w:szCs w:val="24"/>
                <w:lang w:val="en-US" w:eastAsia="zh-CN"/>
              </w:rPr>
              <w:t>不新增员工，不新增生活污水</w:t>
            </w:r>
            <w:r>
              <w:rPr>
                <w:rFonts w:hint="default" w:ascii="Times New Roman" w:hAnsi="Times New Roman" w:cs="Times New Roman" w:eastAsiaTheme="minorEastAsia"/>
                <w:color w:val="FF0000"/>
                <w:sz w:val="24"/>
                <w:szCs w:val="24"/>
                <w:lang w:val="en-US" w:eastAsia="zh-CN"/>
              </w:rPr>
              <w:t>。</w:t>
            </w:r>
            <w:r>
              <w:rPr>
                <w:rFonts w:hint="eastAsia" w:ascii="Times New Roman" w:hAnsi="Times New Roman" w:cs="Times New Roman" w:eastAsiaTheme="minorEastAsia"/>
                <w:color w:val="FF0000"/>
                <w:sz w:val="24"/>
                <w:szCs w:val="24"/>
                <w:lang w:val="en-US" w:eastAsia="zh-CN"/>
              </w:rPr>
              <w:t>项目用水主要为清洗用水</w:t>
            </w:r>
            <w:r>
              <w:rPr>
                <w:rFonts w:hint="default" w:ascii="Times New Roman" w:hAnsi="Times New Roman" w:cs="Times New Roman" w:eastAsiaTheme="minorEastAsia"/>
                <w:color w:val="FF0000"/>
                <w:sz w:val="24"/>
                <w:szCs w:val="24"/>
                <w:lang w:val="en-US" w:eastAsia="zh-CN"/>
              </w:rPr>
              <w:t>。</w:t>
            </w:r>
          </w:p>
          <w:p w14:paraId="745E11D1">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FF0000"/>
                <w:sz w:val="24"/>
                <w:szCs w:val="24"/>
                <w:lang w:val="en-US" w:eastAsia="zh-CN"/>
              </w:rPr>
              <w:t>项目</w:t>
            </w:r>
            <w:r>
              <w:rPr>
                <w:rFonts w:hint="eastAsia" w:ascii="Times New Roman" w:hAnsi="Times New Roman" w:cs="Times New Roman" w:eastAsiaTheme="minorEastAsia"/>
                <w:color w:val="FF0000"/>
                <w:sz w:val="24"/>
                <w:szCs w:val="24"/>
                <w:lang w:val="en-US" w:eastAsia="zh-CN"/>
              </w:rPr>
              <w:t>工件清洗</w:t>
            </w:r>
            <w:r>
              <w:rPr>
                <w:rFonts w:hint="default" w:ascii="Times New Roman" w:hAnsi="Times New Roman" w:cs="Times New Roman" w:eastAsiaTheme="minorEastAsia"/>
                <w:color w:val="FF0000"/>
                <w:sz w:val="24"/>
                <w:szCs w:val="24"/>
                <w:lang w:val="en-US" w:eastAsia="zh-CN"/>
              </w:rPr>
              <w:t>工序使用</w:t>
            </w:r>
            <w:r>
              <w:rPr>
                <w:rFonts w:hint="eastAsia" w:ascii="Times New Roman" w:hAnsi="Times New Roman" w:cs="Times New Roman" w:eastAsiaTheme="minorEastAsia"/>
                <w:color w:val="FF0000"/>
                <w:sz w:val="24"/>
                <w:szCs w:val="24"/>
                <w:lang w:val="en-US" w:eastAsia="zh-CN"/>
              </w:rPr>
              <w:t>新鲜水</w:t>
            </w:r>
            <w:r>
              <w:rPr>
                <w:rFonts w:hint="default" w:ascii="Times New Roman" w:hAnsi="Times New Roman" w:cs="Times New Roman" w:eastAsiaTheme="minorEastAsia"/>
                <w:color w:val="FF0000"/>
                <w:sz w:val="24"/>
                <w:szCs w:val="24"/>
                <w:lang w:val="en-US" w:eastAsia="zh-CN"/>
              </w:rPr>
              <w:t>，设置</w:t>
            </w:r>
            <w:r>
              <w:rPr>
                <w:rFonts w:hint="eastAsia" w:ascii="Times New Roman" w:hAnsi="Times New Roman" w:cs="Times New Roman" w:eastAsiaTheme="minorEastAsia"/>
                <w:color w:val="FF0000"/>
                <w:sz w:val="24"/>
                <w:szCs w:val="24"/>
                <w:lang w:val="en-US" w:eastAsia="zh-CN"/>
              </w:rPr>
              <w:t>1</w:t>
            </w:r>
            <w:r>
              <w:rPr>
                <w:rFonts w:hint="default" w:ascii="Times New Roman" w:hAnsi="Times New Roman" w:cs="Times New Roman" w:eastAsiaTheme="minorEastAsia"/>
                <w:color w:val="FF0000"/>
                <w:sz w:val="24"/>
                <w:szCs w:val="24"/>
                <w:lang w:val="en-US" w:eastAsia="zh-CN"/>
              </w:rPr>
              <w:t>台清洗烘干一体机，</w:t>
            </w:r>
            <w:r>
              <w:rPr>
                <w:rFonts w:hint="eastAsia" w:ascii="Times New Roman" w:hAnsi="Times New Roman" w:cs="Times New Roman" w:eastAsiaTheme="minorEastAsia"/>
                <w:color w:val="FF0000"/>
                <w:sz w:val="24"/>
                <w:szCs w:val="24"/>
                <w:lang w:val="en-US" w:eastAsia="zh-CN"/>
              </w:rPr>
              <w:t>清洗</w:t>
            </w:r>
            <w:r>
              <w:rPr>
                <w:rFonts w:hint="default" w:ascii="Times New Roman" w:hAnsi="Times New Roman" w:cs="Times New Roman" w:eastAsiaTheme="minorEastAsia"/>
                <w:color w:val="FF0000"/>
                <w:sz w:val="24"/>
                <w:szCs w:val="24"/>
                <w:lang w:val="en-US" w:eastAsia="zh-CN"/>
              </w:rPr>
              <w:t>水利用水槽收集后循环使用，3天更换1次。清洗烘干一体机</w:t>
            </w:r>
            <w:r>
              <w:rPr>
                <w:rFonts w:hint="eastAsia" w:cs="Times New Roman" w:eastAsiaTheme="minorEastAsia"/>
                <w:color w:val="FF0000"/>
                <w:sz w:val="24"/>
                <w:szCs w:val="24"/>
                <w:lang w:val="en-US" w:eastAsia="zh-CN"/>
              </w:rPr>
              <w:t>内</w:t>
            </w:r>
            <w:r>
              <w:rPr>
                <w:rFonts w:hint="default" w:ascii="Times New Roman" w:hAnsi="Times New Roman" w:cs="Times New Roman" w:eastAsiaTheme="minorEastAsia"/>
                <w:color w:val="FF0000"/>
                <w:sz w:val="24"/>
                <w:szCs w:val="24"/>
                <w:lang w:val="en-US" w:eastAsia="zh-CN"/>
              </w:rPr>
              <w:t>设1个容积为</w:t>
            </w:r>
            <w:r>
              <w:rPr>
                <w:rFonts w:hint="eastAsia" w:cs="Times New Roman" w:eastAsiaTheme="minorEastAsia"/>
                <w:color w:val="FF0000"/>
                <w:sz w:val="24"/>
                <w:szCs w:val="24"/>
                <w:lang w:val="en-US" w:eastAsia="zh-CN"/>
              </w:rPr>
              <w:t>1</w:t>
            </w:r>
            <w:r>
              <w:rPr>
                <w:rFonts w:hint="default" w:ascii="Times New Roman" w:hAnsi="Times New Roman" w:cs="Times New Roman" w:eastAsiaTheme="minorEastAsia"/>
                <w:color w:val="FF0000"/>
                <w:sz w:val="24"/>
                <w:szCs w:val="24"/>
                <w:lang w:val="en-US" w:eastAsia="zh-CN"/>
              </w:rPr>
              <w:t>00L</w:t>
            </w:r>
            <w:r>
              <w:rPr>
                <w:rFonts w:hint="eastAsia" w:cs="Times New Roman" w:eastAsiaTheme="minorEastAsia"/>
                <w:color w:val="FF0000"/>
                <w:sz w:val="24"/>
                <w:szCs w:val="24"/>
                <w:lang w:val="en-US" w:eastAsia="zh-CN"/>
              </w:rPr>
              <w:t>的</w:t>
            </w:r>
            <w:r>
              <w:rPr>
                <w:rFonts w:hint="default" w:ascii="Times New Roman" w:hAnsi="Times New Roman" w:cs="Times New Roman" w:eastAsiaTheme="minorEastAsia"/>
                <w:color w:val="FF0000"/>
                <w:sz w:val="24"/>
                <w:szCs w:val="24"/>
                <w:lang w:val="en-US" w:eastAsia="zh-CN"/>
              </w:rPr>
              <w:t>水槽，槽液量为槽体体积的80%，则清洗烘干一体机</w:t>
            </w:r>
            <w:r>
              <w:rPr>
                <w:rFonts w:hint="eastAsia" w:ascii="Times New Roman" w:hAnsi="Times New Roman" w:cs="Times New Roman" w:eastAsiaTheme="minorEastAsia"/>
                <w:color w:val="FF0000"/>
                <w:sz w:val="24"/>
                <w:szCs w:val="24"/>
                <w:lang w:val="en-US" w:eastAsia="zh-CN"/>
              </w:rPr>
              <w:t>清洗</w:t>
            </w:r>
            <w:r>
              <w:rPr>
                <w:rFonts w:hint="default" w:ascii="Times New Roman" w:hAnsi="Times New Roman" w:cs="Times New Roman" w:eastAsiaTheme="minorEastAsia"/>
                <w:color w:val="FF0000"/>
                <w:sz w:val="24"/>
                <w:szCs w:val="24"/>
                <w:lang w:val="en-US" w:eastAsia="zh-CN"/>
              </w:rPr>
              <w:t>废水产生量约为</w:t>
            </w:r>
            <w:r>
              <w:rPr>
                <w:rFonts w:hint="eastAsia" w:ascii="Times New Roman" w:hAnsi="Times New Roman" w:cs="Times New Roman" w:eastAsiaTheme="minorEastAsia"/>
                <w:color w:val="FF0000"/>
                <w:sz w:val="24"/>
                <w:szCs w:val="24"/>
                <w:lang w:val="en-US" w:eastAsia="zh-CN"/>
              </w:rPr>
              <w:t>8</w:t>
            </w:r>
            <w:r>
              <w:rPr>
                <w:rFonts w:hint="default" w:ascii="Times New Roman" w:hAnsi="Times New Roman" w:cs="Times New Roman" w:eastAsiaTheme="minorEastAsia"/>
                <w:color w:val="FF0000"/>
                <w:sz w:val="24"/>
                <w:szCs w:val="24"/>
                <w:lang w:val="en-US" w:eastAsia="zh-CN"/>
              </w:rPr>
              <w:t>t/a</w:t>
            </w:r>
            <w:r>
              <w:rPr>
                <w:rFonts w:hint="eastAsia" w:ascii="Times New Roman" w:hAnsi="Times New Roman" w:cs="Times New Roman" w:eastAsiaTheme="minorEastAsia"/>
                <w:color w:val="FF0000"/>
                <w:sz w:val="24"/>
                <w:szCs w:val="24"/>
                <w:lang w:val="en-US" w:eastAsia="zh-CN"/>
              </w:rPr>
              <w:t>，作为危废委托资质单位处理。</w:t>
            </w:r>
          </w:p>
          <w:p w14:paraId="5200DC12">
            <w:pPr>
              <w:pStyle w:val="86"/>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FF0000"/>
                <w:sz w:val="24"/>
                <w:szCs w:val="24"/>
                <w:lang w:val="en-US" w:eastAsia="zh-CN"/>
              </w:rPr>
              <w:t>清洗过程中清洗水每天因工件带走和蒸发损耗约为池容的5%，项目运行时间约300天，则清洗烘干一体机补充水量</w:t>
            </w:r>
            <w:r>
              <w:rPr>
                <w:rFonts w:hint="eastAsia" w:cs="Times New Roman" w:eastAsiaTheme="minorEastAsia"/>
                <w:color w:val="FF0000"/>
                <w:sz w:val="24"/>
                <w:szCs w:val="24"/>
                <w:lang w:val="en-US" w:eastAsia="zh-CN"/>
              </w:rPr>
              <w:t>1.2</w:t>
            </w:r>
            <w:r>
              <w:rPr>
                <w:rFonts w:hint="default" w:ascii="Times New Roman" w:hAnsi="Times New Roman" w:cs="Times New Roman" w:eastAsiaTheme="minorEastAsia"/>
                <w:color w:val="FF0000"/>
                <w:sz w:val="24"/>
                <w:szCs w:val="24"/>
                <w:lang w:val="en-US" w:eastAsia="zh-CN"/>
              </w:rPr>
              <w:t>t/a</w:t>
            </w:r>
            <w:r>
              <w:rPr>
                <w:rFonts w:hint="eastAsia" w:ascii="Times New Roman" w:hAnsi="Times New Roman" w:cs="Times New Roman" w:eastAsiaTheme="minorEastAsia"/>
                <w:color w:val="FF0000"/>
                <w:sz w:val="24"/>
                <w:szCs w:val="24"/>
                <w:lang w:val="en-US" w:eastAsia="zh-CN"/>
              </w:rPr>
              <w:t>。</w:t>
            </w:r>
          </w:p>
          <w:p w14:paraId="743A24F9">
            <w:pPr>
              <w:pStyle w:val="86"/>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Cs/>
                <w:color w:val="FF0000"/>
                <w:kern w:val="2"/>
                <w:sz w:val="24"/>
                <w:szCs w:val="24"/>
                <w:lang w:val="en-US" w:eastAsia="zh-CN" w:bidi="ar-SA"/>
              </w:rPr>
            </w:pPr>
            <w:r>
              <w:rPr>
                <w:rFonts w:hint="eastAsia" w:ascii="Times New Roman" w:hAnsi="Times New Roman" w:cs="Times New Roman" w:eastAsiaTheme="minorEastAsia"/>
                <w:color w:val="FF0000"/>
                <w:sz w:val="24"/>
                <w:szCs w:val="24"/>
                <w:lang w:val="en-US" w:eastAsia="zh-CN"/>
              </w:rPr>
              <w:t>综上，项目</w:t>
            </w:r>
            <w:r>
              <w:rPr>
                <w:rFonts w:hint="default" w:ascii="Times New Roman" w:hAnsi="Times New Roman" w:cs="Times New Roman" w:eastAsiaTheme="minorEastAsia"/>
                <w:color w:val="FF0000"/>
                <w:sz w:val="24"/>
                <w:szCs w:val="24"/>
                <w:lang w:val="en-US" w:eastAsia="zh-CN"/>
              </w:rPr>
              <w:t>清洗烘干一体机</w:t>
            </w:r>
            <w:r>
              <w:rPr>
                <w:rFonts w:hint="eastAsia" w:ascii="Times New Roman" w:hAnsi="Times New Roman" w:cs="Times New Roman" w:eastAsiaTheme="minorEastAsia"/>
                <w:color w:val="FF0000"/>
                <w:sz w:val="24"/>
                <w:szCs w:val="24"/>
                <w:lang w:val="en-US" w:eastAsia="zh-CN"/>
              </w:rPr>
              <w:t>用水量约9.2</w:t>
            </w:r>
            <w:r>
              <w:rPr>
                <w:rFonts w:hint="default" w:ascii="Times New Roman" w:hAnsi="Times New Roman" w:cs="Times New Roman" w:eastAsiaTheme="minorEastAsia"/>
                <w:color w:val="FF0000"/>
                <w:sz w:val="24"/>
                <w:szCs w:val="24"/>
                <w:lang w:val="en-US" w:eastAsia="zh-CN"/>
              </w:rPr>
              <w:t>t/a</w:t>
            </w:r>
            <w:r>
              <w:rPr>
                <w:rFonts w:hint="eastAsia" w:ascii="Times New Roman" w:hAnsi="Times New Roman" w:cs="Times New Roman" w:eastAsiaTheme="minorEastAsia"/>
                <w:color w:val="FF0000"/>
                <w:sz w:val="24"/>
                <w:szCs w:val="24"/>
                <w:lang w:val="en-US" w:eastAsia="zh-CN"/>
              </w:rPr>
              <w:t>。</w:t>
            </w:r>
          </w:p>
          <w:p w14:paraId="19FCE994">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FF0000"/>
                <w:sz w:val="21"/>
                <w:szCs w:val="21"/>
              </w:rPr>
            </w:pPr>
            <w:r>
              <w:rPr>
                <w:color w:val="FF0000"/>
              </w:rPr>
              <w:drawing>
                <wp:inline distT="0" distB="0" distL="114300" distR="114300">
                  <wp:extent cx="3863340" cy="701040"/>
                  <wp:effectExtent l="0" t="0" r="762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7"/>
                          <a:stretch>
                            <a:fillRect/>
                          </a:stretch>
                        </pic:blipFill>
                        <pic:spPr>
                          <a:xfrm>
                            <a:off x="0" y="0"/>
                            <a:ext cx="3863340" cy="701040"/>
                          </a:xfrm>
                          <a:prstGeom prst="rect">
                            <a:avLst/>
                          </a:prstGeom>
                          <a:noFill/>
                          <a:ln>
                            <a:noFill/>
                          </a:ln>
                        </pic:spPr>
                      </pic:pic>
                    </a:graphicData>
                  </a:graphic>
                </wp:inline>
              </w:drawing>
            </w:r>
          </w:p>
          <w:p w14:paraId="5CC9F509">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olor w:val="FF0000"/>
                <w:lang w:val="en-US" w:eastAsia="zh-CN"/>
              </w:rPr>
            </w:pPr>
            <w:r>
              <w:rPr>
                <w:rFonts w:hint="default" w:ascii="Times New Roman" w:hAnsi="Times New Roman" w:eastAsia="宋体" w:cs="Times New Roman"/>
                <w:b/>
                <w:bCs/>
                <w:color w:val="FF0000"/>
                <w:sz w:val="21"/>
                <w:szCs w:val="21"/>
              </w:rPr>
              <w:t>图2-</w:t>
            </w:r>
            <w:r>
              <w:rPr>
                <w:rFonts w:hint="default" w:ascii="Times New Roman" w:hAnsi="Times New Roman" w:eastAsia="宋体" w:cs="Times New Roman"/>
                <w:b/>
                <w:bCs/>
                <w:color w:val="FF0000"/>
                <w:sz w:val="21"/>
                <w:szCs w:val="21"/>
                <w:lang w:val="en-US" w:eastAsia="zh-CN"/>
              </w:rPr>
              <w:t>1</w:t>
            </w:r>
            <w:r>
              <w:rPr>
                <w:rFonts w:hint="default" w:ascii="Times New Roman" w:hAnsi="Times New Roman" w:eastAsia="宋体" w:cs="Times New Roman"/>
                <w:b/>
                <w:bCs/>
                <w:color w:val="FF0000"/>
                <w:sz w:val="21"/>
                <w:szCs w:val="21"/>
              </w:rPr>
              <w:t>本项目水平衡图（t/a）</w:t>
            </w:r>
          </w:p>
          <w:p w14:paraId="53F37CC2">
            <w:pPr>
              <w:keepNext w:val="0"/>
              <w:keepLines w:val="0"/>
              <w:pageBreakBefore w:val="0"/>
              <w:widowControl w:val="0"/>
              <w:kinsoku/>
              <w:wordWrap/>
              <w:overflowPunct/>
              <w:topLinePunct w:val="0"/>
              <w:autoSpaceDE/>
              <w:autoSpaceDN/>
              <w:bidi w:val="0"/>
              <w:snapToGrid w:val="0"/>
              <w:spacing w:line="360" w:lineRule="auto"/>
              <w:textAlignment w:val="auto"/>
              <w:rPr>
                <w:rFonts w:hint="default" w:ascii="Times New Roman" w:hAnsi="Times New Roman" w:eastAsia="宋体" w:cs="Times New Roman"/>
                <w:b/>
                <w:bCs/>
                <w:color w:val="auto"/>
                <w:sz w:val="24"/>
                <w:szCs w:val="24"/>
              </w:rPr>
            </w:pPr>
            <w:r>
              <w:rPr>
                <w:rFonts w:hint="eastAsia" w:cs="Times New Roman"/>
                <w:b/>
                <w:color w:val="auto"/>
                <w:sz w:val="24"/>
                <w:szCs w:val="24"/>
                <w:lang w:val="en-US" w:eastAsia="zh-CN"/>
              </w:rPr>
              <w:t>7、</w:t>
            </w:r>
            <w:r>
              <w:rPr>
                <w:rFonts w:hint="default" w:ascii="Times New Roman" w:hAnsi="Times New Roman" w:eastAsia="宋体" w:cs="Times New Roman"/>
                <w:b/>
                <w:bCs/>
                <w:color w:val="auto"/>
                <w:sz w:val="24"/>
                <w:szCs w:val="24"/>
              </w:rPr>
              <w:t>本项目依托情况</w:t>
            </w:r>
          </w:p>
          <w:p w14:paraId="4E49A8E8">
            <w:pPr>
              <w:pStyle w:val="90"/>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主体工程</w:t>
            </w: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新增的丝网印刷工作台、写真机和UV打印机位于现有车间2楼东侧</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新增设备占地面积约100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现有车间2楼富余面积约200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，能够满足</w:t>
            </w:r>
            <w:r>
              <w:rPr>
                <w:rFonts w:hint="default" w:ascii="Times New Roman" w:hAnsi="Times New Roman" w:eastAsia="宋体" w:cs="Times New Roman"/>
                <w:color w:val="auto"/>
                <w:sz w:val="24"/>
                <w:szCs w:val="24"/>
                <w:lang w:val="en-US" w:eastAsia="zh-CN"/>
              </w:rPr>
              <w:t>新增设备布设</w:t>
            </w:r>
            <w:r>
              <w:rPr>
                <w:rFonts w:hint="default" w:ascii="Times New Roman" w:hAnsi="Times New Roman" w:eastAsia="宋体" w:cs="Times New Roman"/>
                <w:color w:val="auto"/>
                <w:sz w:val="24"/>
                <w:szCs w:val="24"/>
              </w:rPr>
              <w:t>要求。</w:t>
            </w:r>
          </w:p>
          <w:p w14:paraId="3831ECD6">
            <w:pPr>
              <w:keepNext w:val="0"/>
              <w:keepLines w:val="0"/>
              <w:pageBreakBefore w:val="0"/>
              <w:widowControl w:val="0"/>
              <w:kinsoku/>
              <w:wordWrap/>
              <w:overflowPunct/>
              <w:topLinePunct w:val="0"/>
              <w:autoSpaceDE/>
              <w:autoSpaceDN/>
              <w:bidi w:val="0"/>
              <w:spacing w:line="360" w:lineRule="auto"/>
              <w:ind w:left="0" w:leftChars="0" w:firstLine="480" w:firstLineChars="200"/>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雨</w:t>
            </w:r>
            <w:r>
              <w:rPr>
                <w:rFonts w:hint="default" w:ascii="Times New Roman" w:hAnsi="Times New Roman" w:eastAsia="宋体" w:cs="Times New Roman"/>
                <w:color w:val="auto"/>
                <w:sz w:val="24"/>
                <w:szCs w:val="24"/>
                <w:lang w:val="en-US" w:eastAsia="zh-CN"/>
              </w:rPr>
              <w:t>水</w:t>
            </w:r>
            <w:r>
              <w:rPr>
                <w:rFonts w:hint="default" w:ascii="Times New Roman" w:hAnsi="Times New Roman" w:eastAsia="宋体" w:cs="Times New Roman"/>
                <w:color w:val="auto"/>
                <w:sz w:val="24"/>
                <w:szCs w:val="24"/>
                <w:lang w:eastAsia="zh-CN"/>
              </w:rPr>
              <w:t>管网</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出租方厂区已设置1个</w:t>
            </w:r>
            <w:r>
              <w:rPr>
                <w:rFonts w:hint="default" w:ascii="Times New Roman" w:hAnsi="Times New Roman" w:eastAsia="宋体" w:cs="Times New Roman"/>
                <w:color w:val="auto"/>
                <w:sz w:val="24"/>
                <w:szCs w:val="24"/>
              </w:rPr>
              <w:t>雨水</w:t>
            </w:r>
            <w:r>
              <w:rPr>
                <w:rFonts w:hint="default" w:ascii="Times New Roman" w:hAnsi="Times New Roman" w:eastAsia="宋体" w:cs="Times New Roman"/>
                <w:color w:val="auto"/>
                <w:sz w:val="24"/>
                <w:szCs w:val="24"/>
                <w:lang w:val="en-US" w:eastAsia="zh-CN"/>
              </w:rPr>
              <w:t>排放口</w:t>
            </w:r>
            <w:r>
              <w:rPr>
                <w:rFonts w:hint="default" w:ascii="Times New Roman" w:hAnsi="Times New Roman" w:eastAsia="宋体" w:cs="Times New Roman"/>
                <w:color w:val="auto"/>
                <w:sz w:val="24"/>
                <w:szCs w:val="24"/>
              </w:rPr>
              <w:t>，本项目</w:t>
            </w:r>
            <w:r>
              <w:rPr>
                <w:rFonts w:hint="default" w:ascii="Times New Roman" w:hAnsi="Times New Roman" w:eastAsia="宋体" w:cs="Times New Roman"/>
                <w:color w:val="auto"/>
                <w:sz w:val="24"/>
                <w:szCs w:val="24"/>
                <w:lang w:val="en-US" w:eastAsia="zh-CN"/>
              </w:rPr>
              <w:t>雨水排放均依托出租方现有雨水管网，</w:t>
            </w:r>
            <w:r>
              <w:rPr>
                <w:rFonts w:hint="default" w:ascii="Times New Roman" w:hAnsi="Times New Roman" w:eastAsia="宋体" w:cs="Times New Roman"/>
                <w:color w:val="auto"/>
                <w:sz w:val="24"/>
                <w:szCs w:val="24"/>
              </w:rPr>
              <w:t>不单独设置雨水</w:t>
            </w:r>
            <w:r>
              <w:rPr>
                <w:rFonts w:hint="default" w:ascii="Times New Roman" w:hAnsi="Times New Roman" w:eastAsia="宋体" w:cs="Times New Roman"/>
                <w:color w:val="auto"/>
                <w:sz w:val="24"/>
                <w:szCs w:val="24"/>
                <w:lang w:val="en-US" w:eastAsia="zh-CN"/>
              </w:rPr>
              <w:t>排放口</w:t>
            </w:r>
            <w:r>
              <w:rPr>
                <w:rFonts w:hint="default" w:ascii="Times New Roman" w:hAnsi="Times New Roman" w:eastAsia="宋体" w:cs="Times New Roman"/>
                <w:color w:val="auto"/>
                <w:sz w:val="24"/>
                <w:szCs w:val="24"/>
              </w:rPr>
              <w:t>。</w:t>
            </w:r>
          </w:p>
          <w:p w14:paraId="441BD303">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bCs/>
                <w:color w:val="auto"/>
                <w:kern w:val="0"/>
                <w:sz w:val="24"/>
                <w:lang w:val="en-US" w:eastAsia="zh-CN"/>
              </w:rPr>
              <w:t>7</w:t>
            </w:r>
            <w:r>
              <w:rPr>
                <w:rFonts w:hint="default" w:ascii="Times New Roman" w:hAnsi="Times New Roman" w:eastAsia="宋体" w:cs="Times New Roman"/>
                <w:b/>
                <w:bCs/>
                <w:color w:val="auto"/>
                <w:kern w:val="0"/>
                <w:sz w:val="24"/>
              </w:rPr>
              <w:t>、劳动定员及工作制度</w:t>
            </w:r>
          </w:p>
          <w:p w14:paraId="4945AC5E">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 xml:space="preserve">职工定员：原有员工50人，本次不新增员工，用工在现有员工中调剂； </w:t>
            </w:r>
          </w:p>
          <w:p w14:paraId="3D0F7DD2">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劳动制度：本项目全年工作300天，每天印刷时间约2h，年工作时间600h。</w:t>
            </w:r>
          </w:p>
          <w:p w14:paraId="06B73A8B">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8</w:t>
            </w:r>
            <w:r>
              <w:rPr>
                <w:rFonts w:hint="default" w:ascii="Times New Roman" w:hAnsi="Times New Roman" w:eastAsia="宋体" w:cs="Times New Roman"/>
                <w:b/>
                <w:color w:val="auto"/>
                <w:sz w:val="24"/>
              </w:rPr>
              <w:t>、厂区平面布置</w:t>
            </w:r>
          </w:p>
          <w:p w14:paraId="6F2AFE71">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利用已租厂房（租用常州市科慧汽车电器有限公司）进行建设，现有项目共租赁1栋车间，为双层结构。车间1F为现有项目机加工区和原料仓库，车间2F为现有项目装配区和成品仓库，危废仓库位于车间1F西南侧。本次新增设备位于车间2F东侧。企业平面布置情况详见附图3。</w:t>
            </w:r>
          </w:p>
          <w:p w14:paraId="2B066056">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9、厂区周围概况</w:t>
            </w:r>
          </w:p>
          <w:p w14:paraId="1194794A">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snapToGrid w:val="0"/>
                <w:color w:val="auto"/>
                <w:sz w:val="30"/>
                <w:szCs w:val="30"/>
                <w:vertAlign w:val="baseline"/>
              </w:rPr>
            </w:pPr>
            <w:r>
              <w:rPr>
                <w:rFonts w:hint="default" w:ascii="Times New Roman" w:hAnsi="Times New Roman" w:eastAsia="宋体" w:cs="Times New Roman"/>
                <w:color w:val="auto"/>
                <w:sz w:val="24"/>
                <w:lang w:val="en-US" w:eastAsia="zh-CN"/>
              </w:rPr>
              <w:t>本项目建设地点位于常州市金坛区龙湖路10号，利用已租厂房（租用常州市科慧汽车电器有限公司）进行建设。租赁厂区东侧为龙湖路，南侧为河山环路，西侧为天怡工程纤维有限公司，北侧为江苏朋逸高新材料科技有限公司。项目周边500米范围土地利用现状见附图2。</w:t>
            </w:r>
          </w:p>
        </w:tc>
      </w:tr>
    </w:tbl>
    <w:p w14:paraId="7B5D696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jc w:val="both"/>
        <w:textAlignment w:val="auto"/>
        <w:outlineLvl w:val="9"/>
        <w:rPr>
          <w:rFonts w:hint="default" w:ascii="Times New Roman" w:hAnsi="Times New Roman" w:eastAsia="宋体" w:cs="Times New Roman"/>
          <w:snapToGrid w:val="0"/>
          <w:color w:val="auto"/>
          <w:sz w:val="30"/>
          <w:szCs w:val="30"/>
        </w:rPr>
      </w:pPr>
    </w:p>
    <w:tbl>
      <w:tblPr>
        <w:tblStyle w:val="27"/>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12"/>
      </w:tblGrid>
      <w:tr w14:paraId="29087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44" w:hRule="atLeast"/>
        </w:trPr>
        <w:tc>
          <w:tcPr>
            <w:tcW w:w="448" w:type="dxa"/>
            <w:vAlign w:val="center"/>
          </w:tcPr>
          <w:p w14:paraId="3754AB8B">
            <w:pPr>
              <w:pStyle w:val="22"/>
              <w:keepNext w:val="0"/>
              <w:keepLines w:val="0"/>
              <w:pageBreakBefore w:val="0"/>
              <w:kinsoku/>
              <w:wordWrap/>
              <w:overflowPunct/>
              <w:topLinePunct w:val="0"/>
              <w:bidi w:val="0"/>
              <w:adjustRightInd w:val="0"/>
              <w:snapToGrid w:val="0"/>
              <w:spacing w:before="0" w:beforeAutospacing="0" w:after="0" w:afterAutospacing="0"/>
              <w:ind w:left="0" w:right="0"/>
              <w:jc w:val="center"/>
              <w:rPr>
                <w:rFonts w:hint="default" w:ascii="Times New Roman" w:hAnsi="Times New Roman" w:eastAsia="宋体" w:cs="Times New Roman"/>
                <w:color w:val="auto"/>
                <w:szCs w:val="24"/>
              </w:rPr>
            </w:pPr>
            <w:r>
              <w:rPr>
                <w:rFonts w:hint="default" w:ascii="Times New Roman" w:hAnsi="Times New Roman" w:eastAsia="宋体" w:cs="Times New Roman"/>
                <w:color w:val="auto"/>
                <w:szCs w:val="24"/>
              </w:rPr>
              <w:t>工艺流程和产排污环节</w:t>
            </w:r>
          </w:p>
        </w:tc>
        <w:tc>
          <w:tcPr>
            <w:tcW w:w="8612" w:type="dxa"/>
          </w:tcPr>
          <w:p w14:paraId="7159D942">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color w:val="auto"/>
                <w:sz w:val="24"/>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11391900</wp:posOffset>
                      </wp:positionV>
                      <wp:extent cx="5734050" cy="0"/>
                      <wp:effectExtent l="0" t="0" r="0" b="0"/>
                      <wp:wrapNone/>
                      <wp:docPr id="54" name="直线 751"/>
                      <wp:cNvGraphicFramePr/>
                      <a:graphic xmlns:a="http://schemas.openxmlformats.org/drawingml/2006/main">
                        <a:graphicData uri="http://schemas.microsoft.com/office/word/2010/wordprocessingShape">
                          <wps:wsp>
                            <wps:cNvCnPr/>
                            <wps:spPr>
                              <a:xfrm>
                                <a:off x="0" y="0"/>
                                <a:ext cx="573405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751" o:spid="_x0000_s1026" o:spt="20" style="position:absolute;left:0pt;margin-left:0pt;margin-top:897pt;height:0pt;width:451.5pt;z-index:251661312;mso-width-relative:page;mso-height-relative:page;" filled="f" stroked="t" coordsize="21600,21600" o:gfxdata="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9511NQAAAAK&#10;AQAADwAAAAAAAAABACAAAAAiAAAAZHJzL2Rvd25yZXYueG1sUEsBAhQAFAAAAAgAh07iQEd9uFfn&#10;AQAA4AMAAA4AAAAAAAAAAQAgAAAAIwEAAGRycy9lMm9Eb2MueG1sUEsFBgAAAAAGAAYAWQEAAHwF&#10;AAAAAA==&#10;">
                      <v:fill on="f" focussize="0,0"/>
                      <v:stroke color="#000000" joinstyle="round"/>
                      <v:imagedata o:title=""/>
                      <o:lock v:ext="edit" aspectratio="f"/>
                    </v:line>
                  </w:pict>
                </mc:Fallback>
              </mc:AlternateContent>
            </w:r>
            <w:r>
              <w:rPr>
                <w:rFonts w:hint="default" w:ascii="Times New Roman" w:hAnsi="Times New Roman" w:eastAsia="宋体" w:cs="Times New Roman"/>
                <w:b/>
                <w:bCs/>
                <w:color w:val="auto"/>
                <w:sz w:val="24"/>
              </w:rPr>
              <w:t>工艺流程简述（图示）：</w:t>
            </w:r>
          </w:p>
          <w:p w14:paraId="2FBED84D">
            <w:pPr>
              <w:pStyle w:val="11"/>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1、安检提示牌生产工艺流程</w:t>
            </w:r>
          </w:p>
          <w:p w14:paraId="1B4C8A9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原有安检提示牌产能为7232件/年，本项目对安检提示牌</w:t>
            </w:r>
            <w:r>
              <w:rPr>
                <w:rFonts w:hint="default" w:ascii="Times New Roman" w:hAnsi="Times New Roman" w:eastAsia="宋体" w:cs="Times New Roman"/>
                <w:color w:val="auto"/>
                <w:sz w:val="24"/>
                <w:lang w:val="en-US" w:eastAsia="zh-CN"/>
              </w:rPr>
              <w:t>产线</w:t>
            </w:r>
            <w:r>
              <w:rPr>
                <w:rFonts w:hint="default" w:ascii="Times New Roman" w:hAnsi="Times New Roman" w:eastAsia="宋体" w:cs="Times New Roman"/>
                <w:color w:val="auto"/>
                <w:kern w:val="2"/>
                <w:sz w:val="24"/>
                <w:szCs w:val="24"/>
                <w:lang w:val="en-US" w:eastAsia="zh-CN" w:bidi="ar-SA"/>
              </w:rPr>
              <w:t>增加</w:t>
            </w:r>
            <w:r>
              <w:rPr>
                <w:rFonts w:hint="eastAsia" w:cs="Times New Roman"/>
                <w:color w:val="FF0000"/>
                <w:kern w:val="2"/>
                <w:sz w:val="24"/>
                <w:szCs w:val="24"/>
                <w:lang w:val="en-US" w:eastAsia="zh-CN" w:bidi="ar-SA"/>
              </w:rPr>
              <w:t>清洗、</w:t>
            </w:r>
            <w:r>
              <w:rPr>
                <w:rFonts w:hint="default" w:ascii="Times New Roman" w:hAnsi="Times New Roman" w:eastAsia="宋体" w:cs="Times New Roman"/>
                <w:color w:val="FF0000"/>
                <w:kern w:val="2"/>
                <w:sz w:val="24"/>
                <w:szCs w:val="24"/>
                <w:lang w:val="en-US" w:eastAsia="zh-CN" w:bidi="ar-SA"/>
              </w:rPr>
              <w:t>UV打印工艺</w:t>
            </w:r>
            <w:r>
              <w:rPr>
                <w:rFonts w:hint="default" w:ascii="Times New Roman" w:hAnsi="Times New Roman" w:eastAsia="宋体" w:cs="Times New Roman"/>
                <w:color w:val="auto"/>
                <w:kern w:val="2"/>
                <w:sz w:val="24"/>
                <w:szCs w:val="24"/>
                <w:lang w:val="en-US" w:eastAsia="zh-CN" w:bidi="ar-SA"/>
              </w:rPr>
              <w:t>，以满足客户所需的LOGO要求，项目产能不变，其他工艺依托原有项目、原有设备。本次技改工艺如下：</w:t>
            </w:r>
          </w:p>
          <w:p w14:paraId="47CA457C">
            <w:pPr>
              <w:pStyle w:val="7"/>
              <w:keepNext w:val="0"/>
              <w:keepLines w:val="0"/>
              <w:pageBreakBefore w:val="0"/>
              <w:widowControl w:val="0"/>
              <w:kinsoku/>
              <w:wordWrap/>
              <w:overflowPunct/>
              <w:topLinePunct w:val="0"/>
              <w:autoSpaceDE/>
              <w:autoSpaceDN/>
              <w:bidi w:val="0"/>
              <w:adjustRightInd/>
              <w:snapToGrid w:val="0"/>
              <w:spacing w:line="240" w:lineRule="auto"/>
              <w:ind w:left="0" w:leftChars="0" w:hanging="142" w:firstLineChars="0"/>
              <w:jc w:val="center"/>
              <w:textAlignment w:val="auto"/>
              <w:rPr>
                <w:rFonts w:hint="default" w:ascii="Times New Roman" w:hAnsi="Times New Roman" w:eastAsia="宋体" w:cs="Times New Roman"/>
                <w:color w:val="auto"/>
                <w:highlight w:val="none"/>
              </w:rPr>
            </w:pPr>
            <w:r>
              <w:drawing>
                <wp:inline distT="0" distB="0" distL="114300" distR="114300">
                  <wp:extent cx="3200400" cy="5684520"/>
                  <wp:effectExtent l="0" t="0" r="0"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18"/>
                          <a:stretch>
                            <a:fillRect/>
                          </a:stretch>
                        </pic:blipFill>
                        <pic:spPr>
                          <a:xfrm>
                            <a:off x="0" y="0"/>
                            <a:ext cx="3200400" cy="5684520"/>
                          </a:xfrm>
                          <a:prstGeom prst="rect">
                            <a:avLst/>
                          </a:prstGeom>
                          <a:noFill/>
                          <a:ln>
                            <a:noFill/>
                          </a:ln>
                        </pic:spPr>
                      </pic:pic>
                    </a:graphicData>
                  </a:graphic>
                </wp:inline>
              </w:drawing>
            </w:r>
          </w:p>
          <w:p w14:paraId="28D8B317">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图2-1 安检提示牌技改工艺流程及产污环节图（UV打印）</w:t>
            </w:r>
          </w:p>
          <w:p w14:paraId="620464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工艺流程说明：</w:t>
            </w:r>
          </w:p>
          <w:p w14:paraId="2B29F81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FF0000"/>
                <w:sz w:val="24"/>
                <w:szCs w:val="24"/>
                <w:lang w:val="en-US" w:eastAsia="zh-CN"/>
              </w:rPr>
              <w:t>清洗：</w:t>
            </w:r>
            <w:r>
              <w:rPr>
                <w:rFonts w:hint="default" w:ascii="Times New Roman" w:hAnsi="Times New Roman" w:eastAsia="宋体" w:cs="Times New Roman"/>
                <w:color w:val="FF0000"/>
                <w:kern w:val="0"/>
                <w:sz w:val="24"/>
                <w:szCs w:val="24"/>
                <w:lang w:val="en-US" w:eastAsia="zh-CN" w:bidi="ar"/>
              </w:rPr>
              <w:t>现有项目抛光后的工件</w:t>
            </w:r>
            <w:r>
              <w:rPr>
                <w:rFonts w:hint="default" w:ascii="Times New Roman" w:hAnsi="Times New Roman" w:cs="Times New Roman" w:eastAsiaTheme="minorEastAsia"/>
                <w:color w:val="FF0000"/>
                <w:sz w:val="24"/>
                <w:szCs w:val="24"/>
                <w:lang w:val="en-US" w:eastAsia="zh-CN"/>
              </w:rPr>
              <w:t>进入清洗烘干一体机进行清洗，去除工件表面残留的油污和杂质。清洗过程使用</w:t>
            </w:r>
            <w:r>
              <w:rPr>
                <w:rFonts w:hint="eastAsia" w:ascii="Times New Roman" w:hAnsi="Times New Roman" w:cs="Times New Roman" w:eastAsiaTheme="minorEastAsia"/>
                <w:color w:val="FF0000"/>
                <w:sz w:val="24"/>
                <w:szCs w:val="24"/>
                <w:lang w:val="en-US" w:eastAsia="zh-CN"/>
              </w:rPr>
              <w:t>新鲜</w:t>
            </w:r>
            <w:r>
              <w:rPr>
                <w:rFonts w:hint="default" w:ascii="Times New Roman" w:hAnsi="Times New Roman" w:cs="Times New Roman" w:eastAsiaTheme="minorEastAsia"/>
                <w:color w:val="FF0000"/>
                <w:sz w:val="24"/>
                <w:szCs w:val="24"/>
                <w:lang w:val="en-US" w:eastAsia="zh-CN"/>
              </w:rPr>
              <w:t>水，水量为槽体体积的50%，温度控制在60℃左右，采用电加热，更换频次为</w:t>
            </w:r>
            <w:r>
              <w:rPr>
                <w:rFonts w:hint="eastAsia" w:ascii="Times New Roman" w:hAnsi="Times New Roman" w:cs="Times New Roman" w:eastAsiaTheme="minorEastAsia"/>
                <w:color w:val="FF0000"/>
                <w:sz w:val="24"/>
                <w:szCs w:val="24"/>
                <w:lang w:val="en-US" w:eastAsia="zh-CN"/>
              </w:rPr>
              <w:t>1</w:t>
            </w:r>
            <w:r>
              <w:rPr>
                <w:rFonts w:hint="default" w:ascii="Times New Roman" w:hAnsi="Times New Roman" w:cs="Times New Roman" w:eastAsiaTheme="minorEastAsia"/>
                <w:color w:val="FF0000"/>
                <w:sz w:val="24"/>
                <w:szCs w:val="24"/>
                <w:lang w:val="en-US" w:eastAsia="zh-CN"/>
              </w:rPr>
              <w:t>次/</w:t>
            </w:r>
            <w:r>
              <w:rPr>
                <w:rFonts w:hint="eastAsia" w:ascii="Times New Roman" w:hAnsi="Times New Roman" w:cs="Times New Roman" w:eastAsiaTheme="minorEastAsia"/>
                <w:color w:val="FF0000"/>
                <w:sz w:val="24"/>
                <w:szCs w:val="24"/>
                <w:lang w:val="en-US" w:eastAsia="zh-CN"/>
              </w:rPr>
              <w:t>3天</w:t>
            </w:r>
            <w:r>
              <w:rPr>
                <w:rFonts w:hint="default" w:ascii="Times New Roman" w:hAnsi="Times New Roman" w:cs="Times New Roman" w:eastAsiaTheme="minorEastAsia"/>
                <w:color w:val="FF0000"/>
                <w:sz w:val="24"/>
                <w:szCs w:val="24"/>
                <w:lang w:val="en-US" w:eastAsia="zh-CN"/>
              </w:rPr>
              <w:t>，此工序产生清洗废</w:t>
            </w:r>
            <w:r>
              <w:rPr>
                <w:rFonts w:hint="eastAsia" w:ascii="Times New Roman" w:hAnsi="Times New Roman" w:cs="Times New Roman" w:eastAsiaTheme="minorEastAsia"/>
                <w:color w:val="FF0000"/>
                <w:sz w:val="24"/>
                <w:szCs w:val="24"/>
                <w:lang w:val="en-US" w:eastAsia="zh-CN"/>
              </w:rPr>
              <w:t>液</w:t>
            </w:r>
            <w:r>
              <w:rPr>
                <w:rFonts w:hint="default" w:ascii="Times New Roman" w:hAnsi="Times New Roman" w:cs="Times New Roman" w:eastAsiaTheme="minorEastAsia"/>
                <w:color w:val="FF0000"/>
                <w:sz w:val="24"/>
                <w:szCs w:val="24"/>
                <w:lang w:val="en-US" w:eastAsia="zh-CN"/>
              </w:rPr>
              <w:t>（</w:t>
            </w:r>
            <w:r>
              <w:rPr>
                <w:rFonts w:hint="eastAsia" w:ascii="Times New Roman" w:hAnsi="Times New Roman" w:cs="Times New Roman" w:eastAsiaTheme="minorEastAsia"/>
                <w:color w:val="FF0000"/>
                <w:sz w:val="24"/>
                <w:szCs w:val="24"/>
                <w:lang w:val="en-US" w:eastAsia="zh-CN"/>
              </w:rPr>
              <w:t>S</w:t>
            </w:r>
            <w:r>
              <w:rPr>
                <w:rFonts w:hint="eastAsia" w:ascii="Times New Roman" w:hAnsi="Times New Roman" w:cs="Times New Roman" w:eastAsiaTheme="minorEastAsia"/>
                <w:color w:val="FF0000"/>
                <w:sz w:val="24"/>
                <w:szCs w:val="24"/>
                <w:vertAlign w:val="subscript"/>
                <w:lang w:val="en-US" w:eastAsia="zh-CN"/>
              </w:rPr>
              <w:t>1-</w:t>
            </w:r>
            <w:r>
              <w:rPr>
                <w:rFonts w:hint="default" w:ascii="Times New Roman" w:hAnsi="Times New Roman" w:cs="Times New Roman" w:eastAsiaTheme="minorEastAsia"/>
                <w:color w:val="FF0000"/>
                <w:sz w:val="24"/>
                <w:szCs w:val="24"/>
                <w:vertAlign w:val="subscript"/>
                <w:lang w:val="en-US" w:eastAsia="zh-CN"/>
              </w:rPr>
              <w:t>1</w:t>
            </w:r>
            <w:r>
              <w:rPr>
                <w:rFonts w:hint="default" w:ascii="Times New Roman" w:hAnsi="Times New Roman" w:cs="Times New Roman" w:eastAsiaTheme="minorEastAsia"/>
                <w:color w:val="FF0000"/>
                <w:sz w:val="24"/>
                <w:szCs w:val="24"/>
                <w:lang w:val="en-US" w:eastAsia="zh-CN"/>
              </w:rPr>
              <w:t>）。</w:t>
            </w:r>
          </w:p>
          <w:p w14:paraId="3E6F6589">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cs="Times New Roman" w:eastAsiaTheme="minorEastAsia"/>
                <w:color w:val="FF0000"/>
                <w:sz w:val="24"/>
                <w:szCs w:val="24"/>
                <w:lang w:val="en-US" w:eastAsia="zh-CN"/>
              </w:rPr>
              <w:t>烘干：</w:t>
            </w:r>
            <w:r>
              <w:rPr>
                <w:rFonts w:hint="default" w:ascii="Times New Roman" w:hAnsi="Times New Roman" w:cs="Times New Roman" w:eastAsiaTheme="minorEastAsia"/>
                <w:color w:val="FF0000"/>
                <w:kern w:val="0"/>
                <w:sz w:val="24"/>
                <w:szCs w:val="24"/>
                <w:lang w:val="en-US" w:eastAsia="zh-CN" w:bidi="ar"/>
              </w:rPr>
              <w:t>水洗后的工件经</w:t>
            </w:r>
            <w:r>
              <w:rPr>
                <w:rFonts w:hint="default" w:ascii="Times New Roman" w:hAnsi="Times New Roman" w:cs="Times New Roman" w:eastAsiaTheme="minorEastAsia"/>
                <w:color w:val="FF0000"/>
                <w:sz w:val="24"/>
                <w:szCs w:val="24"/>
                <w:lang w:val="en-US" w:eastAsia="zh-CN"/>
              </w:rPr>
              <w:t>清洗烘干一体机加热单元烘干，</w:t>
            </w:r>
            <w:r>
              <w:rPr>
                <w:rFonts w:hint="default" w:ascii="Times New Roman" w:hAnsi="Times New Roman" w:cs="Times New Roman" w:eastAsiaTheme="minorEastAsia"/>
                <w:color w:val="FF0000"/>
                <w:kern w:val="0"/>
                <w:sz w:val="24"/>
                <w:szCs w:val="24"/>
                <w:lang w:val="en-US" w:eastAsia="zh-CN" w:bidi="ar"/>
              </w:rPr>
              <w:t>采用电加热，加热温度约100℃，烘干时间约半小时。</w:t>
            </w:r>
          </w:p>
          <w:p w14:paraId="1E04568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UV打印：</w:t>
            </w:r>
            <w:r>
              <w:rPr>
                <w:rFonts w:hint="eastAsia" w:cs="Times New Roman"/>
                <w:color w:val="auto"/>
                <w:kern w:val="0"/>
                <w:sz w:val="24"/>
                <w:szCs w:val="24"/>
                <w:lang w:val="en-US" w:eastAsia="zh-CN" w:bidi="ar"/>
              </w:rPr>
              <w:t>烘干后</w:t>
            </w:r>
            <w:r>
              <w:rPr>
                <w:rFonts w:hint="default" w:ascii="Times New Roman" w:hAnsi="Times New Roman" w:eastAsia="宋体" w:cs="Times New Roman"/>
                <w:color w:val="auto"/>
                <w:kern w:val="0"/>
                <w:sz w:val="24"/>
                <w:szCs w:val="24"/>
                <w:lang w:val="en-US" w:eastAsia="zh-CN" w:bidi="ar"/>
              </w:rPr>
              <w:t>的工件进入UV印刷机进行印刷作业，UV 印刷机配备有UV固化灯，当油墨从喷头喷出后，在紫外光的作用下迅速干燥固化，与承印物表面紧密结合。UV打印过程产生少量</w:t>
            </w:r>
            <w:r>
              <w:rPr>
                <w:rFonts w:hint="default" w:ascii="Times New Roman" w:hAnsi="Times New Roman" w:eastAsia="宋体" w:cs="Times New Roman"/>
                <w:color w:val="auto"/>
                <w:sz w:val="24"/>
                <w:szCs w:val="24"/>
              </w:rPr>
              <w:t>废气（G</w:t>
            </w:r>
            <w:r>
              <w:rPr>
                <w:rFonts w:hint="default" w:ascii="Times New Roman" w:hAnsi="Times New Roman" w:eastAsia="宋体" w:cs="Times New Roman"/>
                <w:color w:val="auto"/>
                <w:sz w:val="24"/>
                <w:szCs w:val="24"/>
                <w:vertAlign w:val="subscript"/>
                <w:lang w:val="en-US" w:eastAsia="zh-CN"/>
              </w:rPr>
              <w:t>1-1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lang w:val="en-US" w:eastAsia="zh-CN" w:bidi="ar"/>
              </w:rPr>
              <w:t>。</w:t>
            </w:r>
          </w:p>
          <w:p w14:paraId="26721EB4">
            <w:pPr>
              <w:pStyle w:val="11"/>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sz w:val="24"/>
                <w:lang w:val="en-US" w:eastAsia="zh-CN"/>
              </w:rPr>
              <w:t>地铁</w:t>
            </w:r>
            <w:r>
              <w:rPr>
                <w:rFonts w:hint="default" w:ascii="Times New Roman" w:hAnsi="Times New Roman" w:eastAsia="宋体" w:cs="Times New Roman"/>
                <w:color w:val="auto"/>
                <w:kern w:val="2"/>
                <w:sz w:val="24"/>
                <w:szCs w:val="24"/>
                <w:lang w:val="en-US" w:eastAsia="zh-CN" w:bidi="ar-SA"/>
              </w:rPr>
              <w:t>导流带生产工艺流程</w:t>
            </w:r>
          </w:p>
          <w:p w14:paraId="1C12B8D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原有</w:t>
            </w:r>
            <w:r>
              <w:rPr>
                <w:rFonts w:hint="default" w:ascii="Times New Roman" w:hAnsi="Times New Roman" w:eastAsia="宋体" w:cs="Times New Roman"/>
                <w:color w:val="auto"/>
                <w:sz w:val="24"/>
                <w:lang w:val="en-US" w:eastAsia="zh-CN"/>
              </w:rPr>
              <w:t>地铁</w:t>
            </w:r>
            <w:r>
              <w:rPr>
                <w:rFonts w:hint="default" w:ascii="Times New Roman" w:hAnsi="Times New Roman" w:eastAsia="宋体" w:cs="Times New Roman"/>
                <w:color w:val="auto"/>
                <w:kern w:val="2"/>
                <w:sz w:val="24"/>
                <w:szCs w:val="24"/>
                <w:lang w:val="en-US" w:eastAsia="zh-CN" w:bidi="ar-SA"/>
              </w:rPr>
              <w:t>导流带产能为31338套/年，本项目对地铁导流带产线增加</w:t>
            </w:r>
            <w:r>
              <w:rPr>
                <w:rFonts w:hint="eastAsia" w:cs="Times New Roman"/>
                <w:color w:val="FF0000"/>
                <w:kern w:val="2"/>
                <w:sz w:val="24"/>
                <w:szCs w:val="24"/>
                <w:lang w:val="en-US" w:eastAsia="zh-CN" w:bidi="ar-SA"/>
              </w:rPr>
              <w:t>清洗、</w:t>
            </w:r>
            <w:r>
              <w:rPr>
                <w:rFonts w:hint="default" w:ascii="Times New Roman" w:hAnsi="Times New Roman" w:eastAsia="宋体" w:cs="Times New Roman"/>
                <w:color w:val="FF0000"/>
                <w:kern w:val="2"/>
                <w:sz w:val="24"/>
                <w:szCs w:val="24"/>
                <w:lang w:val="en-US" w:eastAsia="zh-CN" w:bidi="ar-SA"/>
              </w:rPr>
              <w:t>写真打印工艺</w:t>
            </w:r>
            <w:r>
              <w:rPr>
                <w:rFonts w:hint="default" w:ascii="Times New Roman" w:hAnsi="Times New Roman" w:eastAsia="宋体" w:cs="Times New Roman"/>
                <w:color w:val="auto"/>
                <w:kern w:val="2"/>
                <w:sz w:val="24"/>
                <w:szCs w:val="24"/>
                <w:lang w:val="en-US" w:eastAsia="zh-CN" w:bidi="ar-SA"/>
              </w:rPr>
              <w:t>，以满足客户所需的LOGO要求，项目产能不变，其他工艺依托原有项目、原有设备。本次技改工艺如下：</w:t>
            </w:r>
          </w:p>
          <w:p w14:paraId="07DBD4DB">
            <w:pPr>
              <w:pStyle w:val="7"/>
              <w:keepNext w:val="0"/>
              <w:keepLines w:val="0"/>
              <w:pageBreakBefore w:val="0"/>
              <w:widowControl w:val="0"/>
              <w:kinsoku/>
              <w:wordWrap/>
              <w:overflowPunct/>
              <w:topLinePunct w:val="0"/>
              <w:autoSpaceDE/>
              <w:autoSpaceDN/>
              <w:bidi w:val="0"/>
              <w:adjustRightInd/>
              <w:snapToGrid w:val="0"/>
              <w:spacing w:line="240" w:lineRule="auto"/>
              <w:ind w:left="0" w:leftChars="0" w:hanging="142" w:firstLineChars="0"/>
              <w:jc w:val="center"/>
              <w:textAlignment w:val="auto"/>
              <w:rPr>
                <w:rFonts w:hint="default" w:ascii="Times New Roman" w:hAnsi="Times New Roman" w:eastAsia="宋体" w:cs="Times New Roman"/>
                <w:color w:val="auto"/>
                <w:highlight w:val="none"/>
              </w:rPr>
            </w:pPr>
            <w:r>
              <w:drawing>
                <wp:inline distT="0" distB="0" distL="114300" distR="114300">
                  <wp:extent cx="2896870" cy="5997575"/>
                  <wp:effectExtent l="0" t="0" r="13970" b="698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9"/>
                          <a:stretch>
                            <a:fillRect/>
                          </a:stretch>
                        </pic:blipFill>
                        <pic:spPr>
                          <a:xfrm>
                            <a:off x="0" y="0"/>
                            <a:ext cx="2896870" cy="5997575"/>
                          </a:xfrm>
                          <a:prstGeom prst="rect">
                            <a:avLst/>
                          </a:prstGeom>
                          <a:noFill/>
                          <a:ln>
                            <a:noFill/>
                          </a:ln>
                        </pic:spPr>
                      </pic:pic>
                    </a:graphicData>
                  </a:graphic>
                </wp:inline>
              </w:drawing>
            </w:r>
          </w:p>
          <w:p w14:paraId="48C3EE57">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图2-2 地铁导流带技改工艺流程及产污环节图（写真打印）</w:t>
            </w:r>
          </w:p>
          <w:p w14:paraId="18333181">
            <w:pPr>
              <w:pStyle w:val="11"/>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工艺流程说明：</w:t>
            </w:r>
          </w:p>
          <w:p w14:paraId="2EC186E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eastAsiaTheme="minorEastAsia"/>
                <w:color w:val="FF0000"/>
                <w:sz w:val="24"/>
                <w:szCs w:val="24"/>
                <w:lang w:val="en-US" w:eastAsia="zh-CN"/>
              </w:rPr>
            </w:pPr>
            <w:r>
              <w:rPr>
                <w:rFonts w:hint="default" w:ascii="Times New Roman" w:hAnsi="Times New Roman" w:cs="Times New Roman" w:eastAsiaTheme="minorEastAsia"/>
                <w:color w:val="FF0000"/>
                <w:sz w:val="24"/>
                <w:szCs w:val="24"/>
                <w:lang w:val="en-US" w:eastAsia="zh-CN"/>
              </w:rPr>
              <w:t>清洗：</w:t>
            </w:r>
            <w:r>
              <w:rPr>
                <w:rFonts w:hint="default" w:ascii="Times New Roman" w:hAnsi="Times New Roman" w:eastAsia="宋体" w:cs="Times New Roman"/>
                <w:color w:val="FF0000"/>
                <w:kern w:val="0"/>
                <w:sz w:val="24"/>
                <w:szCs w:val="24"/>
                <w:lang w:val="en-US" w:eastAsia="zh-CN" w:bidi="ar"/>
              </w:rPr>
              <w:t>现有项目工件</w:t>
            </w:r>
            <w:r>
              <w:rPr>
                <w:rFonts w:hint="default" w:ascii="Times New Roman" w:hAnsi="Times New Roman" w:cs="Times New Roman" w:eastAsiaTheme="minorEastAsia"/>
                <w:color w:val="FF0000"/>
                <w:sz w:val="24"/>
                <w:szCs w:val="24"/>
                <w:lang w:val="en-US" w:eastAsia="zh-CN"/>
              </w:rPr>
              <w:t>进入清洗烘干一体机进行清洗，去除工件表面残留的油污和杂质。清洗过程使用</w:t>
            </w:r>
            <w:r>
              <w:rPr>
                <w:rFonts w:hint="eastAsia" w:ascii="Times New Roman" w:hAnsi="Times New Roman" w:cs="Times New Roman" w:eastAsiaTheme="minorEastAsia"/>
                <w:color w:val="FF0000"/>
                <w:sz w:val="24"/>
                <w:szCs w:val="24"/>
                <w:lang w:val="en-US" w:eastAsia="zh-CN"/>
              </w:rPr>
              <w:t>新鲜</w:t>
            </w:r>
            <w:r>
              <w:rPr>
                <w:rFonts w:hint="default" w:ascii="Times New Roman" w:hAnsi="Times New Roman" w:cs="Times New Roman" w:eastAsiaTheme="minorEastAsia"/>
                <w:color w:val="FF0000"/>
                <w:sz w:val="24"/>
                <w:szCs w:val="24"/>
                <w:lang w:val="en-US" w:eastAsia="zh-CN"/>
              </w:rPr>
              <w:t>水，水量为槽体体积的50%，温度控制在60℃左右，采用电加热，更换频次为</w:t>
            </w:r>
            <w:r>
              <w:rPr>
                <w:rFonts w:hint="eastAsia" w:ascii="Times New Roman" w:hAnsi="Times New Roman" w:cs="Times New Roman" w:eastAsiaTheme="minorEastAsia"/>
                <w:color w:val="FF0000"/>
                <w:sz w:val="24"/>
                <w:szCs w:val="24"/>
                <w:lang w:val="en-US" w:eastAsia="zh-CN"/>
              </w:rPr>
              <w:t>1</w:t>
            </w:r>
            <w:r>
              <w:rPr>
                <w:rFonts w:hint="default" w:ascii="Times New Roman" w:hAnsi="Times New Roman" w:cs="Times New Roman" w:eastAsiaTheme="minorEastAsia"/>
                <w:color w:val="FF0000"/>
                <w:sz w:val="24"/>
                <w:szCs w:val="24"/>
                <w:lang w:val="en-US" w:eastAsia="zh-CN"/>
              </w:rPr>
              <w:t>次/</w:t>
            </w:r>
            <w:r>
              <w:rPr>
                <w:rFonts w:hint="eastAsia" w:ascii="Times New Roman" w:hAnsi="Times New Roman" w:cs="Times New Roman" w:eastAsiaTheme="minorEastAsia"/>
                <w:color w:val="FF0000"/>
                <w:sz w:val="24"/>
                <w:szCs w:val="24"/>
                <w:lang w:val="en-US" w:eastAsia="zh-CN"/>
              </w:rPr>
              <w:t>3天</w:t>
            </w:r>
            <w:r>
              <w:rPr>
                <w:rFonts w:hint="default" w:ascii="Times New Roman" w:hAnsi="Times New Roman" w:cs="Times New Roman" w:eastAsiaTheme="minorEastAsia"/>
                <w:color w:val="FF0000"/>
                <w:sz w:val="24"/>
                <w:szCs w:val="24"/>
                <w:lang w:val="en-US" w:eastAsia="zh-CN"/>
              </w:rPr>
              <w:t>，此工序产生清洗废</w:t>
            </w:r>
            <w:r>
              <w:rPr>
                <w:rFonts w:hint="eastAsia" w:ascii="Times New Roman" w:hAnsi="Times New Roman" w:cs="Times New Roman" w:eastAsiaTheme="minorEastAsia"/>
                <w:color w:val="FF0000"/>
                <w:sz w:val="24"/>
                <w:szCs w:val="24"/>
                <w:lang w:val="en-US" w:eastAsia="zh-CN"/>
              </w:rPr>
              <w:t>液</w:t>
            </w:r>
            <w:r>
              <w:rPr>
                <w:rFonts w:hint="default" w:ascii="Times New Roman" w:hAnsi="Times New Roman" w:cs="Times New Roman" w:eastAsiaTheme="minorEastAsia"/>
                <w:color w:val="FF0000"/>
                <w:sz w:val="24"/>
                <w:szCs w:val="24"/>
                <w:lang w:val="en-US" w:eastAsia="zh-CN"/>
              </w:rPr>
              <w:t>（</w:t>
            </w:r>
            <w:r>
              <w:rPr>
                <w:rFonts w:hint="eastAsia" w:ascii="Times New Roman" w:hAnsi="Times New Roman" w:cs="Times New Roman" w:eastAsiaTheme="minorEastAsia"/>
                <w:color w:val="FF0000"/>
                <w:sz w:val="24"/>
                <w:szCs w:val="24"/>
                <w:lang w:val="en-US" w:eastAsia="zh-CN"/>
              </w:rPr>
              <w:t>S</w:t>
            </w:r>
            <w:r>
              <w:rPr>
                <w:rFonts w:hint="eastAsia" w:ascii="Times New Roman" w:hAnsi="Times New Roman" w:cs="Times New Roman" w:eastAsiaTheme="minorEastAsia"/>
                <w:color w:val="FF0000"/>
                <w:sz w:val="24"/>
                <w:szCs w:val="24"/>
                <w:vertAlign w:val="subscript"/>
                <w:lang w:val="en-US" w:eastAsia="zh-CN"/>
              </w:rPr>
              <w:t>2-</w:t>
            </w:r>
            <w:r>
              <w:rPr>
                <w:rFonts w:hint="default" w:ascii="Times New Roman" w:hAnsi="Times New Roman" w:cs="Times New Roman" w:eastAsiaTheme="minorEastAsia"/>
                <w:color w:val="FF0000"/>
                <w:sz w:val="24"/>
                <w:szCs w:val="24"/>
                <w:vertAlign w:val="subscript"/>
                <w:lang w:val="en-US" w:eastAsia="zh-CN"/>
              </w:rPr>
              <w:t>1</w:t>
            </w:r>
            <w:r>
              <w:rPr>
                <w:rFonts w:hint="default" w:ascii="Times New Roman" w:hAnsi="Times New Roman" w:cs="Times New Roman" w:eastAsiaTheme="minorEastAsia"/>
                <w:color w:val="FF0000"/>
                <w:sz w:val="24"/>
                <w:szCs w:val="24"/>
                <w:lang w:val="en-US" w:eastAsia="zh-CN"/>
              </w:rPr>
              <w:t>）。</w:t>
            </w:r>
          </w:p>
          <w:p w14:paraId="17D4B58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cs="Times New Roman" w:eastAsiaTheme="minorEastAsia"/>
                <w:color w:val="FF0000"/>
                <w:sz w:val="24"/>
                <w:szCs w:val="24"/>
                <w:lang w:val="en-US" w:eastAsia="zh-CN"/>
              </w:rPr>
              <w:t>烘干：</w:t>
            </w:r>
            <w:r>
              <w:rPr>
                <w:rFonts w:hint="default" w:ascii="Times New Roman" w:hAnsi="Times New Roman" w:cs="Times New Roman" w:eastAsiaTheme="minorEastAsia"/>
                <w:color w:val="FF0000"/>
                <w:kern w:val="0"/>
                <w:sz w:val="24"/>
                <w:szCs w:val="24"/>
                <w:lang w:val="en-US" w:eastAsia="zh-CN" w:bidi="ar"/>
              </w:rPr>
              <w:t>水洗后的工件经</w:t>
            </w:r>
            <w:r>
              <w:rPr>
                <w:rFonts w:hint="default" w:ascii="Times New Roman" w:hAnsi="Times New Roman" w:cs="Times New Roman" w:eastAsiaTheme="minorEastAsia"/>
                <w:color w:val="FF0000"/>
                <w:sz w:val="24"/>
                <w:szCs w:val="24"/>
                <w:lang w:val="en-US" w:eastAsia="zh-CN"/>
              </w:rPr>
              <w:t>清洗烘干一体机加热单元烘干，</w:t>
            </w:r>
            <w:r>
              <w:rPr>
                <w:rFonts w:hint="default" w:ascii="Times New Roman" w:hAnsi="Times New Roman" w:cs="Times New Roman" w:eastAsiaTheme="minorEastAsia"/>
                <w:color w:val="FF0000"/>
                <w:kern w:val="0"/>
                <w:sz w:val="24"/>
                <w:szCs w:val="24"/>
                <w:lang w:val="en-US" w:eastAsia="zh-CN" w:bidi="ar"/>
              </w:rPr>
              <w:t>采用电加热，加热温度约100℃，烘干时间约半小时。</w:t>
            </w:r>
          </w:p>
          <w:p w14:paraId="5EF431F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写真打印：</w:t>
            </w:r>
            <w:r>
              <w:rPr>
                <w:rFonts w:hint="eastAsia" w:cs="Times New Roman"/>
                <w:color w:val="auto"/>
                <w:kern w:val="0"/>
                <w:sz w:val="24"/>
                <w:szCs w:val="24"/>
                <w:lang w:val="en-US" w:eastAsia="zh-CN" w:bidi="ar"/>
              </w:rPr>
              <w:t>清洗</w:t>
            </w:r>
            <w:r>
              <w:rPr>
                <w:rFonts w:hint="default" w:ascii="Times New Roman" w:hAnsi="Times New Roman" w:eastAsia="宋体" w:cs="Times New Roman"/>
                <w:color w:val="auto"/>
                <w:kern w:val="0"/>
                <w:sz w:val="24"/>
                <w:szCs w:val="24"/>
                <w:lang w:val="en-US" w:eastAsia="zh-CN" w:bidi="ar"/>
              </w:rPr>
              <w:t>好的工件进入写真机，通过喷头将油墨喷绘到工件上形成图像。过程产生少量废气</w:t>
            </w:r>
            <w:r>
              <w:rPr>
                <w:rFonts w:hint="default" w:ascii="Times New Roman" w:hAnsi="Times New Roman" w:eastAsia="宋体" w:cs="Times New Roman"/>
                <w:color w:val="auto"/>
                <w:sz w:val="24"/>
                <w:szCs w:val="24"/>
              </w:rPr>
              <w:t>（G</w:t>
            </w:r>
            <w:r>
              <w:rPr>
                <w:rFonts w:hint="default" w:ascii="Times New Roman" w:hAnsi="Times New Roman" w:eastAsia="宋体" w:cs="Times New Roman"/>
                <w:color w:val="auto"/>
                <w:sz w:val="24"/>
                <w:szCs w:val="24"/>
                <w:vertAlign w:val="subscript"/>
                <w:lang w:val="en-US" w:eastAsia="zh-CN"/>
              </w:rPr>
              <w:t>2-1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lang w:val="en-US" w:eastAsia="zh-CN" w:bidi="ar"/>
              </w:rPr>
              <w:t>。</w:t>
            </w:r>
          </w:p>
          <w:p w14:paraId="7B0D6C4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自然晾干:</w:t>
            </w:r>
            <w:r>
              <w:rPr>
                <w:rFonts w:hint="eastAsia" w:cs="Times New Roman"/>
                <w:color w:val="auto"/>
                <w:kern w:val="0"/>
                <w:sz w:val="24"/>
                <w:szCs w:val="24"/>
                <w:lang w:val="en-US" w:eastAsia="zh-CN" w:bidi="ar"/>
              </w:rPr>
              <w:t>烘干后</w:t>
            </w:r>
            <w:r>
              <w:rPr>
                <w:rFonts w:hint="default" w:ascii="Times New Roman" w:hAnsi="Times New Roman" w:eastAsia="宋体" w:cs="Times New Roman"/>
                <w:color w:val="auto"/>
                <w:kern w:val="0"/>
                <w:sz w:val="24"/>
                <w:szCs w:val="24"/>
                <w:lang w:val="en-US" w:eastAsia="zh-CN" w:bidi="ar"/>
              </w:rPr>
              <w:t>的工件在印刷间自然晾干后转移至下道工序。晾干</w:t>
            </w:r>
            <w:r>
              <w:rPr>
                <w:rFonts w:hint="default" w:ascii="Times New Roman" w:hAnsi="Times New Roman" w:eastAsia="宋体" w:cs="Times New Roman"/>
                <w:color w:val="auto"/>
                <w:sz w:val="24"/>
                <w:szCs w:val="24"/>
              </w:rPr>
              <w:t>过程产生废气（G</w:t>
            </w:r>
            <w:r>
              <w:rPr>
                <w:rFonts w:hint="default" w:ascii="Times New Roman" w:hAnsi="Times New Roman" w:eastAsia="宋体" w:cs="Times New Roman"/>
                <w:color w:val="auto"/>
                <w:sz w:val="24"/>
                <w:szCs w:val="24"/>
                <w:vertAlign w:val="subscript"/>
                <w:lang w:val="en-US" w:eastAsia="zh-CN"/>
              </w:rPr>
              <w:t>2-2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lang w:val="en-US" w:eastAsia="zh-CN" w:bidi="ar"/>
              </w:rPr>
              <w:t>。</w:t>
            </w:r>
          </w:p>
          <w:p w14:paraId="02F555C1">
            <w:pPr>
              <w:pStyle w:val="11"/>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sz w:val="24"/>
                <w:lang w:val="en-US" w:eastAsia="zh-CN"/>
              </w:rPr>
              <w:t>移动式Y剂量率连续测量设备</w:t>
            </w:r>
            <w:r>
              <w:rPr>
                <w:rFonts w:hint="default" w:ascii="Times New Roman" w:hAnsi="Times New Roman" w:eastAsia="宋体" w:cs="Times New Roman"/>
                <w:color w:val="auto"/>
                <w:kern w:val="2"/>
                <w:sz w:val="24"/>
                <w:szCs w:val="24"/>
                <w:lang w:val="en-US" w:eastAsia="zh-CN" w:bidi="ar-SA"/>
              </w:rPr>
              <w:t>生产工艺流程</w:t>
            </w:r>
          </w:p>
          <w:p w14:paraId="7AF83EA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原有</w:t>
            </w:r>
            <w:r>
              <w:rPr>
                <w:rFonts w:hint="default" w:ascii="Times New Roman" w:hAnsi="Times New Roman" w:eastAsia="宋体" w:cs="Times New Roman"/>
                <w:color w:val="auto"/>
                <w:sz w:val="24"/>
                <w:lang w:val="en-US" w:eastAsia="zh-CN"/>
              </w:rPr>
              <w:t>移动式Y剂量率连续测量设备</w:t>
            </w:r>
            <w:r>
              <w:rPr>
                <w:rFonts w:hint="default" w:ascii="Times New Roman" w:hAnsi="Times New Roman" w:eastAsia="宋体" w:cs="Times New Roman"/>
                <w:color w:val="auto"/>
                <w:kern w:val="2"/>
                <w:sz w:val="24"/>
                <w:szCs w:val="24"/>
                <w:lang w:val="en-US" w:eastAsia="zh-CN" w:bidi="ar-SA"/>
              </w:rPr>
              <w:t>产能为90套/年，本项目对</w:t>
            </w:r>
            <w:r>
              <w:rPr>
                <w:rFonts w:hint="default" w:ascii="Times New Roman" w:hAnsi="Times New Roman" w:eastAsia="宋体" w:cs="Times New Roman"/>
                <w:color w:val="auto"/>
                <w:sz w:val="24"/>
                <w:lang w:val="en-US" w:eastAsia="zh-CN"/>
              </w:rPr>
              <w:t>移动式Y剂量率连续测量设备</w:t>
            </w:r>
            <w:r>
              <w:rPr>
                <w:rFonts w:hint="default" w:ascii="Times New Roman" w:hAnsi="Times New Roman" w:eastAsia="宋体" w:cs="Times New Roman"/>
                <w:color w:val="auto"/>
                <w:kern w:val="2"/>
                <w:sz w:val="24"/>
                <w:szCs w:val="24"/>
                <w:lang w:val="en-US" w:eastAsia="zh-CN" w:bidi="ar-SA"/>
              </w:rPr>
              <w:t>产线增加</w:t>
            </w:r>
            <w:r>
              <w:rPr>
                <w:rFonts w:hint="default" w:ascii="Times New Roman" w:hAnsi="Times New Roman" w:eastAsia="宋体" w:cs="Times New Roman"/>
                <w:color w:val="auto"/>
                <w:sz w:val="24"/>
                <w:lang w:val="en-US" w:eastAsia="zh-CN"/>
              </w:rPr>
              <w:t>丝网印刷</w:t>
            </w:r>
            <w:r>
              <w:rPr>
                <w:rFonts w:hint="default" w:ascii="Times New Roman" w:hAnsi="Times New Roman" w:eastAsia="宋体" w:cs="Times New Roman"/>
                <w:color w:val="auto"/>
                <w:kern w:val="2"/>
                <w:sz w:val="24"/>
                <w:szCs w:val="24"/>
                <w:lang w:val="en-US" w:eastAsia="zh-CN" w:bidi="ar-SA"/>
              </w:rPr>
              <w:t>工艺，以满足客户所需的LOGO要求，项目产能不变，其他工艺依托原有项目、原有设备。本次技改工艺如下：</w:t>
            </w:r>
          </w:p>
          <w:p w14:paraId="538455AC">
            <w:pPr>
              <w:pStyle w:val="7"/>
              <w:keepNext w:val="0"/>
              <w:keepLines w:val="0"/>
              <w:pageBreakBefore w:val="0"/>
              <w:widowControl w:val="0"/>
              <w:kinsoku/>
              <w:wordWrap/>
              <w:overflowPunct/>
              <w:topLinePunct w:val="0"/>
              <w:autoSpaceDE/>
              <w:autoSpaceDN/>
              <w:bidi w:val="0"/>
              <w:adjustRightInd/>
              <w:snapToGrid w:val="0"/>
              <w:spacing w:line="240" w:lineRule="auto"/>
              <w:ind w:left="0" w:leftChars="0" w:hanging="142"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rPr>
              <w:drawing>
                <wp:inline distT="0" distB="0" distL="114300" distR="114300">
                  <wp:extent cx="3933825" cy="5821680"/>
                  <wp:effectExtent l="0" t="0" r="13335"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20"/>
                          <a:stretch>
                            <a:fillRect/>
                          </a:stretch>
                        </pic:blipFill>
                        <pic:spPr>
                          <a:xfrm>
                            <a:off x="0" y="0"/>
                            <a:ext cx="3933825" cy="5821680"/>
                          </a:xfrm>
                          <a:prstGeom prst="rect">
                            <a:avLst/>
                          </a:prstGeom>
                          <a:noFill/>
                          <a:ln>
                            <a:noFill/>
                          </a:ln>
                        </pic:spPr>
                      </pic:pic>
                    </a:graphicData>
                  </a:graphic>
                </wp:inline>
              </w:drawing>
            </w:r>
          </w:p>
          <w:p w14:paraId="048F97B5">
            <w:pPr>
              <w:keepNext w:val="0"/>
              <w:keepLines w:val="0"/>
              <w:pageBreakBefore w:val="0"/>
              <w:widowControl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图2-3 移动式Y剂量率连续测量设备技改工艺流程及产污环节图（丝网印刷）</w:t>
            </w:r>
          </w:p>
          <w:p w14:paraId="4E4B6ADA">
            <w:pPr>
              <w:pStyle w:val="1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eastAsia="宋体" w:cs="Times New Roman"/>
                <w:b/>
                <w:color w:val="auto"/>
                <w:sz w:val="24"/>
                <w:szCs w:val="24"/>
                <w:lang w:eastAsia="zh-CN"/>
              </w:rPr>
            </w:pPr>
          </w:p>
          <w:p w14:paraId="39D92243">
            <w:pPr>
              <w:pStyle w:val="11"/>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textAlignment w:val="auto"/>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工艺流程说明：</w:t>
            </w:r>
          </w:p>
          <w:p w14:paraId="76CB02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丝网印刷：印刷前将丝网油墨与乙醇按比例调配均匀，然后人工</w:t>
            </w:r>
            <w:r>
              <w:rPr>
                <w:rFonts w:hint="default" w:ascii="Times New Roman" w:hAnsi="Times New Roman" w:eastAsia="宋体" w:cs="Times New Roman"/>
                <w:color w:val="auto"/>
                <w:sz w:val="24"/>
                <w:szCs w:val="24"/>
              </w:rPr>
              <w:t>通过</w:t>
            </w:r>
            <w:r>
              <w:rPr>
                <w:rFonts w:hint="default" w:ascii="Times New Roman" w:hAnsi="Times New Roman" w:eastAsia="宋体" w:cs="Times New Roman"/>
                <w:color w:val="auto"/>
                <w:sz w:val="24"/>
                <w:szCs w:val="24"/>
                <w:lang w:val="en-US" w:eastAsia="zh-CN"/>
              </w:rPr>
              <w:t>网版</w:t>
            </w:r>
            <w:r>
              <w:rPr>
                <w:rFonts w:hint="default" w:ascii="Times New Roman" w:hAnsi="Times New Roman" w:eastAsia="宋体" w:cs="Times New Roman"/>
                <w:color w:val="auto"/>
                <w:sz w:val="24"/>
                <w:szCs w:val="24"/>
              </w:rPr>
              <w:t>将</w:t>
            </w:r>
            <w:r>
              <w:rPr>
                <w:rFonts w:hint="default" w:ascii="Times New Roman" w:hAnsi="Times New Roman" w:eastAsia="宋体" w:cs="Times New Roman"/>
                <w:color w:val="auto"/>
                <w:sz w:val="24"/>
                <w:szCs w:val="24"/>
                <w:lang w:val="en-US" w:eastAsia="zh-CN"/>
              </w:rPr>
              <w:t>调配好的</w:t>
            </w:r>
            <w:r>
              <w:rPr>
                <w:rFonts w:hint="default" w:ascii="Times New Roman" w:hAnsi="Times New Roman" w:eastAsia="宋体" w:cs="Times New Roman"/>
                <w:color w:val="auto"/>
                <w:sz w:val="24"/>
                <w:szCs w:val="24"/>
              </w:rPr>
              <w:t>油墨转印到承印物（</w:t>
            </w:r>
            <w:r>
              <w:rPr>
                <w:rFonts w:hint="default" w:ascii="Times New Roman" w:hAnsi="Times New Roman" w:eastAsia="宋体" w:cs="Times New Roman"/>
                <w:color w:val="auto"/>
                <w:sz w:val="24"/>
                <w:szCs w:val="24"/>
                <w:lang w:val="en-US" w:eastAsia="zh-CN"/>
              </w:rPr>
              <w:t>金属工件</w:t>
            </w:r>
            <w:r>
              <w:rPr>
                <w:rFonts w:hint="default" w:ascii="Times New Roman" w:hAnsi="Times New Roman" w:eastAsia="宋体" w:cs="Times New Roman"/>
                <w:color w:val="auto"/>
                <w:sz w:val="24"/>
                <w:szCs w:val="24"/>
              </w:rPr>
              <w:t>）表面上。</w:t>
            </w:r>
            <w:r>
              <w:rPr>
                <w:rFonts w:hint="default" w:ascii="Times New Roman" w:hAnsi="Times New Roman" w:eastAsia="宋体" w:cs="Times New Roman"/>
                <w:color w:val="auto"/>
                <w:sz w:val="24"/>
                <w:szCs w:val="24"/>
                <w:lang w:eastAsia="zh-CN"/>
              </w:rPr>
              <w:t>印刷网版</w:t>
            </w:r>
            <w:r>
              <w:rPr>
                <w:rFonts w:hint="default" w:ascii="Times New Roman" w:hAnsi="Times New Roman" w:eastAsia="宋体" w:cs="Times New Roman"/>
                <w:color w:val="auto"/>
                <w:sz w:val="24"/>
                <w:szCs w:val="24"/>
                <w:lang w:val="en-US" w:eastAsia="zh-CN"/>
              </w:rPr>
              <w:t>直接外购，使用过程产生少量废网版</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S</w:t>
            </w:r>
            <w:r>
              <w:rPr>
                <w:rFonts w:hint="default" w:ascii="Times New Roman" w:hAnsi="Times New Roman" w:eastAsia="宋体" w:cs="Times New Roman"/>
                <w:color w:val="auto"/>
                <w:sz w:val="24"/>
                <w:szCs w:val="24"/>
                <w:vertAlign w:val="subscript"/>
                <w:lang w:val="en-US" w:eastAsia="zh-CN"/>
              </w:rPr>
              <w:t>3-1</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油墨调配和</w:t>
            </w:r>
            <w:r>
              <w:rPr>
                <w:rFonts w:hint="default" w:ascii="Times New Roman" w:hAnsi="Times New Roman" w:eastAsia="宋体" w:cs="Times New Roman"/>
                <w:color w:val="auto"/>
                <w:sz w:val="24"/>
                <w:szCs w:val="24"/>
              </w:rPr>
              <w:t>印刷过程</w:t>
            </w:r>
            <w:r>
              <w:rPr>
                <w:rFonts w:hint="default"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4"/>
              </w:rPr>
              <w:t>产生废气（G</w:t>
            </w:r>
            <w:r>
              <w:rPr>
                <w:rFonts w:hint="default" w:ascii="Times New Roman" w:hAnsi="Times New Roman" w:eastAsia="宋体" w:cs="Times New Roman"/>
                <w:color w:val="auto"/>
                <w:sz w:val="24"/>
                <w:szCs w:val="24"/>
                <w:vertAlign w:val="subscript"/>
                <w:lang w:val="en-US" w:eastAsia="zh-CN"/>
              </w:rPr>
              <w:t>3-1</w:t>
            </w:r>
            <w:r>
              <w:rPr>
                <w:rFonts w:hint="default" w:ascii="Times New Roman" w:hAnsi="Times New Roman" w:eastAsia="宋体" w:cs="Times New Roman"/>
                <w:color w:val="auto"/>
                <w:sz w:val="24"/>
                <w:szCs w:val="24"/>
              </w:rPr>
              <w:t>）。</w:t>
            </w:r>
          </w:p>
          <w:p w14:paraId="5B00B49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lang w:val="en-US" w:eastAsia="zh-CN" w:bidi="ar"/>
              </w:rPr>
              <w:t>自然晾干:印刷后的工件在印刷间自然晾干后转移至下道工序。晾干</w:t>
            </w:r>
            <w:r>
              <w:rPr>
                <w:rFonts w:hint="default" w:ascii="Times New Roman" w:hAnsi="Times New Roman" w:eastAsia="宋体" w:cs="Times New Roman"/>
                <w:color w:val="auto"/>
                <w:sz w:val="24"/>
                <w:szCs w:val="24"/>
              </w:rPr>
              <w:t>过程</w:t>
            </w:r>
            <w:r>
              <w:rPr>
                <w:rFonts w:hint="default" w:ascii="Times New Roman" w:hAnsi="Times New Roman" w:eastAsia="宋体" w:cs="Times New Roman"/>
                <w:color w:val="auto"/>
                <w:sz w:val="24"/>
                <w:szCs w:val="24"/>
                <w:lang w:val="en-US" w:eastAsia="zh-CN"/>
              </w:rPr>
              <w:t>均</w:t>
            </w:r>
            <w:r>
              <w:rPr>
                <w:rFonts w:hint="default" w:ascii="Times New Roman" w:hAnsi="Times New Roman" w:eastAsia="宋体" w:cs="Times New Roman"/>
                <w:color w:val="auto"/>
                <w:sz w:val="24"/>
                <w:szCs w:val="24"/>
              </w:rPr>
              <w:t>产生废气（G</w:t>
            </w:r>
            <w:r>
              <w:rPr>
                <w:rFonts w:hint="default" w:ascii="Times New Roman" w:hAnsi="Times New Roman" w:eastAsia="宋体" w:cs="Times New Roman"/>
                <w:color w:val="auto"/>
                <w:sz w:val="24"/>
                <w:szCs w:val="24"/>
                <w:vertAlign w:val="subscript"/>
                <w:lang w:val="en-US" w:eastAsia="zh-CN"/>
              </w:rPr>
              <w:t>3-2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kern w:val="0"/>
                <w:sz w:val="24"/>
                <w:szCs w:val="24"/>
                <w:lang w:val="en-US" w:eastAsia="zh-CN" w:bidi="ar"/>
              </w:rPr>
              <w:t>。</w:t>
            </w:r>
          </w:p>
          <w:p w14:paraId="2B932B8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4、其他产污环节</w:t>
            </w:r>
          </w:p>
          <w:p w14:paraId="530692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（1）项目油墨、稀释剂使用过程产生少量废包装瓶。</w:t>
            </w:r>
          </w:p>
          <w:p w14:paraId="6D795D5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（2）项目写真机喷头定期使用无尘布、乙醇清洗擦拭，产生擦拭废气和含酒精废无尘布。</w:t>
            </w:r>
          </w:p>
          <w:p w14:paraId="5A5EBB7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（3）项目有机废气采用二级活性炭吸附装置处理，产生少量废活性炭。</w:t>
            </w:r>
          </w:p>
        </w:tc>
      </w:tr>
      <w:tr w14:paraId="40C64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0" w:hRule="atLeast"/>
        </w:trPr>
        <w:tc>
          <w:tcPr>
            <w:tcW w:w="448" w:type="dxa"/>
            <w:vAlign w:val="center"/>
          </w:tcPr>
          <w:p w14:paraId="1F27DC0D">
            <w:pPr>
              <w:pStyle w:val="22"/>
              <w:keepNext w:val="0"/>
              <w:keepLines w:val="0"/>
              <w:pageBreakBefore w:val="0"/>
              <w:kinsoku/>
              <w:wordWrap/>
              <w:overflowPunct/>
              <w:topLinePunct w:val="0"/>
              <w:bidi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2"/>
                <w:szCs w:val="24"/>
              </w:rPr>
              <w:t>与项目有关的原有环境污染问题</w:t>
            </w:r>
          </w:p>
        </w:tc>
        <w:tc>
          <w:tcPr>
            <w:tcW w:w="8612" w:type="dxa"/>
          </w:tcPr>
          <w:p w14:paraId="1080B7C3">
            <w:pPr>
              <w:keepNext w:val="0"/>
              <w:keepLines w:val="0"/>
              <w:pageBreakBefore w:val="0"/>
              <w:kinsoku/>
              <w:wordWrap/>
              <w:overflowPunct/>
              <w:topLinePunct w:val="0"/>
              <w:autoSpaceDE/>
              <w:autoSpaceDN/>
              <w:bidi w:val="0"/>
              <w:adjustRightInd w:val="0"/>
              <w:snapToGrid w:val="0"/>
              <w:spacing w:line="360" w:lineRule="auto"/>
              <w:ind w:right="0"/>
              <w:jc w:val="left"/>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一</w:t>
            </w:r>
            <w:r>
              <w:rPr>
                <w:rFonts w:hint="default" w:ascii="Times New Roman" w:hAnsi="Times New Roman" w:eastAsia="宋体" w:cs="Times New Roman"/>
                <w:b/>
                <w:color w:val="auto"/>
                <w:sz w:val="24"/>
              </w:rPr>
              <w:t>、</w:t>
            </w:r>
            <w:r>
              <w:rPr>
                <w:rFonts w:hint="default" w:ascii="Times New Roman" w:hAnsi="Times New Roman" w:eastAsia="宋体" w:cs="Times New Roman"/>
                <w:b/>
                <w:bCs/>
                <w:color w:val="auto"/>
                <w:sz w:val="24"/>
                <w:szCs w:val="24"/>
              </w:rPr>
              <w:t>现有项目基本情况及环保手续履行情况</w:t>
            </w:r>
          </w:p>
          <w:p w14:paraId="4010B908">
            <w:pPr>
              <w:keepNext w:val="0"/>
              <w:keepLines w:val="0"/>
              <w:pageBreakBefore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1、公司原有环保手续情况</w:t>
            </w:r>
          </w:p>
          <w:p w14:paraId="2CDAC4C0">
            <w:pPr>
              <w:keepNext w:val="0"/>
              <w:keepLines w:val="0"/>
              <w:pageBreakBefore w:val="0"/>
              <w:widowControl/>
              <w:kinsoku/>
              <w:wordWrap/>
              <w:overflowPunct/>
              <w:topLinePunct w:val="0"/>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公司于2019年5月申报“轨道交通配套金属制品新建项目环境影响报告表”，于2019年8月26日取得了常州市生态环境局的批复（常金环审[2019]173号），于2019年10月通过环境保护“三同时”自主验收，企业固体污染防治设施于2020年2月6日通过常州市生态环境局验收（常环金验（2020）39号）。</w:t>
            </w:r>
          </w:p>
          <w:p w14:paraId="26A519C1">
            <w:pPr>
              <w:keepNext w:val="0"/>
              <w:keepLines w:val="0"/>
              <w:pageBreakBefore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2、排污许可证申领情况</w:t>
            </w:r>
          </w:p>
          <w:p w14:paraId="4BC19247">
            <w:pPr>
              <w:keepNext w:val="0"/>
              <w:keepLines w:val="0"/>
              <w:pageBreakBefore w:val="0"/>
              <w:widowControl/>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企业于2020年5月6日取得了排污许可登记，登记编号：91320400MA1MNXJD1N001X。</w:t>
            </w:r>
          </w:p>
          <w:p w14:paraId="58D39E94">
            <w:pPr>
              <w:keepNext w:val="0"/>
              <w:keepLines w:val="0"/>
              <w:pageBreakBefore w:val="0"/>
              <w:widowControl/>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3、突发环境事件应急预案备案情况</w:t>
            </w:r>
          </w:p>
          <w:p w14:paraId="5F66D936">
            <w:pPr>
              <w:keepNext w:val="0"/>
              <w:keepLines w:val="0"/>
              <w:pageBreakBefore w:val="0"/>
              <w:widowControl/>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建设单位已按要求编制《突发环境事件应急预案》并进行备案（备案号：320482-2022-086L）。</w:t>
            </w:r>
          </w:p>
          <w:p w14:paraId="7C915B09">
            <w:pPr>
              <w:keepNext w:val="0"/>
              <w:keepLines w:val="0"/>
              <w:pageBreakBefore w:val="0"/>
              <w:widowControl w:val="0"/>
              <w:kinsoku/>
              <w:wordWrap/>
              <w:overflowPunct/>
              <w:topLinePunct w:val="0"/>
              <w:autoSpaceDE/>
              <w:autoSpaceDN/>
              <w:bidi w:val="0"/>
              <w:adjustRightInd w:val="0"/>
              <w:snapToGrid w:val="0"/>
              <w:spacing w:before="95" w:beforeLines="30" w:line="240" w:lineRule="auto"/>
              <w:ind w:left="0" w:right="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表2-</w:t>
            </w:r>
            <w:r>
              <w:rPr>
                <w:rFonts w:hint="default" w:ascii="Times New Roman" w:hAnsi="Times New Roman" w:eastAsia="宋体" w:cs="Times New Roman"/>
                <w:b/>
                <w:bCs/>
                <w:color w:val="auto"/>
                <w:szCs w:val="21"/>
                <w:lang w:val="en-US" w:eastAsia="zh-CN"/>
              </w:rPr>
              <w:t xml:space="preserve">6  </w:t>
            </w:r>
            <w:r>
              <w:rPr>
                <w:rFonts w:hint="default" w:ascii="Times New Roman" w:hAnsi="Times New Roman" w:eastAsia="宋体" w:cs="Times New Roman"/>
                <w:b/>
                <w:bCs/>
                <w:color w:val="auto"/>
                <w:szCs w:val="21"/>
              </w:rPr>
              <w:t>原有项目</w:t>
            </w:r>
            <w:r>
              <w:rPr>
                <w:rFonts w:hint="default" w:ascii="Times New Roman" w:hAnsi="Times New Roman" w:eastAsia="宋体" w:cs="Times New Roman"/>
                <w:b/>
                <w:bCs/>
                <w:color w:val="auto"/>
                <w:szCs w:val="21"/>
                <w:lang w:val="en-US" w:eastAsia="zh-CN"/>
              </w:rPr>
              <w:t>环保</w:t>
            </w:r>
            <w:r>
              <w:rPr>
                <w:rFonts w:hint="default" w:ascii="Times New Roman" w:hAnsi="Times New Roman" w:eastAsia="宋体" w:cs="Times New Roman"/>
                <w:b/>
                <w:bCs/>
                <w:color w:val="auto"/>
                <w:szCs w:val="21"/>
              </w:rPr>
              <w:t>手续履行情况</w:t>
            </w:r>
          </w:p>
          <w:tbl>
            <w:tblPr>
              <w:tblStyle w:val="27"/>
              <w:tblW w:w="495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40"/>
              <w:gridCol w:w="1789"/>
              <w:gridCol w:w="2498"/>
              <w:gridCol w:w="3485"/>
            </w:tblGrid>
            <w:tr w14:paraId="3CD2D2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vAlign w:val="center"/>
                </w:tcPr>
                <w:p w14:paraId="77C7BAE2">
                  <w:pPr>
                    <w:keepNext w:val="0"/>
                    <w:keepLines w:val="0"/>
                    <w:pageBreakBefore w:val="0"/>
                    <w:widowControl/>
                    <w:kinsoku/>
                    <w:wordWrap/>
                    <w:overflowPunct/>
                    <w:topLinePunct w:val="0"/>
                    <w:bidi w:val="0"/>
                    <w:adjustRightInd w:val="0"/>
                    <w:snapToGrid w:val="0"/>
                    <w:ind w:left="0" w:right="0"/>
                    <w:contextualSpacing/>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序号</w:t>
                  </w:r>
                </w:p>
              </w:tc>
              <w:tc>
                <w:tcPr>
                  <w:tcW w:w="1076" w:type="pct"/>
                  <w:vAlign w:val="center"/>
                </w:tcPr>
                <w:p w14:paraId="19A75C04">
                  <w:pPr>
                    <w:keepNext w:val="0"/>
                    <w:keepLines w:val="0"/>
                    <w:pageBreakBefore w:val="0"/>
                    <w:kinsoku/>
                    <w:wordWrap/>
                    <w:overflowPunct/>
                    <w:topLinePunct w:val="0"/>
                    <w:bidi w:val="0"/>
                    <w:adjustRightInd w:val="0"/>
                    <w:snapToGrid w:val="0"/>
                    <w:ind w:left="0" w:right="0"/>
                    <w:contextualSpacing/>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项目名称</w:t>
                  </w:r>
                </w:p>
              </w:tc>
              <w:tc>
                <w:tcPr>
                  <w:tcW w:w="1502" w:type="pct"/>
                  <w:vAlign w:val="center"/>
                </w:tcPr>
                <w:p w14:paraId="183A5B58">
                  <w:pPr>
                    <w:keepNext w:val="0"/>
                    <w:keepLines w:val="0"/>
                    <w:pageBreakBefore w:val="0"/>
                    <w:widowControl/>
                    <w:kinsoku/>
                    <w:wordWrap/>
                    <w:overflowPunct/>
                    <w:topLinePunct w:val="0"/>
                    <w:bidi w:val="0"/>
                    <w:adjustRightInd w:val="0"/>
                    <w:snapToGrid w:val="0"/>
                    <w:ind w:left="0" w:right="0"/>
                    <w:contextualSpacing/>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审批部门、文号及时间</w:t>
                  </w:r>
                </w:p>
              </w:tc>
              <w:tc>
                <w:tcPr>
                  <w:tcW w:w="2095" w:type="pct"/>
                  <w:vAlign w:val="center"/>
                </w:tcPr>
                <w:p w14:paraId="0139D38A">
                  <w:pPr>
                    <w:keepNext w:val="0"/>
                    <w:keepLines w:val="0"/>
                    <w:pageBreakBefore w:val="0"/>
                    <w:widowControl/>
                    <w:kinsoku/>
                    <w:wordWrap/>
                    <w:overflowPunct/>
                    <w:topLinePunct w:val="0"/>
                    <w:bidi w:val="0"/>
                    <w:adjustRightInd w:val="0"/>
                    <w:snapToGrid w:val="0"/>
                    <w:ind w:left="0" w:right="0"/>
                    <w:contextualSpacing/>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b/>
                      <w:bCs/>
                      <w:color w:val="auto"/>
                      <w:kern w:val="0"/>
                      <w:sz w:val="21"/>
                      <w:szCs w:val="21"/>
                    </w:rPr>
                    <w:t>验收部门及时间</w:t>
                  </w:r>
                </w:p>
              </w:tc>
            </w:tr>
            <w:tr w14:paraId="621BD5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vMerge w:val="restart"/>
                  <w:vAlign w:val="center"/>
                </w:tcPr>
                <w:p w14:paraId="4AF06177">
                  <w:pPr>
                    <w:keepNext w:val="0"/>
                    <w:keepLines w:val="0"/>
                    <w:pageBreakBefore w:val="0"/>
                    <w:widowControl/>
                    <w:kinsoku/>
                    <w:wordWrap/>
                    <w:overflowPunct/>
                    <w:topLinePunct w:val="0"/>
                    <w:bidi w:val="0"/>
                    <w:adjustRightInd w:val="0"/>
                    <w:snapToGrid w:val="0"/>
                    <w:ind w:left="0" w:right="0"/>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1</w:t>
                  </w:r>
                </w:p>
              </w:tc>
              <w:tc>
                <w:tcPr>
                  <w:tcW w:w="1076" w:type="pct"/>
                  <w:vMerge w:val="restart"/>
                  <w:vAlign w:val="center"/>
                </w:tcPr>
                <w:p w14:paraId="51C0AE0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lang w:val="en-US" w:eastAsia="zh-CN"/>
                    </w:rPr>
                    <w:t>轨道交通配套金属制品新建项目</w:t>
                  </w:r>
                </w:p>
              </w:tc>
              <w:tc>
                <w:tcPr>
                  <w:tcW w:w="1502" w:type="pct"/>
                  <w:vMerge w:val="restart"/>
                  <w:vAlign w:val="center"/>
                </w:tcPr>
                <w:p w14:paraId="1A9B2F26">
                  <w:pPr>
                    <w:pStyle w:val="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2019年8月26日</w:t>
                  </w:r>
                </w:p>
                <w:p w14:paraId="72115A1F">
                  <w:pPr>
                    <w:pStyle w:val="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常州市生态环境局</w:t>
                  </w:r>
                </w:p>
                <w:p w14:paraId="0613B9EC">
                  <w:pPr>
                    <w:pStyle w:val="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常金环审[2019]173号</w:t>
                  </w:r>
                </w:p>
              </w:tc>
              <w:tc>
                <w:tcPr>
                  <w:tcW w:w="2095" w:type="pct"/>
                  <w:vAlign w:val="center"/>
                </w:tcPr>
                <w:p w14:paraId="728047CC">
                  <w:pPr>
                    <w:keepNext w:val="0"/>
                    <w:keepLines w:val="0"/>
                    <w:pageBreakBefore w:val="0"/>
                    <w:widowControl/>
                    <w:kinsoku/>
                    <w:wordWrap/>
                    <w:overflowPunct/>
                    <w:topLinePunct w:val="0"/>
                    <w:autoSpaceDE/>
                    <w:autoSpaceDN/>
                    <w:bidi w:val="0"/>
                    <w:adjustRightInd w:val="0"/>
                    <w:snapToGrid w:val="0"/>
                    <w:spacing w:line="240" w:lineRule="auto"/>
                    <w:ind w:left="0" w:right="0"/>
                    <w:contextualSpacing/>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2019年10自主验收</w:t>
                  </w:r>
                </w:p>
              </w:tc>
            </w:tr>
            <w:tr w14:paraId="286257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vMerge w:val="continue"/>
                  <w:vAlign w:val="center"/>
                </w:tcPr>
                <w:p w14:paraId="64988770">
                  <w:pPr>
                    <w:pStyle w:val="8"/>
                    <w:keepNext w:val="0"/>
                    <w:keepLines w:val="0"/>
                    <w:pageBreakBefore w:val="0"/>
                    <w:kinsoku/>
                    <w:wordWrap/>
                    <w:overflowPunct/>
                    <w:topLinePunct w:val="0"/>
                    <w:autoSpaceDE/>
                    <w:autoSpaceDN/>
                    <w:bidi w:val="0"/>
                    <w:adjustRightInd w:val="0"/>
                    <w:snapToGrid w:val="0"/>
                    <w:spacing w:before="0" w:after="0" w:line="240" w:lineRule="auto"/>
                    <w:ind w:right="0" w:rightChars="0"/>
                    <w:jc w:val="center"/>
                    <w:textAlignment w:val="auto"/>
                    <w:rPr>
                      <w:rFonts w:hint="default" w:ascii="Times New Roman" w:hAnsi="Times New Roman" w:eastAsia="宋体" w:cs="Times New Roman"/>
                      <w:color w:val="auto"/>
                      <w:sz w:val="21"/>
                      <w:szCs w:val="21"/>
                    </w:rPr>
                  </w:pPr>
                </w:p>
              </w:tc>
              <w:tc>
                <w:tcPr>
                  <w:tcW w:w="1076" w:type="pct"/>
                  <w:vMerge w:val="continue"/>
                  <w:vAlign w:val="center"/>
                </w:tcPr>
                <w:p w14:paraId="55F71188">
                  <w:pPr>
                    <w:pStyle w:val="8"/>
                    <w:keepNext w:val="0"/>
                    <w:keepLines w:val="0"/>
                    <w:pageBreakBefore w:val="0"/>
                    <w:kinsoku/>
                    <w:wordWrap/>
                    <w:overflowPunct/>
                    <w:topLinePunct w:val="0"/>
                    <w:autoSpaceDE/>
                    <w:autoSpaceDN/>
                    <w:bidi w:val="0"/>
                    <w:adjustRightInd w:val="0"/>
                    <w:snapToGrid w:val="0"/>
                    <w:spacing w:before="0" w:after="0" w:line="240" w:lineRule="auto"/>
                    <w:ind w:right="0" w:rightChars="0"/>
                    <w:jc w:val="center"/>
                    <w:textAlignment w:val="auto"/>
                    <w:rPr>
                      <w:rFonts w:hint="default" w:ascii="Times New Roman" w:hAnsi="Times New Roman" w:eastAsia="宋体" w:cs="Times New Roman"/>
                      <w:color w:val="auto"/>
                      <w:sz w:val="21"/>
                      <w:szCs w:val="21"/>
                    </w:rPr>
                  </w:pPr>
                </w:p>
              </w:tc>
              <w:tc>
                <w:tcPr>
                  <w:tcW w:w="1502" w:type="pct"/>
                  <w:vMerge w:val="continue"/>
                  <w:vAlign w:val="center"/>
                </w:tcPr>
                <w:p w14:paraId="227E229E">
                  <w:pPr>
                    <w:pStyle w:val="8"/>
                    <w:keepNext w:val="0"/>
                    <w:keepLines w:val="0"/>
                    <w:pageBreakBefore w:val="0"/>
                    <w:kinsoku/>
                    <w:wordWrap/>
                    <w:overflowPunct/>
                    <w:topLinePunct w:val="0"/>
                    <w:autoSpaceDE/>
                    <w:autoSpaceDN/>
                    <w:bidi w:val="0"/>
                    <w:adjustRightInd w:val="0"/>
                    <w:snapToGrid w:val="0"/>
                    <w:spacing w:before="0" w:after="0" w:line="240" w:lineRule="auto"/>
                    <w:ind w:right="0" w:rightChars="0"/>
                    <w:jc w:val="center"/>
                    <w:textAlignment w:val="auto"/>
                    <w:rPr>
                      <w:rFonts w:hint="default" w:ascii="Times New Roman" w:hAnsi="Times New Roman" w:eastAsia="宋体" w:cs="Times New Roman"/>
                      <w:color w:val="auto"/>
                      <w:sz w:val="21"/>
                      <w:szCs w:val="21"/>
                    </w:rPr>
                  </w:pPr>
                </w:p>
              </w:tc>
              <w:tc>
                <w:tcPr>
                  <w:tcW w:w="2095" w:type="pct"/>
                  <w:vAlign w:val="center"/>
                </w:tcPr>
                <w:p w14:paraId="738B807F">
                  <w:pPr>
                    <w:pStyle w:val="8"/>
                    <w:keepNext w:val="0"/>
                    <w:keepLines w:val="0"/>
                    <w:pageBreakBefore w:val="0"/>
                    <w:kinsoku/>
                    <w:wordWrap/>
                    <w:overflowPunct/>
                    <w:topLinePunct w:val="0"/>
                    <w:autoSpaceDE/>
                    <w:autoSpaceDN/>
                    <w:bidi w:val="0"/>
                    <w:adjustRightInd w:val="0"/>
                    <w:snapToGrid w:val="0"/>
                    <w:spacing w:before="0" w:after="0" w:line="240" w:lineRule="auto"/>
                    <w:ind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2020年2月6日通过固废验收</w:t>
                  </w:r>
                </w:p>
              </w:tc>
            </w:tr>
            <w:tr w14:paraId="7B9499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25" w:type="pct"/>
                  <w:vAlign w:val="center"/>
                </w:tcPr>
                <w:p w14:paraId="13432B9B">
                  <w:pPr>
                    <w:keepNext w:val="0"/>
                    <w:keepLines w:val="0"/>
                    <w:pageBreakBefore w:val="0"/>
                    <w:widowControl/>
                    <w:kinsoku/>
                    <w:wordWrap/>
                    <w:overflowPunct/>
                    <w:topLinePunct w:val="0"/>
                    <w:bidi w:val="0"/>
                    <w:adjustRightInd w:val="0"/>
                    <w:snapToGrid w:val="0"/>
                    <w:ind w:left="0" w:right="0"/>
                    <w:contextualSpacing/>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2</w:t>
                  </w:r>
                </w:p>
              </w:tc>
              <w:tc>
                <w:tcPr>
                  <w:tcW w:w="1076" w:type="pct"/>
                  <w:vAlign w:val="center"/>
                </w:tcPr>
                <w:p w14:paraId="05D11E8F">
                  <w:pPr>
                    <w:keepNext w:val="0"/>
                    <w:keepLines w:val="0"/>
                    <w:pageBreakBefore w:val="0"/>
                    <w:kinsoku/>
                    <w:wordWrap/>
                    <w:overflowPunct/>
                    <w:topLinePunct w:val="0"/>
                    <w:bidi w:val="0"/>
                    <w:adjustRightInd w:val="0"/>
                    <w:snapToGrid w:val="0"/>
                    <w:ind w:left="0" w:right="0"/>
                    <w:contextualSpacing/>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排污</w:t>
                  </w:r>
                  <w:r>
                    <w:rPr>
                      <w:rFonts w:hint="default" w:ascii="Times New Roman" w:hAnsi="Times New Roman" w:eastAsia="宋体" w:cs="Times New Roman"/>
                      <w:color w:val="auto"/>
                      <w:sz w:val="21"/>
                      <w:szCs w:val="21"/>
                      <w:lang w:val="en-US" w:eastAsia="zh-CN"/>
                    </w:rPr>
                    <w:t>许可</w:t>
                  </w:r>
                </w:p>
              </w:tc>
              <w:tc>
                <w:tcPr>
                  <w:tcW w:w="3598" w:type="pct"/>
                  <w:gridSpan w:val="2"/>
                  <w:vAlign w:val="center"/>
                </w:tcPr>
                <w:p w14:paraId="08136D87">
                  <w:pPr>
                    <w:keepNext w:val="0"/>
                    <w:keepLines w:val="0"/>
                    <w:pageBreakBefore w:val="0"/>
                    <w:kinsoku/>
                    <w:wordWrap/>
                    <w:overflowPunct/>
                    <w:topLinePunct w:val="0"/>
                    <w:bidi w:val="0"/>
                    <w:adjustRightInd w:val="0"/>
                    <w:snapToGrid w:val="0"/>
                    <w:ind w:left="0" w:right="0"/>
                    <w:contextualSpacing/>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常州市生态环境局</w:t>
                  </w:r>
                </w:p>
                <w:p w14:paraId="02BD7E77">
                  <w:pPr>
                    <w:keepNext w:val="0"/>
                    <w:keepLines w:val="0"/>
                    <w:pageBreakBefore w:val="0"/>
                    <w:kinsoku/>
                    <w:wordWrap/>
                    <w:overflowPunct/>
                    <w:topLinePunct w:val="0"/>
                    <w:bidi w:val="0"/>
                    <w:adjustRightInd w:val="0"/>
                    <w:snapToGrid w:val="0"/>
                    <w:ind w:left="0" w:right="0"/>
                    <w:contextualSpacing/>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证书编号：</w:t>
                  </w:r>
                  <w:r>
                    <w:rPr>
                      <w:rFonts w:hint="default" w:ascii="Times New Roman" w:hAnsi="Times New Roman" w:eastAsia="宋体" w:cs="Times New Roman"/>
                      <w:color w:val="auto"/>
                      <w:sz w:val="21"/>
                      <w:szCs w:val="21"/>
                      <w:lang w:val="en-US" w:eastAsia="zh-CN"/>
                    </w:rPr>
                    <w:t>91320400MA1MNXJD1N001X</w:t>
                  </w:r>
                </w:p>
                <w:p w14:paraId="28BB8B5D">
                  <w:pPr>
                    <w:keepNext w:val="0"/>
                    <w:keepLines w:val="0"/>
                    <w:pageBreakBefore w:val="0"/>
                    <w:kinsoku/>
                    <w:wordWrap/>
                    <w:overflowPunct/>
                    <w:topLinePunct w:val="0"/>
                    <w:bidi w:val="0"/>
                    <w:adjustRightInd w:val="0"/>
                    <w:snapToGrid w:val="0"/>
                    <w:ind w:left="0" w:right="0"/>
                    <w:contextualSpacing/>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rPr>
                    <w:t>有效期限：202</w:t>
                  </w:r>
                  <w:r>
                    <w:rPr>
                      <w:rFonts w:hint="default" w:ascii="Times New Roman" w:hAnsi="Times New Roman" w:eastAsia="宋体" w:cs="Times New Roman"/>
                      <w:color w:val="auto"/>
                      <w:kern w:val="0"/>
                      <w:sz w:val="21"/>
                      <w:szCs w:val="21"/>
                      <w:lang w:val="en-US" w:eastAsia="zh-CN"/>
                    </w:rPr>
                    <w:t>0</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月</w:t>
                  </w:r>
                  <w:r>
                    <w:rPr>
                      <w:rFonts w:hint="default" w:ascii="Times New Roman" w:hAnsi="Times New Roman" w:eastAsia="宋体" w:cs="Times New Roman"/>
                      <w:color w:val="auto"/>
                      <w:kern w:val="0"/>
                      <w:sz w:val="21"/>
                      <w:szCs w:val="21"/>
                      <w:lang w:val="en-US" w:eastAsia="zh-CN"/>
                    </w:rPr>
                    <w:t>6</w:t>
                  </w:r>
                  <w:r>
                    <w:rPr>
                      <w:rFonts w:hint="default" w:ascii="Times New Roman" w:hAnsi="Times New Roman" w:eastAsia="宋体" w:cs="Times New Roman"/>
                      <w:color w:val="auto"/>
                      <w:kern w:val="0"/>
                      <w:sz w:val="21"/>
                      <w:szCs w:val="21"/>
                    </w:rPr>
                    <w:t>日至202</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月</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日止</w:t>
                  </w:r>
                </w:p>
              </w:tc>
            </w:tr>
          </w:tbl>
          <w:p w14:paraId="203550DB">
            <w:pPr>
              <w:keepNext w:val="0"/>
              <w:keepLines w:val="0"/>
              <w:pageBreakBefore w:val="0"/>
              <w:kinsoku/>
              <w:wordWrap/>
              <w:overflowPunct/>
              <w:topLinePunct w:val="0"/>
              <w:bidi w:val="0"/>
              <w:adjustRightInd w:val="0"/>
              <w:snapToGrid w:val="0"/>
              <w:spacing w:line="500" w:lineRule="exact"/>
              <w:ind w:left="0" w:right="0" w:firstLine="480" w:firstLineChars="200"/>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lang w:val="en-US" w:eastAsia="zh-CN"/>
              </w:rPr>
              <w:t>4、现有项目产品方案</w:t>
            </w:r>
          </w:p>
          <w:p w14:paraId="7F771C62">
            <w:pPr>
              <w:keepNext w:val="0"/>
              <w:keepLines w:val="0"/>
              <w:pageBreakBefore w:val="0"/>
              <w:widowControl w:val="0"/>
              <w:kinsoku/>
              <w:wordWrap/>
              <w:overflowPunct/>
              <w:topLinePunct w:val="0"/>
              <w:autoSpaceDE/>
              <w:autoSpaceDN/>
              <w:bidi w:val="0"/>
              <w:adjustRightInd w:val="0"/>
              <w:snapToGrid w:val="0"/>
              <w:spacing w:line="500" w:lineRule="exact"/>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default" w:ascii="Times New Roman" w:hAnsi="Times New Roman" w:eastAsia="宋体" w:cs="Times New Roman"/>
                <w:b/>
                <w:bCs/>
                <w:color w:val="auto"/>
                <w:sz w:val="21"/>
                <w:szCs w:val="21"/>
                <w:highlight w:val="none"/>
                <w:lang w:val="en-US" w:eastAsia="zh-CN"/>
              </w:rPr>
              <w:t>7 现有</w:t>
            </w:r>
            <w:r>
              <w:rPr>
                <w:rFonts w:hint="default" w:ascii="Times New Roman" w:hAnsi="Times New Roman" w:eastAsia="宋体" w:cs="Times New Roman"/>
                <w:b/>
                <w:bCs/>
                <w:color w:val="auto"/>
                <w:sz w:val="21"/>
                <w:szCs w:val="21"/>
                <w:highlight w:val="none"/>
              </w:rPr>
              <w:t>项目产品方案一览表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3205"/>
              <w:gridCol w:w="1498"/>
              <w:gridCol w:w="1463"/>
              <w:gridCol w:w="1581"/>
            </w:tblGrid>
            <w:tr w14:paraId="2BDB36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13920D8D">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908" w:type="pct"/>
                  <w:vAlign w:val="center"/>
                </w:tcPr>
                <w:p w14:paraId="4E01F10E">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产品名称</w:t>
                  </w:r>
                </w:p>
              </w:tc>
              <w:tc>
                <w:tcPr>
                  <w:tcW w:w="892" w:type="pct"/>
                  <w:vAlign w:val="center"/>
                </w:tcPr>
                <w:p w14:paraId="2C03FAB9">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设计</w:t>
                  </w:r>
                  <w:r>
                    <w:rPr>
                      <w:rFonts w:hint="default" w:ascii="Times New Roman" w:hAnsi="Times New Roman" w:eastAsia="宋体" w:cs="Times New Roman"/>
                      <w:b/>
                      <w:bCs/>
                      <w:color w:val="auto"/>
                      <w:sz w:val="21"/>
                      <w:szCs w:val="21"/>
                    </w:rPr>
                    <w:t>生产能力</w:t>
                  </w:r>
                </w:p>
              </w:tc>
              <w:tc>
                <w:tcPr>
                  <w:tcW w:w="871" w:type="pct"/>
                  <w:vAlign w:val="center"/>
                </w:tcPr>
                <w:p w14:paraId="4E317B34">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验收情况</w:t>
                  </w:r>
                </w:p>
              </w:tc>
              <w:tc>
                <w:tcPr>
                  <w:tcW w:w="941" w:type="pct"/>
                  <w:vAlign w:val="center"/>
                </w:tcPr>
                <w:p w14:paraId="347B86F0">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年运行时数h</w:t>
                  </w:r>
                </w:p>
              </w:tc>
            </w:tr>
            <w:tr w14:paraId="58E133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2C027C24">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908" w:type="pct"/>
                  <w:vAlign w:val="center"/>
                </w:tcPr>
                <w:p w14:paraId="336743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安检设备柜</w:t>
                  </w:r>
                </w:p>
              </w:tc>
              <w:tc>
                <w:tcPr>
                  <w:tcW w:w="892" w:type="pct"/>
                  <w:vAlign w:val="center"/>
                </w:tcPr>
                <w:p w14:paraId="7A4883D9">
                  <w:pPr>
                    <w:keepNext w:val="0"/>
                    <w:keepLines w:val="0"/>
                    <w:pageBreakBefore w:val="0"/>
                    <w:widowControl w:val="0"/>
                    <w:tabs>
                      <w:tab w:val="left" w:pos="542"/>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344台</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578DE48E">
                  <w:pPr>
                    <w:keepNext w:val="0"/>
                    <w:keepLines w:val="0"/>
                    <w:pageBreakBefore w:val="0"/>
                    <w:widowControl w:val="0"/>
                    <w:tabs>
                      <w:tab w:val="left" w:pos="542"/>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344台</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507B13F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365E3C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21D37052">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908" w:type="pct"/>
                  <w:vAlign w:val="center"/>
                </w:tcPr>
                <w:p w14:paraId="1730A4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安检提示牌</w:t>
                  </w:r>
                </w:p>
              </w:tc>
              <w:tc>
                <w:tcPr>
                  <w:tcW w:w="892" w:type="pct"/>
                  <w:vAlign w:val="center"/>
                </w:tcPr>
                <w:p w14:paraId="240A59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7232件</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509F4A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7232件</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2023A8E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6829E4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36E85707">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908" w:type="pct"/>
                  <w:vAlign w:val="center"/>
                </w:tcPr>
                <w:p w14:paraId="33EC56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开包操作台</w:t>
                  </w:r>
                </w:p>
              </w:tc>
              <w:tc>
                <w:tcPr>
                  <w:tcW w:w="892" w:type="pct"/>
                  <w:vAlign w:val="center"/>
                </w:tcPr>
                <w:p w14:paraId="748BA6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459套</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642B39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459套</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18249B4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4209E0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3505AE62">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908" w:type="pct"/>
                  <w:vAlign w:val="center"/>
                </w:tcPr>
                <w:p w14:paraId="365EDA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rPr>
                    <w:t>地铁导流带</w:t>
                  </w:r>
                </w:p>
              </w:tc>
              <w:tc>
                <w:tcPr>
                  <w:tcW w:w="892" w:type="pct"/>
                  <w:vAlign w:val="center"/>
                </w:tcPr>
                <w:p w14:paraId="0876C4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31338套</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18BCDF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rPr>
                    <w:t>31338套</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50D424F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4A810F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6E80E89D">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908" w:type="pct"/>
                  <w:vAlign w:val="center"/>
                </w:tcPr>
                <w:p w14:paraId="65A1CE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安检围挡</w:t>
                  </w:r>
                </w:p>
              </w:tc>
              <w:tc>
                <w:tcPr>
                  <w:tcW w:w="892" w:type="pct"/>
                  <w:vAlign w:val="center"/>
                </w:tcPr>
                <w:p w14:paraId="5D1F15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2030套</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1360C5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2030套</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72A288B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33538E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7BE24A0A">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908" w:type="pct"/>
                  <w:vAlign w:val="center"/>
                </w:tcPr>
                <w:p w14:paraId="599B3E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铁马护栏</w:t>
                  </w:r>
                </w:p>
              </w:tc>
              <w:tc>
                <w:tcPr>
                  <w:tcW w:w="892" w:type="pct"/>
                  <w:vAlign w:val="center"/>
                </w:tcPr>
                <w:p w14:paraId="0362C2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1000件</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713411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1000件</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28C1BDA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r w14:paraId="734C2B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85" w:type="pct"/>
                  <w:vAlign w:val="center"/>
                </w:tcPr>
                <w:p w14:paraId="076660EF">
                  <w:pPr>
                    <w:pStyle w:val="54"/>
                    <w:keepNext w:val="0"/>
                    <w:keepLines w:val="0"/>
                    <w:pageBreakBefore w:val="0"/>
                    <w:kinsoku/>
                    <w:wordWrap/>
                    <w:overflowPunct/>
                    <w:topLinePunct w:val="0"/>
                    <w:bidi w:val="0"/>
                    <w:adjustRightInd w:val="0"/>
                    <w:snapToGrid w:val="0"/>
                    <w:ind w:left="0" w:right="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908" w:type="pct"/>
                  <w:vAlign w:val="center"/>
                </w:tcPr>
                <w:p w14:paraId="6201AE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移动式Y剂量率连续测量设备</w:t>
                  </w:r>
                </w:p>
              </w:tc>
              <w:tc>
                <w:tcPr>
                  <w:tcW w:w="892" w:type="pct"/>
                  <w:vAlign w:val="center"/>
                </w:tcPr>
                <w:p w14:paraId="6F6720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90套</w:t>
                  </w:r>
                  <w:r>
                    <w:rPr>
                      <w:rFonts w:hint="default" w:ascii="Times New Roman" w:hAnsi="Times New Roman" w:eastAsia="宋体" w:cs="Times New Roman"/>
                      <w:snapToGrid w:val="0"/>
                      <w:color w:val="auto"/>
                      <w:kern w:val="0"/>
                      <w:sz w:val="21"/>
                      <w:szCs w:val="21"/>
                      <w:highlight w:val="none"/>
                    </w:rPr>
                    <w:t>/a</w:t>
                  </w:r>
                </w:p>
              </w:tc>
              <w:tc>
                <w:tcPr>
                  <w:tcW w:w="871" w:type="pct"/>
                  <w:vAlign w:val="center"/>
                </w:tcPr>
                <w:p w14:paraId="3D6138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Cs w:val="21"/>
                    </w:rPr>
                    <w:t>90套</w:t>
                  </w:r>
                  <w:r>
                    <w:rPr>
                      <w:rFonts w:hint="default" w:ascii="Times New Roman" w:hAnsi="Times New Roman" w:eastAsia="宋体" w:cs="Times New Roman"/>
                      <w:snapToGrid w:val="0"/>
                      <w:color w:val="auto"/>
                      <w:kern w:val="0"/>
                      <w:sz w:val="21"/>
                      <w:szCs w:val="21"/>
                      <w:highlight w:val="none"/>
                    </w:rPr>
                    <w:t>/a</w:t>
                  </w:r>
                </w:p>
              </w:tc>
              <w:tc>
                <w:tcPr>
                  <w:tcW w:w="941" w:type="pct"/>
                  <w:vAlign w:val="center"/>
                </w:tcPr>
                <w:p w14:paraId="30CBF5C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2400</w:t>
                  </w:r>
                </w:p>
              </w:tc>
            </w:tr>
          </w:tbl>
          <w:p w14:paraId="37FFB845">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b w:val="0"/>
                <w:bCs/>
                <w:color w:val="auto"/>
                <w:sz w:val="24"/>
                <w:lang w:val="en-US" w:eastAsia="zh-CN"/>
              </w:rPr>
              <w:t xml:space="preserve">   5、现有项目主要原辅材料消耗</w:t>
            </w:r>
          </w:p>
          <w:p w14:paraId="4AF48C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16"/>
                <w:lang w:eastAsia="zh-CN"/>
              </w:rPr>
            </w:pPr>
            <w:r>
              <w:rPr>
                <w:rFonts w:hint="default" w:ascii="Times New Roman" w:hAnsi="Times New Roman" w:eastAsia="宋体" w:cs="Times New Roman"/>
                <w:b/>
                <w:bCs/>
                <w:color w:val="auto"/>
                <w:sz w:val="21"/>
                <w:szCs w:val="16"/>
              </w:rPr>
              <w:t>表2-</w:t>
            </w:r>
            <w:r>
              <w:rPr>
                <w:rFonts w:hint="default" w:ascii="Times New Roman" w:hAnsi="Times New Roman" w:eastAsia="宋体" w:cs="Times New Roman"/>
                <w:b/>
                <w:bCs/>
                <w:color w:val="auto"/>
                <w:sz w:val="21"/>
                <w:szCs w:val="16"/>
                <w:lang w:val="en-US" w:eastAsia="zh-CN"/>
              </w:rPr>
              <w:t>8</w:t>
            </w:r>
            <w:r>
              <w:rPr>
                <w:rFonts w:hint="default" w:ascii="Times New Roman" w:hAnsi="Times New Roman" w:eastAsia="宋体" w:cs="Times New Roman"/>
                <w:b/>
                <w:bCs/>
                <w:color w:val="auto"/>
                <w:sz w:val="21"/>
                <w:szCs w:val="16"/>
              </w:rPr>
              <w:t xml:space="preserve"> </w:t>
            </w:r>
            <w:r>
              <w:rPr>
                <w:rFonts w:hint="default" w:ascii="Times New Roman" w:hAnsi="Times New Roman" w:eastAsia="宋体" w:cs="Times New Roman"/>
                <w:b/>
                <w:bCs/>
                <w:color w:val="auto"/>
                <w:sz w:val="21"/>
                <w:szCs w:val="16"/>
                <w:lang w:eastAsia="zh-CN"/>
              </w:rPr>
              <w:t>现有</w:t>
            </w:r>
            <w:r>
              <w:rPr>
                <w:rFonts w:hint="default" w:ascii="Times New Roman" w:hAnsi="Times New Roman" w:eastAsia="宋体" w:cs="Times New Roman"/>
                <w:b/>
                <w:bCs/>
                <w:color w:val="auto"/>
                <w:sz w:val="21"/>
                <w:szCs w:val="16"/>
              </w:rPr>
              <w:t>项</w:t>
            </w:r>
            <w:r>
              <w:rPr>
                <w:rFonts w:hint="default" w:ascii="Times New Roman" w:hAnsi="Times New Roman" w:eastAsia="宋体" w:cs="Times New Roman"/>
                <w:b/>
                <w:bCs/>
                <w:color w:val="auto"/>
                <w:sz w:val="21"/>
                <w:szCs w:val="16"/>
                <w:lang w:eastAsia="zh-CN"/>
              </w:rPr>
              <w:t>目</w:t>
            </w:r>
            <w:r>
              <w:rPr>
                <w:rFonts w:hint="default" w:ascii="Times New Roman" w:hAnsi="Times New Roman" w:eastAsia="宋体" w:cs="Times New Roman"/>
                <w:b/>
                <w:bCs/>
                <w:color w:val="auto"/>
                <w:sz w:val="21"/>
                <w:szCs w:val="16"/>
                <w:lang w:val="en-US" w:eastAsia="zh-CN"/>
              </w:rPr>
              <w:t>主要原辅材料消耗</w:t>
            </w:r>
            <w:r>
              <w:rPr>
                <w:rFonts w:hint="default" w:ascii="Times New Roman" w:hAnsi="Times New Roman" w:eastAsia="宋体" w:cs="Times New Roman"/>
                <w:b/>
                <w:bCs/>
                <w:color w:val="auto"/>
                <w:sz w:val="21"/>
                <w:szCs w:val="16"/>
                <w:lang w:eastAsia="zh-CN"/>
              </w:rPr>
              <w:t>情况</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1414"/>
              <w:gridCol w:w="2069"/>
              <w:gridCol w:w="924"/>
              <w:gridCol w:w="924"/>
              <w:gridCol w:w="984"/>
              <w:gridCol w:w="2078"/>
            </w:tblGrid>
            <w:tr w14:paraId="1ABE4C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842" w:type="pct"/>
                  <w:vMerge w:val="restart"/>
                  <w:vAlign w:val="center"/>
                </w:tcPr>
                <w:p w14:paraId="28FFEFE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232" w:type="pct"/>
                  <w:vMerge w:val="restart"/>
                  <w:vAlign w:val="center"/>
                </w:tcPr>
                <w:p w14:paraId="7F772C8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规格、成分</w:t>
                  </w:r>
                </w:p>
              </w:tc>
              <w:tc>
                <w:tcPr>
                  <w:tcW w:w="1686" w:type="pct"/>
                  <w:gridSpan w:val="3"/>
                  <w:tcBorders>
                    <w:bottom w:val="single" w:color="auto" w:sz="4" w:space="0"/>
                  </w:tcBorders>
                  <w:vAlign w:val="center"/>
                </w:tcPr>
                <w:p w14:paraId="71ED5AB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年</w:t>
                  </w:r>
                  <w:r>
                    <w:rPr>
                      <w:rFonts w:hint="default" w:ascii="Times New Roman" w:hAnsi="Times New Roman" w:eastAsia="宋体" w:cs="Times New Roman"/>
                      <w:b/>
                      <w:bCs/>
                      <w:color w:val="auto"/>
                      <w:sz w:val="21"/>
                      <w:szCs w:val="21"/>
                    </w:rPr>
                    <w:t>消耗量</w:t>
                  </w:r>
                </w:p>
              </w:tc>
              <w:tc>
                <w:tcPr>
                  <w:tcW w:w="1237" w:type="pct"/>
                  <w:vMerge w:val="restart"/>
                  <w:vAlign w:val="center"/>
                </w:tcPr>
                <w:p w14:paraId="3E792A4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最大储量</w:t>
                  </w:r>
                  <w:r>
                    <w:rPr>
                      <w:rFonts w:hint="default" w:ascii="Times New Roman" w:hAnsi="Times New Roman" w:eastAsia="宋体" w:cs="Times New Roman"/>
                      <w:b/>
                      <w:bCs/>
                      <w:color w:val="auto"/>
                      <w:sz w:val="21"/>
                      <w:szCs w:val="21"/>
                      <w:lang w:val="en-US" w:eastAsia="zh-CN"/>
                    </w:rPr>
                    <w:t>及</w:t>
                  </w:r>
                  <w:r>
                    <w:rPr>
                      <w:rFonts w:hint="default" w:ascii="Times New Roman" w:hAnsi="Times New Roman" w:eastAsia="宋体" w:cs="Times New Roman"/>
                      <w:b/>
                      <w:bCs/>
                      <w:color w:val="auto"/>
                      <w:sz w:val="21"/>
                      <w:szCs w:val="21"/>
                      <w:lang w:eastAsia="zh-CN"/>
                    </w:rPr>
                    <w:t>包装规格</w:t>
                  </w:r>
                </w:p>
              </w:tc>
            </w:tr>
            <w:tr w14:paraId="35FF69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Merge w:val="continue"/>
                  <w:vAlign w:val="center"/>
                </w:tcPr>
                <w:p w14:paraId="52305E6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c>
                <w:tcPr>
                  <w:tcW w:w="1232" w:type="pct"/>
                  <w:vMerge w:val="continue"/>
                  <w:tcBorders>
                    <w:bottom w:val="single" w:color="auto" w:sz="4" w:space="0"/>
                  </w:tcBorders>
                  <w:vAlign w:val="center"/>
                </w:tcPr>
                <w:p w14:paraId="26D691C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c>
                <w:tcPr>
                  <w:tcW w:w="550" w:type="pct"/>
                  <w:tcBorders>
                    <w:top w:val="single" w:color="auto" w:sz="4" w:space="0"/>
                    <w:bottom w:val="single" w:color="auto" w:sz="4" w:space="0"/>
                    <w:right w:val="single" w:color="auto" w:sz="4" w:space="0"/>
                  </w:tcBorders>
                  <w:vAlign w:val="center"/>
                </w:tcPr>
                <w:p w14:paraId="103CF2D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Cs w:val="21"/>
                      <w:lang w:val="en-US" w:eastAsia="zh-CN"/>
                    </w:rPr>
                    <w:t>环评</w:t>
                  </w:r>
                </w:p>
              </w:tc>
              <w:tc>
                <w:tcPr>
                  <w:tcW w:w="550" w:type="pct"/>
                  <w:tcBorders>
                    <w:top w:val="single" w:color="auto" w:sz="4" w:space="0"/>
                    <w:bottom w:val="single" w:color="auto" w:sz="4" w:space="0"/>
                    <w:right w:val="single" w:color="auto" w:sz="4" w:space="0"/>
                  </w:tcBorders>
                  <w:vAlign w:val="center"/>
                </w:tcPr>
                <w:p w14:paraId="70CBF62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Cs w:val="21"/>
                      <w:lang w:val="en-US" w:eastAsia="zh-CN"/>
                    </w:rPr>
                    <w:t>验收</w:t>
                  </w:r>
                </w:p>
              </w:tc>
              <w:tc>
                <w:tcPr>
                  <w:tcW w:w="585" w:type="pct"/>
                  <w:tcBorders>
                    <w:top w:val="single" w:color="auto" w:sz="4" w:space="0"/>
                    <w:bottom w:val="single" w:color="auto" w:sz="4" w:space="0"/>
                    <w:right w:val="single" w:color="auto" w:sz="4" w:space="0"/>
                  </w:tcBorders>
                  <w:vAlign w:val="center"/>
                </w:tcPr>
                <w:p w14:paraId="0F1C245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Cs w:val="21"/>
                      <w:lang w:val="en-US" w:eastAsia="zh-CN"/>
                    </w:rPr>
                    <w:t>实际消耗</w:t>
                  </w:r>
                </w:p>
              </w:tc>
              <w:tc>
                <w:tcPr>
                  <w:tcW w:w="1237" w:type="pct"/>
                  <w:vMerge w:val="continue"/>
                  <w:vAlign w:val="center"/>
                </w:tcPr>
                <w:p w14:paraId="5718298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 w:val="21"/>
                      <w:szCs w:val="21"/>
                    </w:rPr>
                  </w:pPr>
                </w:p>
              </w:tc>
            </w:tr>
            <w:tr w14:paraId="2538D5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514CC0D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冷轧板</w:t>
                  </w:r>
                </w:p>
              </w:tc>
              <w:tc>
                <w:tcPr>
                  <w:tcW w:w="1232" w:type="pct"/>
                  <w:tcBorders>
                    <w:top w:val="single" w:color="auto" w:sz="4" w:space="0"/>
                  </w:tcBorders>
                  <w:vAlign w:val="center"/>
                </w:tcPr>
                <w:p w14:paraId="68E3E28C">
                  <w:pPr>
                    <w:spacing w:line="36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w:t>
                  </w:r>
                </w:p>
              </w:tc>
              <w:tc>
                <w:tcPr>
                  <w:tcW w:w="550" w:type="pct"/>
                  <w:tcBorders>
                    <w:top w:val="single" w:color="auto" w:sz="4" w:space="0"/>
                  </w:tcBorders>
                  <w:vAlign w:val="center"/>
                </w:tcPr>
                <w:p w14:paraId="463DAFB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张</w:t>
                  </w:r>
                </w:p>
              </w:tc>
              <w:tc>
                <w:tcPr>
                  <w:tcW w:w="550" w:type="pct"/>
                  <w:tcBorders>
                    <w:top w:val="single" w:color="auto" w:sz="4" w:space="0"/>
                  </w:tcBorders>
                  <w:vAlign w:val="center"/>
                </w:tcPr>
                <w:p w14:paraId="49AF5103">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张</w:t>
                  </w:r>
                </w:p>
              </w:tc>
              <w:tc>
                <w:tcPr>
                  <w:tcW w:w="585" w:type="pct"/>
                  <w:tcBorders>
                    <w:top w:val="single" w:color="auto" w:sz="4" w:space="0"/>
                  </w:tcBorders>
                  <w:vAlign w:val="center"/>
                </w:tcPr>
                <w:p w14:paraId="167D755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张</w:t>
                  </w:r>
                </w:p>
              </w:tc>
              <w:tc>
                <w:tcPr>
                  <w:tcW w:w="1237" w:type="pct"/>
                  <w:vAlign w:val="center"/>
                </w:tcPr>
                <w:p w14:paraId="5793C3F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100张，码堆</w:t>
                  </w:r>
                </w:p>
              </w:tc>
            </w:tr>
            <w:tr w14:paraId="61A438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4DA32CE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不锈钢板</w:t>
                  </w:r>
                </w:p>
              </w:tc>
              <w:tc>
                <w:tcPr>
                  <w:tcW w:w="1232" w:type="pct"/>
                  <w:vAlign w:val="center"/>
                </w:tcPr>
                <w:p w14:paraId="274BBDBC">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550" w:type="pct"/>
                  <w:vAlign w:val="center"/>
                </w:tcPr>
                <w:p w14:paraId="398D81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张</w:t>
                  </w:r>
                </w:p>
              </w:tc>
              <w:tc>
                <w:tcPr>
                  <w:tcW w:w="550" w:type="pct"/>
                  <w:vAlign w:val="center"/>
                </w:tcPr>
                <w:p w14:paraId="3FFDE795">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张</w:t>
                  </w:r>
                </w:p>
              </w:tc>
              <w:tc>
                <w:tcPr>
                  <w:tcW w:w="585" w:type="pct"/>
                  <w:vAlign w:val="center"/>
                </w:tcPr>
                <w:p w14:paraId="10D512D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500</w:t>
                  </w:r>
                  <w:r>
                    <w:rPr>
                      <w:rFonts w:hint="default" w:ascii="Times New Roman" w:hAnsi="Times New Roman" w:eastAsia="宋体" w:cs="Times New Roman"/>
                      <w:color w:val="auto"/>
                      <w:sz w:val="21"/>
                      <w:szCs w:val="21"/>
                      <w:highlight w:val="none"/>
                    </w:rPr>
                    <w:t>张</w:t>
                  </w:r>
                </w:p>
              </w:tc>
              <w:tc>
                <w:tcPr>
                  <w:tcW w:w="1237" w:type="pct"/>
                  <w:vAlign w:val="center"/>
                </w:tcPr>
                <w:p w14:paraId="3399508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200张，码堆</w:t>
                  </w:r>
                </w:p>
              </w:tc>
            </w:tr>
            <w:tr w14:paraId="00D1CA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016BF7E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不锈钢管</w:t>
                  </w:r>
                </w:p>
              </w:tc>
              <w:tc>
                <w:tcPr>
                  <w:tcW w:w="1232" w:type="pct"/>
                  <w:vAlign w:val="center"/>
                </w:tcPr>
                <w:p w14:paraId="114F3E9C">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550" w:type="pct"/>
                  <w:vAlign w:val="center"/>
                </w:tcPr>
                <w:p w14:paraId="1AA8578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47000根</w:t>
                  </w:r>
                </w:p>
              </w:tc>
              <w:tc>
                <w:tcPr>
                  <w:tcW w:w="550" w:type="pct"/>
                  <w:vAlign w:val="center"/>
                </w:tcPr>
                <w:p w14:paraId="2B2768E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47000根</w:t>
                  </w:r>
                </w:p>
              </w:tc>
              <w:tc>
                <w:tcPr>
                  <w:tcW w:w="585" w:type="pct"/>
                  <w:vAlign w:val="center"/>
                </w:tcPr>
                <w:p w14:paraId="5828287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47000根</w:t>
                  </w:r>
                </w:p>
              </w:tc>
              <w:tc>
                <w:tcPr>
                  <w:tcW w:w="1237" w:type="pct"/>
                  <w:vAlign w:val="center"/>
                </w:tcPr>
                <w:p w14:paraId="682472E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2000根，捆扎</w:t>
                  </w:r>
                </w:p>
              </w:tc>
            </w:tr>
            <w:tr w14:paraId="790D78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054A32E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冷轧钢板</w:t>
                  </w:r>
                </w:p>
              </w:tc>
              <w:tc>
                <w:tcPr>
                  <w:tcW w:w="1232" w:type="pct"/>
                  <w:vAlign w:val="center"/>
                </w:tcPr>
                <w:p w14:paraId="396E40AD">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550" w:type="pct"/>
                  <w:vAlign w:val="center"/>
                </w:tcPr>
                <w:p w14:paraId="0AEC0EE0">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张</w:t>
                  </w:r>
                </w:p>
              </w:tc>
              <w:tc>
                <w:tcPr>
                  <w:tcW w:w="550" w:type="pct"/>
                  <w:vAlign w:val="center"/>
                </w:tcPr>
                <w:p w14:paraId="2BB5229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张</w:t>
                  </w:r>
                </w:p>
              </w:tc>
              <w:tc>
                <w:tcPr>
                  <w:tcW w:w="585" w:type="pct"/>
                  <w:vAlign w:val="center"/>
                </w:tcPr>
                <w:p w14:paraId="21F2F51F">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张</w:t>
                  </w:r>
                </w:p>
              </w:tc>
              <w:tc>
                <w:tcPr>
                  <w:tcW w:w="1237" w:type="pct"/>
                  <w:vAlign w:val="center"/>
                </w:tcPr>
                <w:p w14:paraId="435573C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50张，码堆</w:t>
                  </w:r>
                </w:p>
              </w:tc>
            </w:tr>
            <w:tr w14:paraId="42D94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3779462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防火板</w:t>
                  </w:r>
                </w:p>
              </w:tc>
              <w:tc>
                <w:tcPr>
                  <w:tcW w:w="1232" w:type="pct"/>
                  <w:vAlign w:val="center"/>
                </w:tcPr>
                <w:p w14:paraId="1240E22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p>
              </w:tc>
              <w:tc>
                <w:tcPr>
                  <w:tcW w:w="550" w:type="pct"/>
                  <w:vAlign w:val="center"/>
                </w:tcPr>
                <w:p w14:paraId="4580EED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rPr>
                    <w:t>张</w:t>
                  </w:r>
                </w:p>
              </w:tc>
              <w:tc>
                <w:tcPr>
                  <w:tcW w:w="550" w:type="pct"/>
                  <w:vAlign w:val="center"/>
                </w:tcPr>
                <w:p w14:paraId="5F44FC9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rPr>
                    <w:t>张</w:t>
                  </w:r>
                </w:p>
              </w:tc>
              <w:tc>
                <w:tcPr>
                  <w:tcW w:w="585" w:type="pct"/>
                  <w:vAlign w:val="center"/>
                </w:tcPr>
                <w:p w14:paraId="165EFEC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rPr>
                    <w:t>张</w:t>
                  </w:r>
                </w:p>
              </w:tc>
              <w:tc>
                <w:tcPr>
                  <w:tcW w:w="1237" w:type="pct"/>
                  <w:vAlign w:val="center"/>
                </w:tcPr>
                <w:p w14:paraId="5AC7F79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highlight w:val="none"/>
                      <w:lang w:val="en-US" w:eastAsia="zh-CN"/>
                    </w:rPr>
                    <w:t>50张，码堆</w:t>
                  </w:r>
                </w:p>
              </w:tc>
            </w:tr>
            <w:tr w14:paraId="133B88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18FEEA7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标准件</w:t>
                  </w:r>
                </w:p>
              </w:tc>
              <w:tc>
                <w:tcPr>
                  <w:tcW w:w="1232" w:type="pct"/>
                  <w:vAlign w:val="center"/>
                </w:tcPr>
                <w:p w14:paraId="00D4CC8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螺丝、螺母、垫片等</w:t>
                  </w:r>
                </w:p>
              </w:tc>
              <w:tc>
                <w:tcPr>
                  <w:tcW w:w="550" w:type="pct"/>
                  <w:vAlign w:val="center"/>
                </w:tcPr>
                <w:p w14:paraId="2ECEEFA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万</w:t>
                  </w:r>
                  <w:r>
                    <w:rPr>
                      <w:rFonts w:hint="default" w:ascii="Times New Roman" w:hAnsi="Times New Roman" w:eastAsia="宋体" w:cs="Times New Roman"/>
                      <w:color w:val="auto"/>
                      <w:sz w:val="21"/>
                      <w:szCs w:val="21"/>
                      <w:highlight w:val="none"/>
                    </w:rPr>
                    <w:t>个</w:t>
                  </w:r>
                </w:p>
              </w:tc>
              <w:tc>
                <w:tcPr>
                  <w:tcW w:w="550" w:type="pct"/>
                  <w:vAlign w:val="center"/>
                </w:tcPr>
                <w:p w14:paraId="4B1E8B3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万</w:t>
                  </w:r>
                  <w:r>
                    <w:rPr>
                      <w:rFonts w:hint="default" w:ascii="Times New Roman" w:hAnsi="Times New Roman" w:eastAsia="宋体" w:cs="Times New Roman"/>
                      <w:color w:val="auto"/>
                      <w:sz w:val="21"/>
                      <w:szCs w:val="21"/>
                      <w:highlight w:val="none"/>
                    </w:rPr>
                    <w:t>个</w:t>
                  </w:r>
                </w:p>
              </w:tc>
              <w:tc>
                <w:tcPr>
                  <w:tcW w:w="585" w:type="pct"/>
                  <w:vAlign w:val="center"/>
                </w:tcPr>
                <w:p w14:paraId="56D9630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lang w:eastAsia="zh-CN"/>
                    </w:rPr>
                    <w:t>万</w:t>
                  </w:r>
                  <w:r>
                    <w:rPr>
                      <w:rFonts w:hint="default" w:ascii="Times New Roman" w:hAnsi="Times New Roman" w:eastAsia="宋体" w:cs="Times New Roman"/>
                      <w:color w:val="auto"/>
                      <w:sz w:val="21"/>
                      <w:szCs w:val="21"/>
                      <w:highlight w:val="none"/>
                    </w:rPr>
                    <w:t>个</w:t>
                  </w:r>
                </w:p>
              </w:tc>
              <w:tc>
                <w:tcPr>
                  <w:tcW w:w="1237" w:type="pct"/>
                  <w:vAlign w:val="center"/>
                </w:tcPr>
                <w:p w14:paraId="54BC7E7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1万个，箱装</w:t>
                  </w:r>
                </w:p>
              </w:tc>
            </w:tr>
            <w:tr w14:paraId="339381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5E5E720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门锁</w:t>
                  </w:r>
                </w:p>
              </w:tc>
              <w:tc>
                <w:tcPr>
                  <w:tcW w:w="1232" w:type="pct"/>
                  <w:vAlign w:val="center"/>
                </w:tcPr>
                <w:p w14:paraId="31E45AD6">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550" w:type="pct"/>
                  <w:vAlign w:val="center"/>
                </w:tcPr>
                <w:p w14:paraId="6CBEA39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1000</w:t>
                  </w:r>
                  <w:r>
                    <w:rPr>
                      <w:rFonts w:hint="default" w:ascii="Times New Roman" w:hAnsi="Times New Roman" w:eastAsia="宋体" w:cs="Times New Roman"/>
                      <w:color w:val="auto"/>
                      <w:sz w:val="21"/>
                      <w:szCs w:val="21"/>
                      <w:highlight w:val="none"/>
                    </w:rPr>
                    <w:t>个</w:t>
                  </w:r>
                </w:p>
              </w:tc>
              <w:tc>
                <w:tcPr>
                  <w:tcW w:w="550" w:type="pct"/>
                  <w:vAlign w:val="center"/>
                </w:tcPr>
                <w:p w14:paraId="1DEBC52A">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1000</w:t>
                  </w:r>
                  <w:r>
                    <w:rPr>
                      <w:rFonts w:hint="default" w:ascii="Times New Roman" w:hAnsi="Times New Roman" w:eastAsia="宋体" w:cs="Times New Roman"/>
                      <w:color w:val="auto"/>
                      <w:sz w:val="21"/>
                      <w:szCs w:val="21"/>
                      <w:highlight w:val="none"/>
                    </w:rPr>
                    <w:t>个</w:t>
                  </w:r>
                </w:p>
              </w:tc>
              <w:tc>
                <w:tcPr>
                  <w:tcW w:w="585" w:type="pct"/>
                  <w:vAlign w:val="center"/>
                </w:tcPr>
                <w:p w14:paraId="4B30388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1000</w:t>
                  </w:r>
                  <w:r>
                    <w:rPr>
                      <w:rFonts w:hint="default" w:ascii="Times New Roman" w:hAnsi="Times New Roman" w:eastAsia="宋体" w:cs="Times New Roman"/>
                      <w:color w:val="auto"/>
                      <w:sz w:val="21"/>
                      <w:szCs w:val="21"/>
                      <w:highlight w:val="none"/>
                    </w:rPr>
                    <w:t>个</w:t>
                  </w:r>
                </w:p>
              </w:tc>
              <w:tc>
                <w:tcPr>
                  <w:tcW w:w="1237" w:type="pct"/>
                  <w:vAlign w:val="center"/>
                </w:tcPr>
                <w:p w14:paraId="3B7D9E0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200个，箱装</w:t>
                  </w:r>
                </w:p>
              </w:tc>
            </w:tr>
            <w:tr w14:paraId="7ACDB7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2B834FD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铰链</w:t>
                  </w:r>
                </w:p>
              </w:tc>
              <w:tc>
                <w:tcPr>
                  <w:tcW w:w="1232" w:type="pct"/>
                  <w:vAlign w:val="center"/>
                </w:tcPr>
                <w:p w14:paraId="6EF8082A">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rPr>
                    <w:t>/</w:t>
                  </w:r>
                </w:p>
              </w:tc>
              <w:tc>
                <w:tcPr>
                  <w:tcW w:w="550" w:type="pct"/>
                  <w:vAlign w:val="center"/>
                </w:tcPr>
                <w:p w14:paraId="28711A7A">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条</w:t>
                  </w:r>
                </w:p>
              </w:tc>
              <w:tc>
                <w:tcPr>
                  <w:tcW w:w="550" w:type="pct"/>
                  <w:vAlign w:val="center"/>
                </w:tcPr>
                <w:p w14:paraId="1867754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条</w:t>
                  </w:r>
                </w:p>
              </w:tc>
              <w:tc>
                <w:tcPr>
                  <w:tcW w:w="585" w:type="pct"/>
                  <w:vAlign w:val="center"/>
                </w:tcPr>
                <w:p w14:paraId="3B5D9DA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条</w:t>
                  </w:r>
                </w:p>
              </w:tc>
              <w:tc>
                <w:tcPr>
                  <w:tcW w:w="1237" w:type="pct"/>
                  <w:vAlign w:val="center"/>
                </w:tcPr>
                <w:p w14:paraId="7BA24FD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50条，箱装</w:t>
                  </w:r>
                </w:p>
              </w:tc>
            </w:tr>
            <w:tr w14:paraId="65A4DE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769169E4">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拉手</w:t>
                  </w:r>
                </w:p>
              </w:tc>
              <w:tc>
                <w:tcPr>
                  <w:tcW w:w="1232" w:type="pct"/>
                  <w:vAlign w:val="center"/>
                </w:tcPr>
                <w:p w14:paraId="6A88D03D">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w:t>
                  </w:r>
                </w:p>
              </w:tc>
              <w:tc>
                <w:tcPr>
                  <w:tcW w:w="550" w:type="pct"/>
                  <w:vAlign w:val="center"/>
                </w:tcPr>
                <w:p w14:paraId="11246C0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eastAsia="zh-CN"/>
                    </w:rPr>
                    <w:t>个</w:t>
                  </w:r>
                </w:p>
              </w:tc>
              <w:tc>
                <w:tcPr>
                  <w:tcW w:w="550" w:type="pct"/>
                  <w:vAlign w:val="center"/>
                </w:tcPr>
                <w:p w14:paraId="4C3363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eastAsia="zh-CN"/>
                    </w:rPr>
                    <w:t>个</w:t>
                  </w:r>
                </w:p>
              </w:tc>
              <w:tc>
                <w:tcPr>
                  <w:tcW w:w="585" w:type="pct"/>
                  <w:vAlign w:val="center"/>
                </w:tcPr>
                <w:p w14:paraId="0214BC8B">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lang w:eastAsia="zh-CN"/>
                    </w:rPr>
                    <w:t>个</w:t>
                  </w:r>
                </w:p>
              </w:tc>
              <w:tc>
                <w:tcPr>
                  <w:tcW w:w="1237" w:type="pct"/>
                  <w:vAlign w:val="center"/>
                </w:tcPr>
                <w:p w14:paraId="1AE2B7C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200个，箱装</w:t>
                  </w:r>
                </w:p>
              </w:tc>
            </w:tr>
            <w:tr w14:paraId="3136D1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5CB4F49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布砂轮抛光带</w:t>
                  </w:r>
                </w:p>
              </w:tc>
              <w:tc>
                <w:tcPr>
                  <w:tcW w:w="1232" w:type="pct"/>
                  <w:vAlign w:val="center"/>
                </w:tcPr>
                <w:p w14:paraId="2002C941">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rPr>
                    <w:t>/</w:t>
                  </w:r>
                </w:p>
              </w:tc>
              <w:tc>
                <w:tcPr>
                  <w:tcW w:w="550" w:type="pct"/>
                  <w:vAlign w:val="center"/>
                </w:tcPr>
                <w:p w14:paraId="3FA18F3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20盘</w:t>
                  </w:r>
                </w:p>
              </w:tc>
              <w:tc>
                <w:tcPr>
                  <w:tcW w:w="550" w:type="pct"/>
                  <w:vAlign w:val="center"/>
                </w:tcPr>
                <w:p w14:paraId="2E4343A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20盘</w:t>
                  </w:r>
                </w:p>
              </w:tc>
              <w:tc>
                <w:tcPr>
                  <w:tcW w:w="585" w:type="pct"/>
                  <w:vAlign w:val="center"/>
                </w:tcPr>
                <w:p w14:paraId="309FAD3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20盘</w:t>
                  </w:r>
                </w:p>
              </w:tc>
              <w:tc>
                <w:tcPr>
                  <w:tcW w:w="1237" w:type="pct"/>
                  <w:vAlign w:val="center"/>
                </w:tcPr>
                <w:p w14:paraId="7F88BBB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5盘，箱装</w:t>
                  </w:r>
                </w:p>
              </w:tc>
            </w:tr>
            <w:tr w14:paraId="41952B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274F35F3">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液氧</w:t>
                  </w:r>
                </w:p>
              </w:tc>
              <w:tc>
                <w:tcPr>
                  <w:tcW w:w="1232" w:type="pct"/>
                  <w:vAlign w:val="center"/>
                </w:tcPr>
                <w:p w14:paraId="763E90B3">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w:t>
                  </w:r>
                </w:p>
              </w:tc>
              <w:tc>
                <w:tcPr>
                  <w:tcW w:w="550" w:type="pct"/>
                  <w:vAlign w:val="center"/>
                </w:tcPr>
                <w:p w14:paraId="0993DF2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瓶</w:t>
                  </w:r>
                </w:p>
              </w:tc>
              <w:tc>
                <w:tcPr>
                  <w:tcW w:w="550" w:type="pct"/>
                  <w:vAlign w:val="center"/>
                </w:tcPr>
                <w:p w14:paraId="6471224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瓶</w:t>
                  </w:r>
                </w:p>
              </w:tc>
              <w:tc>
                <w:tcPr>
                  <w:tcW w:w="585" w:type="pct"/>
                  <w:vAlign w:val="center"/>
                </w:tcPr>
                <w:p w14:paraId="2C53D831">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rPr>
                    <w:t>瓶</w:t>
                  </w:r>
                </w:p>
              </w:tc>
              <w:tc>
                <w:tcPr>
                  <w:tcW w:w="1237" w:type="pct"/>
                  <w:vAlign w:val="center"/>
                </w:tcPr>
                <w:p w14:paraId="12353B2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5瓶，</w:t>
                  </w:r>
                  <w:r>
                    <w:rPr>
                      <w:rFonts w:hint="default" w:ascii="Times New Roman" w:hAnsi="Times New Roman" w:eastAsia="宋体" w:cs="Times New Roman"/>
                      <w:color w:val="auto"/>
                      <w:sz w:val="21"/>
                      <w:szCs w:val="21"/>
                      <w:highlight w:val="none"/>
                    </w:rPr>
                    <w:t>6kg/瓶</w:t>
                  </w:r>
                </w:p>
              </w:tc>
            </w:tr>
            <w:tr w14:paraId="3BBBC1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3FED0C93">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氮气</w:t>
                  </w:r>
                </w:p>
              </w:tc>
              <w:tc>
                <w:tcPr>
                  <w:tcW w:w="1232" w:type="pct"/>
                  <w:vAlign w:val="center"/>
                </w:tcPr>
                <w:p w14:paraId="5B079C5F">
                  <w:pPr>
                    <w:widowControl/>
                    <w:jc w:val="center"/>
                    <w:textAlignment w:val="bottom"/>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w:t>
                  </w:r>
                </w:p>
              </w:tc>
              <w:tc>
                <w:tcPr>
                  <w:tcW w:w="550" w:type="pct"/>
                  <w:vAlign w:val="center"/>
                </w:tcPr>
                <w:p w14:paraId="7706B91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p>
              </w:tc>
              <w:tc>
                <w:tcPr>
                  <w:tcW w:w="550" w:type="pct"/>
                  <w:vAlign w:val="center"/>
                </w:tcPr>
                <w:p w14:paraId="0D2B03C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p>
              </w:tc>
              <w:tc>
                <w:tcPr>
                  <w:tcW w:w="585" w:type="pct"/>
                  <w:vAlign w:val="center"/>
                </w:tcPr>
                <w:p w14:paraId="70C6EEBA">
                  <w:pPr>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p>
              </w:tc>
              <w:tc>
                <w:tcPr>
                  <w:tcW w:w="1237" w:type="pct"/>
                  <w:vAlign w:val="center"/>
                </w:tcPr>
                <w:p w14:paraId="2893BA3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rPr>
                    <w:t>4瓶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2kg/瓶</w:t>
                  </w:r>
                </w:p>
              </w:tc>
            </w:tr>
            <w:tr w14:paraId="7C8E5A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21A8632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混合气体</w:t>
                  </w:r>
                </w:p>
              </w:tc>
              <w:tc>
                <w:tcPr>
                  <w:tcW w:w="1232" w:type="pct"/>
                  <w:vAlign w:val="center"/>
                </w:tcPr>
                <w:p w14:paraId="7139525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二氧化碳和氩气</w:t>
                  </w:r>
                </w:p>
              </w:tc>
              <w:tc>
                <w:tcPr>
                  <w:tcW w:w="550" w:type="pct"/>
                  <w:vAlign w:val="center"/>
                </w:tcPr>
                <w:p w14:paraId="7AF9661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rPr>
                    <w:t>瓶</w:t>
                  </w:r>
                </w:p>
              </w:tc>
              <w:tc>
                <w:tcPr>
                  <w:tcW w:w="550" w:type="pct"/>
                  <w:vAlign w:val="center"/>
                </w:tcPr>
                <w:p w14:paraId="539B6D8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rPr>
                    <w:t>瓶</w:t>
                  </w:r>
                </w:p>
              </w:tc>
              <w:tc>
                <w:tcPr>
                  <w:tcW w:w="585" w:type="pct"/>
                  <w:vAlign w:val="center"/>
                </w:tcPr>
                <w:p w14:paraId="652ABA8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1800</w:t>
                  </w:r>
                  <w:r>
                    <w:rPr>
                      <w:rFonts w:hint="default" w:ascii="Times New Roman" w:hAnsi="Times New Roman" w:eastAsia="宋体" w:cs="Times New Roman"/>
                      <w:color w:val="auto"/>
                      <w:sz w:val="21"/>
                      <w:szCs w:val="21"/>
                      <w:highlight w:val="none"/>
                    </w:rPr>
                    <w:t>瓶</w:t>
                  </w:r>
                </w:p>
              </w:tc>
              <w:tc>
                <w:tcPr>
                  <w:tcW w:w="1237" w:type="pct"/>
                  <w:vAlign w:val="center"/>
                </w:tcPr>
                <w:p w14:paraId="5307E44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10kg/瓶</w:t>
                  </w:r>
                </w:p>
              </w:tc>
            </w:tr>
            <w:tr w14:paraId="2B1EA8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40309F97">
                  <w:pPr>
                    <w:spacing w:line="32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液压油</w:t>
                  </w:r>
                </w:p>
              </w:tc>
              <w:tc>
                <w:tcPr>
                  <w:tcW w:w="1232" w:type="pct"/>
                  <w:vAlign w:val="center"/>
                </w:tcPr>
                <w:p w14:paraId="57A295D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shd w:val="clear" w:color="auto" w:fill="FFFFFF"/>
                    </w:rPr>
                    <w:t>矿物油</w:t>
                  </w:r>
                </w:p>
              </w:tc>
              <w:tc>
                <w:tcPr>
                  <w:tcW w:w="550" w:type="pct"/>
                  <w:vAlign w:val="center"/>
                </w:tcPr>
                <w:p w14:paraId="1A753EF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bCs/>
                      <w:color w:val="auto"/>
                      <w:kern w:val="2"/>
                      <w:sz w:val="21"/>
                      <w:szCs w:val="21"/>
                      <w:highlight w:val="none"/>
                      <w:lang w:val="en-US" w:eastAsia="zh-CN" w:bidi="ar-SA"/>
                    </w:rPr>
                    <w:t>t</w:t>
                  </w:r>
                </w:p>
              </w:tc>
              <w:tc>
                <w:tcPr>
                  <w:tcW w:w="550" w:type="pct"/>
                  <w:vAlign w:val="center"/>
                </w:tcPr>
                <w:p w14:paraId="11B4D8D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bCs/>
                      <w:color w:val="auto"/>
                      <w:kern w:val="2"/>
                      <w:sz w:val="21"/>
                      <w:szCs w:val="21"/>
                      <w:highlight w:val="none"/>
                      <w:lang w:val="en-US" w:eastAsia="zh-CN" w:bidi="ar-SA"/>
                    </w:rPr>
                    <w:t>t</w:t>
                  </w:r>
                </w:p>
              </w:tc>
              <w:tc>
                <w:tcPr>
                  <w:tcW w:w="585" w:type="pct"/>
                  <w:vAlign w:val="center"/>
                </w:tcPr>
                <w:p w14:paraId="426C9EF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bCs/>
                      <w:color w:val="auto"/>
                      <w:kern w:val="2"/>
                      <w:sz w:val="21"/>
                      <w:szCs w:val="21"/>
                      <w:highlight w:val="none"/>
                      <w:lang w:val="en-US" w:eastAsia="zh-CN" w:bidi="ar-SA"/>
                    </w:rPr>
                    <w:t>t</w:t>
                  </w:r>
                </w:p>
              </w:tc>
              <w:tc>
                <w:tcPr>
                  <w:tcW w:w="1237" w:type="pct"/>
                  <w:vAlign w:val="center"/>
                </w:tcPr>
                <w:p w14:paraId="6AD4149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100kg/桶</w:t>
                  </w:r>
                </w:p>
              </w:tc>
            </w:tr>
            <w:tr w14:paraId="595CA4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2981D285">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拉伸油</w:t>
                  </w:r>
                </w:p>
              </w:tc>
              <w:tc>
                <w:tcPr>
                  <w:tcW w:w="1232" w:type="pct"/>
                  <w:vAlign w:val="center"/>
                </w:tcPr>
                <w:p w14:paraId="47A1FA52">
                  <w:pPr>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矿物油</w:t>
                  </w:r>
                </w:p>
              </w:tc>
              <w:tc>
                <w:tcPr>
                  <w:tcW w:w="550" w:type="pct"/>
                  <w:vAlign w:val="center"/>
                </w:tcPr>
                <w:p w14:paraId="3CFA48B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80L</w:t>
                  </w:r>
                </w:p>
              </w:tc>
              <w:tc>
                <w:tcPr>
                  <w:tcW w:w="550" w:type="pct"/>
                  <w:vAlign w:val="center"/>
                </w:tcPr>
                <w:p w14:paraId="20748F8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80L</w:t>
                  </w:r>
                </w:p>
              </w:tc>
              <w:tc>
                <w:tcPr>
                  <w:tcW w:w="585" w:type="pct"/>
                  <w:vAlign w:val="center"/>
                </w:tcPr>
                <w:p w14:paraId="0B325E1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80L</w:t>
                  </w:r>
                </w:p>
              </w:tc>
              <w:tc>
                <w:tcPr>
                  <w:tcW w:w="1237" w:type="pct"/>
                  <w:vAlign w:val="center"/>
                </w:tcPr>
                <w:p w14:paraId="6B82361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16L</w:t>
                  </w:r>
                  <w:r>
                    <w:rPr>
                      <w:rFonts w:hint="default" w:ascii="Times New Roman" w:hAnsi="Times New Roman" w:eastAsia="宋体" w:cs="Times New Roman"/>
                      <w:bCs/>
                      <w:color w:val="auto"/>
                      <w:sz w:val="21"/>
                      <w:szCs w:val="21"/>
                      <w:highlight w:val="none"/>
                    </w:rPr>
                    <w:t>/桶</w:t>
                  </w:r>
                </w:p>
              </w:tc>
            </w:tr>
            <w:tr w14:paraId="3C43AA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7DEDBC1F">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机油</w:t>
                  </w:r>
                </w:p>
              </w:tc>
              <w:tc>
                <w:tcPr>
                  <w:tcW w:w="1232" w:type="pct"/>
                  <w:vAlign w:val="center"/>
                </w:tcPr>
                <w:p w14:paraId="7A8E5974">
                  <w:pPr>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矿物油</w:t>
                  </w:r>
                </w:p>
              </w:tc>
              <w:tc>
                <w:tcPr>
                  <w:tcW w:w="550" w:type="pct"/>
                  <w:vAlign w:val="center"/>
                </w:tcPr>
                <w:p w14:paraId="0C91B70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0.2t</w:t>
                  </w:r>
                </w:p>
              </w:tc>
              <w:tc>
                <w:tcPr>
                  <w:tcW w:w="550" w:type="pct"/>
                  <w:vAlign w:val="center"/>
                </w:tcPr>
                <w:p w14:paraId="3A64A0B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0.2t</w:t>
                  </w:r>
                </w:p>
              </w:tc>
              <w:tc>
                <w:tcPr>
                  <w:tcW w:w="585" w:type="pct"/>
                  <w:vAlign w:val="center"/>
                </w:tcPr>
                <w:p w14:paraId="484D864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0.2t</w:t>
                  </w:r>
                </w:p>
              </w:tc>
              <w:tc>
                <w:tcPr>
                  <w:tcW w:w="1237" w:type="pct"/>
                  <w:vAlign w:val="center"/>
                </w:tcPr>
                <w:p w14:paraId="439E2BE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rPr>
                    <w:t>1桶</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100kg/桶</w:t>
                  </w:r>
                </w:p>
              </w:tc>
            </w:tr>
            <w:tr w14:paraId="6ED4BC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842" w:type="pct"/>
                  <w:vAlign w:val="center"/>
                </w:tcPr>
                <w:p w14:paraId="30B91527">
                  <w:pPr>
                    <w:spacing w:line="320" w:lineRule="atLeas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焊丝</w:t>
                  </w:r>
                </w:p>
              </w:tc>
              <w:tc>
                <w:tcPr>
                  <w:tcW w:w="1232" w:type="pct"/>
                  <w:vAlign w:val="center"/>
                </w:tcPr>
                <w:p w14:paraId="20278B5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bCs/>
                      <w:color w:val="auto"/>
                      <w:kern w:val="2"/>
                      <w:sz w:val="21"/>
                      <w:szCs w:val="21"/>
                      <w:highlight w:val="none"/>
                      <w:lang w:val="en-US" w:eastAsia="zh-CN" w:bidi="ar-SA"/>
                    </w:rPr>
                    <w:t>铜，不含铅、锡</w:t>
                  </w:r>
                </w:p>
              </w:tc>
              <w:tc>
                <w:tcPr>
                  <w:tcW w:w="550" w:type="pct"/>
                  <w:vAlign w:val="center"/>
                </w:tcPr>
                <w:p w14:paraId="4861CF2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bidi="ar-SA"/>
                    </w:rPr>
                    <w:t>5t</w:t>
                  </w:r>
                </w:p>
              </w:tc>
              <w:tc>
                <w:tcPr>
                  <w:tcW w:w="550" w:type="pct"/>
                  <w:vAlign w:val="center"/>
                </w:tcPr>
                <w:p w14:paraId="39AB5D5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5t</w:t>
                  </w:r>
                </w:p>
              </w:tc>
              <w:tc>
                <w:tcPr>
                  <w:tcW w:w="585" w:type="pct"/>
                  <w:vAlign w:val="center"/>
                </w:tcPr>
                <w:p w14:paraId="233FB4C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5t</w:t>
                  </w:r>
                </w:p>
              </w:tc>
              <w:tc>
                <w:tcPr>
                  <w:tcW w:w="1237" w:type="pct"/>
                  <w:vAlign w:val="center"/>
                </w:tcPr>
                <w:p w14:paraId="4AFCD404">
                  <w:pPr>
                    <w:pStyle w:val="107"/>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highlight w:val="none"/>
                      <w:lang w:val="en-US" w:eastAsia="zh-CN" w:bidi="ar-SA"/>
                    </w:rPr>
                    <w:t>0.1t</w:t>
                  </w:r>
                  <w:r>
                    <w:rPr>
                      <w:rFonts w:hint="default" w:ascii="Times New Roman" w:hAnsi="Times New Roman" w:eastAsia="宋体" w:cs="Times New Roman"/>
                      <w:color w:val="auto"/>
                      <w:sz w:val="21"/>
                      <w:szCs w:val="21"/>
                      <w:highlight w:val="none"/>
                      <w:lang w:val="en-US" w:eastAsia="zh-CN"/>
                    </w:rPr>
                    <w:t>，箱装</w:t>
                  </w:r>
                </w:p>
              </w:tc>
            </w:tr>
          </w:tbl>
          <w:p w14:paraId="2990E14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6、现有项目主要设备清单</w:t>
            </w:r>
          </w:p>
          <w:p w14:paraId="2FE7EE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16"/>
                <w:lang w:eastAsia="zh-CN"/>
              </w:rPr>
            </w:pPr>
            <w:r>
              <w:rPr>
                <w:rFonts w:hint="default" w:ascii="Times New Roman" w:hAnsi="Times New Roman" w:eastAsia="宋体" w:cs="Times New Roman"/>
                <w:b/>
                <w:bCs/>
                <w:color w:val="auto"/>
                <w:sz w:val="21"/>
                <w:szCs w:val="16"/>
              </w:rPr>
              <w:t>表2-</w:t>
            </w:r>
            <w:r>
              <w:rPr>
                <w:rFonts w:hint="default" w:ascii="Times New Roman" w:hAnsi="Times New Roman" w:eastAsia="宋体" w:cs="Times New Roman"/>
                <w:b/>
                <w:bCs/>
                <w:color w:val="auto"/>
                <w:sz w:val="21"/>
                <w:szCs w:val="16"/>
                <w:lang w:val="en-US" w:eastAsia="zh-CN"/>
              </w:rPr>
              <w:t xml:space="preserve">9 </w:t>
            </w:r>
            <w:r>
              <w:rPr>
                <w:rFonts w:hint="default" w:ascii="Times New Roman" w:hAnsi="Times New Roman" w:eastAsia="宋体" w:cs="Times New Roman"/>
                <w:b/>
                <w:bCs/>
                <w:color w:val="auto"/>
                <w:sz w:val="21"/>
                <w:szCs w:val="16"/>
                <w:lang w:eastAsia="zh-CN"/>
              </w:rPr>
              <w:t>现有</w:t>
            </w:r>
            <w:r>
              <w:rPr>
                <w:rFonts w:hint="default" w:ascii="Times New Roman" w:hAnsi="Times New Roman" w:eastAsia="宋体" w:cs="Times New Roman"/>
                <w:b/>
                <w:bCs/>
                <w:color w:val="auto"/>
                <w:sz w:val="21"/>
                <w:szCs w:val="16"/>
              </w:rPr>
              <w:t>项</w:t>
            </w:r>
            <w:r>
              <w:rPr>
                <w:rFonts w:hint="default" w:ascii="Times New Roman" w:hAnsi="Times New Roman" w:eastAsia="宋体" w:cs="Times New Roman"/>
                <w:b/>
                <w:bCs/>
                <w:color w:val="auto"/>
                <w:sz w:val="21"/>
                <w:szCs w:val="16"/>
                <w:lang w:eastAsia="zh-CN"/>
              </w:rPr>
              <w:t>目</w:t>
            </w:r>
            <w:r>
              <w:rPr>
                <w:rFonts w:hint="default" w:ascii="Times New Roman" w:hAnsi="Times New Roman" w:eastAsia="宋体" w:cs="Times New Roman"/>
                <w:b/>
                <w:bCs/>
                <w:color w:val="auto"/>
                <w:sz w:val="21"/>
                <w:szCs w:val="16"/>
                <w:lang w:val="en-US" w:eastAsia="zh-CN"/>
              </w:rPr>
              <w:t>主要设备一览表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2" w:space="0"/>
                <w:insideV w:val="single" w:color="auto" w:sz="2" w:space="0"/>
              </w:tblBorders>
              <w:tblLayout w:type="autofit"/>
              <w:tblCellMar>
                <w:top w:w="0" w:type="dxa"/>
                <w:left w:w="79" w:type="dxa"/>
                <w:bottom w:w="0" w:type="dxa"/>
                <w:right w:w="79" w:type="dxa"/>
              </w:tblCellMar>
            </w:tblPr>
            <w:tblGrid>
              <w:gridCol w:w="1246"/>
              <w:gridCol w:w="2061"/>
              <w:gridCol w:w="2131"/>
              <w:gridCol w:w="983"/>
              <w:gridCol w:w="983"/>
              <w:gridCol w:w="989"/>
            </w:tblGrid>
            <w:tr w14:paraId="6B2441F0">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restart"/>
                  <w:noWrap w:val="0"/>
                  <w:vAlign w:val="center"/>
                </w:tcPr>
                <w:p w14:paraId="7CCCFCD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227" w:type="pct"/>
                  <w:vMerge w:val="restart"/>
                  <w:noWrap w:val="0"/>
                  <w:vAlign w:val="center"/>
                </w:tcPr>
                <w:p w14:paraId="3A0FA191">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1269" w:type="pct"/>
                  <w:vMerge w:val="restart"/>
                  <w:noWrap w:val="0"/>
                  <w:vAlign w:val="center"/>
                </w:tcPr>
                <w:p w14:paraId="12E4214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 w:val="21"/>
                      <w:szCs w:val="21"/>
                    </w:rPr>
                    <w:t>规格型号</w:t>
                  </w:r>
                </w:p>
              </w:tc>
              <w:tc>
                <w:tcPr>
                  <w:tcW w:w="1759" w:type="pct"/>
                  <w:gridSpan w:val="3"/>
                  <w:tcBorders>
                    <w:bottom w:val="single" w:color="auto" w:sz="4" w:space="0"/>
                  </w:tcBorders>
                  <w:noWrap w:val="0"/>
                  <w:vAlign w:val="center"/>
                </w:tcPr>
                <w:p w14:paraId="669204A0">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数量（台/套）</w:t>
                  </w:r>
                </w:p>
              </w:tc>
            </w:tr>
            <w:tr w14:paraId="7849D8F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768EF420">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1227" w:type="pct"/>
                  <w:vMerge w:val="continue"/>
                  <w:noWrap w:val="0"/>
                  <w:vAlign w:val="center"/>
                </w:tcPr>
                <w:p w14:paraId="01F322D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1269" w:type="pct"/>
                  <w:vMerge w:val="continue"/>
                  <w:noWrap w:val="0"/>
                  <w:vAlign w:val="center"/>
                </w:tcPr>
                <w:p w14:paraId="5738F3E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
                      <w:bCs/>
                      <w:color w:val="auto"/>
                      <w:sz w:val="21"/>
                      <w:szCs w:val="21"/>
                    </w:rPr>
                  </w:pPr>
                </w:p>
              </w:tc>
              <w:tc>
                <w:tcPr>
                  <w:tcW w:w="585" w:type="pct"/>
                  <w:tcBorders>
                    <w:top w:val="single" w:color="auto" w:sz="4" w:space="0"/>
                    <w:right w:val="single" w:color="000000" w:sz="4" w:space="0"/>
                  </w:tcBorders>
                  <w:noWrap w:val="0"/>
                  <w:vAlign w:val="center"/>
                </w:tcPr>
                <w:p w14:paraId="799ABBA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环评</w:t>
                  </w:r>
                </w:p>
              </w:tc>
              <w:tc>
                <w:tcPr>
                  <w:tcW w:w="585" w:type="pct"/>
                  <w:tcBorders>
                    <w:top w:val="single" w:color="auto" w:sz="4" w:space="0"/>
                    <w:left w:val="single" w:color="000000" w:sz="4" w:space="0"/>
                    <w:right w:val="single" w:color="auto" w:sz="4" w:space="0"/>
                  </w:tcBorders>
                  <w:noWrap w:val="0"/>
                  <w:vAlign w:val="center"/>
                </w:tcPr>
                <w:p w14:paraId="3D1D49C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验收</w:t>
                  </w:r>
                </w:p>
              </w:tc>
              <w:tc>
                <w:tcPr>
                  <w:tcW w:w="588" w:type="pct"/>
                  <w:tcBorders>
                    <w:top w:val="single" w:color="auto" w:sz="4" w:space="0"/>
                    <w:left w:val="single" w:color="auto" w:sz="4" w:space="0"/>
                    <w:right w:val="single" w:color="auto" w:sz="4" w:space="0"/>
                  </w:tcBorders>
                  <w:noWrap w:val="0"/>
                  <w:vAlign w:val="center"/>
                </w:tcPr>
                <w:p w14:paraId="6944BE96">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现有</w:t>
                  </w:r>
                </w:p>
              </w:tc>
            </w:tr>
            <w:tr w14:paraId="76B8D274">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restart"/>
                  <w:noWrap w:val="0"/>
                  <w:vAlign w:val="center"/>
                </w:tcPr>
                <w:p w14:paraId="5FAB25A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生产设备</w:t>
                  </w:r>
                </w:p>
                <w:p w14:paraId="5518EBF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color w:val="auto"/>
                      <w:sz w:val="21"/>
                      <w:szCs w:val="21"/>
                    </w:rPr>
                  </w:pPr>
                </w:p>
                <w:p w14:paraId="79B61482">
                  <w:pPr>
                    <w:pStyle w:val="8"/>
                    <w:keepNext w:val="0"/>
                    <w:keepLines w:val="0"/>
                    <w:pageBreakBefore w:val="0"/>
                    <w:kinsoku/>
                    <w:wordWrap/>
                    <w:overflowPunct/>
                    <w:topLinePunct w:val="0"/>
                    <w:autoSpaceDE/>
                    <w:autoSpaceDN/>
                    <w:bidi w:val="0"/>
                    <w:adjustRightInd w:val="0"/>
                    <w:snapToGrid w:val="0"/>
                    <w:spacing w:before="0" w:after="0" w:line="240" w:lineRule="auto"/>
                    <w:ind w:left="0" w:right="0"/>
                    <w:jc w:val="center"/>
                    <w:rPr>
                      <w:rFonts w:hint="default" w:ascii="Times New Roman" w:hAnsi="Times New Roman" w:eastAsia="宋体" w:cs="Times New Roman"/>
                      <w:color w:val="auto"/>
                      <w:sz w:val="21"/>
                      <w:szCs w:val="21"/>
                    </w:rPr>
                  </w:pPr>
                </w:p>
              </w:tc>
              <w:tc>
                <w:tcPr>
                  <w:tcW w:w="1227" w:type="pct"/>
                  <w:noWrap w:val="0"/>
                  <w:vAlign w:val="center"/>
                </w:tcPr>
                <w:p w14:paraId="416BC8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切管机</w:t>
                  </w:r>
                </w:p>
              </w:tc>
              <w:tc>
                <w:tcPr>
                  <w:tcW w:w="1269" w:type="pct"/>
                  <w:tcBorders>
                    <w:right w:val="single" w:color="auto" w:sz="4" w:space="0"/>
                  </w:tcBorders>
                  <w:noWrap w:val="0"/>
                  <w:vAlign w:val="center"/>
                </w:tcPr>
                <w:p w14:paraId="145B4DB2">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MC-315A</w:t>
                  </w:r>
                </w:p>
              </w:tc>
              <w:tc>
                <w:tcPr>
                  <w:tcW w:w="585" w:type="pct"/>
                  <w:tcBorders>
                    <w:right w:val="single" w:color="auto" w:sz="4" w:space="0"/>
                  </w:tcBorders>
                  <w:noWrap w:val="0"/>
                  <w:vAlign w:val="center"/>
                </w:tcPr>
                <w:p w14:paraId="15BFA164">
                  <w:pPr>
                    <w:widowControl/>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585" w:type="pct"/>
                  <w:tcBorders>
                    <w:left w:val="single" w:color="auto" w:sz="4" w:space="0"/>
                    <w:right w:val="single" w:color="auto" w:sz="4" w:space="0"/>
                  </w:tcBorders>
                  <w:noWrap w:val="0"/>
                  <w:vAlign w:val="center"/>
                </w:tcPr>
                <w:p w14:paraId="08869B53">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588" w:type="pct"/>
                  <w:tcBorders>
                    <w:left w:val="single" w:color="auto" w:sz="4" w:space="0"/>
                  </w:tcBorders>
                  <w:noWrap w:val="0"/>
                  <w:vAlign w:val="center"/>
                </w:tcPr>
                <w:p w14:paraId="18BB940B">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r>
            <w:tr w14:paraId="5636226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90" w:hRule="atLeast"/>
                <w:jc w:val="center"/>
              </w:trPr>
              <w:tc>
                <w:tcPr>
                  <w:tcW w:w="742" w:type="pct"/>
                  <w:vMerge w:val="continue"/>
                  <w:noWrap w:val="0"/>
                  <w:vAlign w:val="center"/>
                </w:tcPr>
                <w:p w14:paraId="0575870E">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0D4872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激光雕刻机</w:t>
                  </w:r>
                </w:p>
              </w:tc>
              <w:tc>
                <w:tcPr>
                  <w:tcW w:w="1269" w:type="pct"/>
                  <w:tcBorders>
                    <w:right w:val="single" w:color="auto" w:sz="4" w:space="0"/>
                  </w:tcBorders>
                  <w:noWrap w:val="0"/>
                  <w:vAlign w:val="center"/>
                </w:tcPr>
                <w:p w14:paraId="61EB98D0">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LT.G-3015C</w:t>
                  </w:r>
                </w:p>
              </w:tc>
              <w:tc>
                <w:tcPr>
                  <w:tcW w:w="585" w:type="pct"/>
                  <w:tcBorders>
                    <w:right w:val="single" w:color="auto" w:sz="4" w:space="0"/>
                  </w:tcBorders>
                  <w:noWrap w:val="0"/>
                  <w:vAlign w:val="center"/>
                </w:tcPr>
                <w:p w14:paraId="6989E4F5">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85" w:type="pct"/>
                  <w:tcBorders>
                    <w:left w:val="single" w:color="auto" w:sz="4" w:space="0"/>
                    <w:right w:val="single" w:color="auto" w:sz="4" w:space="0"/>
                  </w:tcBorders>
                  <w:noWrap w:val="0"/>
                  <w:vAlign w:val="center"/>
                </w:tcPr>
                <w:p w14:paraId="4B036575">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88" w:type="pct"/>
                  <w:tcBorders>
                    <w:top w:val="single" w:color="auto" w:sz="4" w:space="0"/>
                    <w:left w:val="single" w:color="auto" w:sz="4" w:space="0"/>
                  </w:tcBorders>
                  <w:noWrap w:val="0"/>
                  <w:vAlign w:val="center"/>
                </w:tcPr>
                <w:p w14:paraId="10AA3D41">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w:t>
                  </w:r>
                </w:p>
              </w:tc>
            </w:tr>
            <w:tr w14:paraId="3F50A04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71E12A0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56B72F63">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eastAsia="zh-CN"/>
                    </w:rPr>
                    <w:t>焊机</w:t>
                  </w:r>
                </w:p>
              </w:tc>
              <w:tc>
                <w:tcPr>
                  <w:tcW w:w="1269" w:type="pct"/>
                  <w:tcBorders>
                    <w:right w:val="single" w:color="auto" w:sz="4" w:space="0"/>
                  </w:tcBorders>
                  <w:noWrap w:val="0"/>
                  <w:vAlign w:val="center"/>
                </w:tcPr>
                <w:p w14:paraId="0426F523">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w:t>
                  </w:r>
                </w:p>
              </w:tc>
              <w:tc>
                <w:tcPr>
                  <w:tcW w:w="585" w:type="pct"/>
                  <w:tcBorders>
                    <w:right w:val="single" w:color="auto" w:sz="4" w:space="0"/>
                  </w:tcBorders>
                  <w:noWrap w:val="0"/>
                  <w:vAlign w:val="center"/>
                </w:tcPr>
                <w:p w14:paraId="2689324E">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585" w:type="pct"/>
                  <w:tcBorders>
                    <w:left w:val="single" w:color="auto" w:sz="4" w:space="0"/>
                    <w:right w:val="single" w:color="auto" w:sz="4" w:space="0"/>
                  </w:tcBorders>
                  <w:noWrap w:val="0"/>
                  <w:vAlign w:val="center"/>
                </w:tcPr>
                <w:p w14:paraId="7D19ED22">
                  <w:pPr>
                    <w:widowControl/>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29</w:t>
                  </w:r>
                </w:p>
              </w:tc>
              <w:tc>
                <w:tcPr>
                  <w:tcW w:w="588" w:type="pct"/>
                  <w:tcBorders>
                    <w:top w:val="single" w:color="auto" w:sz="4" w:space="0"/>
                    <w:left w:val="single" w:color="auto" w:sz="4" w:space="0"/>
                  </w:tcBorders>
                  <w:noWrap w:val="0"/>
                  <w:vAlign w:val="center"/>
                </w:tcPr>
                <w:p w14:paraId="164ABEB0">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29</w:t>
                  </w:r>
                </w:p>
              </w:tc>
            </w:tr>
            <w:tr w14:paraId="00A22D65">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43E73EE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777008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折弯机</w:t>
                  </w:r>
                </w:p>
              </w:tc>
              <w:tc>
                <w:tcPr>
                  <w:tcW w:w="1269" w:type="pct"/>
                  <w:tcBorders>
                    <w:right w:val="single" w:color="auto" w:sz="4" w:space="0"/>
                  </w:tcBorders>
                  <w:noWrap w:val="0"/>
                  <w:vAlign w:val="center"/>
                </w:tcPr>
                <w:p w14:paraId="278CB29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WF67Y-40T*2200</w:t>
                  </w:r>
                </w:p>
              </w:tc>
              <w:tc>
                <w:tcPr>
                  <w:tcW w:w="585" w:type="pct"/>
                  <w:tcBorders>
                    <w:right w:val="single" w:color="auto" w:sz="4" w:space="0"/>
                  </w:tcBorders>
                  <w:noWrap w:val="0"/>
                  <w:vAlign w:val="center"/>
                </w:tcPr>
                <w:p w14:paraId="5637F4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5" w:type="pct"/>
                  <w:tcBorders>
                    <w:left w:val="single" w:color="auto" w:sz="4" w:space="0"/>
                    <w:right w:val="single" w:color="auto" w:sz="4" w:space="0"/>
                  </w:tcBorders>
                  <w:noWrap w:val="0"/>
                  <w:vAlign w:val="center"/>
                </w:tcPr>
                <w:p w14:paraId="19FA0D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8" w:type="pct"/>
                  <w:tcBorders>
                    <w:top w:val="single" w:color="auto" w:sz="4" w:space="0"/>
                    <w:left w:val="single" w:color="auto" w:sz="4" w:space="0"/>
                  </w:tcBorders>
                  <w:noWrap w:val="0"/>
                  <w:vAlign w:val="center"/>
                </w:tcPr>
                <w:p w14:paraId="624A6D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r>
            <w:tr w14:paraId="633CE221">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BF1436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52AFEB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269" w:type="pct"/>
                  <w:tcBorders>
                    <w:right w:val="single" w:color="auto" w:sz="4" w:space="0"/>
                  </w:tcBorders>
                  <w:noWrap w:val="0"/>
                  <w:vAlign w:val="center"/>
                </w:tcPr>
                <w:p w14:paraId="01E3F7B9">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rPr>
                    <w:t>4*2500</w:t>
                  </w:r>
                </w:p>
              </w:tc>
              <w:tc>
                <w:tcPr>
                  <w:tcW w:w="585" w:type="pct"/>
                  <w:tcBorders>
                    <w:right w:val="single" w:color="auto" w:sz="4" w:space="0"/>
                  </w:tcBorders>
                  <w:noWrap w:val="0"/>
                  <w:vAlign w:val="center"/>
                </w:tcPr>
                <w:p w14:paraId="5CE8E2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243106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449A96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highlight w:val="none"/>
                      <w:lang w:val="en-US" w:eastAsia="zh-CN"/>
                    </w:rPr>
                    <w:t>1</w:t>
                  </w:r>
                </w:p>
              </w:tc>
            </w:tr>
            <w:tr w14:paraId="3D23ABB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0DD1FA2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47DF0F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269" w:type="pct"/>
                  <w:tcBorders>
                    <w:right w:val="single" w:color="auto" w:sz="4" w:space="0"/>
                  </w:tcBorders>
                  <w:noWrap w:val="0"/>
                  <w:vAlign w:val="center"/>
                </w:tcPr>
                <w:p w14:paraId="4593FBF9">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4*1600</w:t>
                  </w:r>
                </w:p>
              </w:tc>
              <w:tc>
                <w:tcPr>
                  <w:tcW w:w="585" w:type="pct"/>
                  <w:tcBorders>
                    <w:right w:val="single" w:color="auto" w:sz="4" w:space="0"/>
                  </w:tcBorders>
                  <w:noWrap w:val="0"/>
                  <w:vAlign w:val="center"/>
                </w:tcPr>
                <w:p w14:paraId="4F500B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5E4B37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196B39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r>
            <w:tr w14:paraId="201981F5">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39788DA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4200E06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269" w:type="pct"/>
                  <w:tcBorders>
                    <w:right w:val="single" w:color="auto" w:sz="4" w:space="0"/>
                  </w:tcBorders>
                  <w:noWrap w:val="0"/>
                  <w:vAlign w:val="center"/>
                </w:tcPr>
                <w:p w14:paraId="07E97A6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85" w:type="pct"/>
                  <w:tcBorders>
                    <w:right w:val="single" w:color="auto" w:sz="4" w:space="0"/>
                  </w:tcBorders>
                  <w:noWrap w:val="0"/>
                  <w:vAlign w:val="center"/>
                </w:tcPr>
                <w:p w14:paraId="316AD2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5" w:type="pct"/>
                  <w:tcBorders>
                    <w:left w:val="single" w:color="auto" w:sz="4" w:space="0"/>
                    <w:right w:val="single" w:color="auto" w:sz="4" w:space="0"/>
                  </w:tcBorders>
                  <w:noWrap w:val="0"/>
                  <w:vAlign w:val="center"/>
                </w:tcPr>
                <w:p w14:paraId="477564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8" w:type="pct"/>
                  <w:tcBorders>
                    <w:top w:val="single" w:color="auto" w:sz="4" w:space="0"/>
                    <w:left w:val="single" w:color="auto" w:sz="4" w:space="0"/>
                  </w:tcBorders>
                  <w:noWrap w:val="0"/>
                  <w:vAlign w:val="center"/>
                </w:tcPr>
                <w:p w14:paraId="41E140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w:t>
                  </w:r>
                </w:p>
              </w:tc>
            </w:tr>
            <w:tr w14:paraId="6A6D603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5450D29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0423DE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空气压力机</w:t>
                  </w:r>
                </w:p>
              </w:tc>
              <w:tc>
                <w:tcPr>
                  <w:tcW w:w="1269" w:type="pct"/>
                  <w:tcBorders>
                    <w:right w:val="single" w:color="auto" w:sz="4" w:space="0"/>
                  </w:tcBorders>
                  <w:noWrap w:val="0"/>
                  <w:vAlign w:val="center"/>
                </w:tcPr>
                <w:p w14:paraId="7FF7F1DE">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6E3AF269">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5" w:type="pct"/>
                  <w:tcBorders>
                    <w:left w:val="single" w:color="auto" w:sz="4" w:space="0"/>
                    <w:right w:val="single" w:color="auto" w:sz="4" w:space="0"/>
                  </w:tcBorders>
                  <w:noWrap w:val="0"/>
                  <w:vAlign w:val="center"/>
                </w:tcPr>
                <w:p w14:paraId="1800A129">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8" w:type="pct"/>
                  <w:tcBorders>
                    <w:top w:val="single" w:color="auto" w:sz="4" w:space="0"/>
                    <w:left w:val="single" w:color="auto" w:sz="4" w:space="0"/>
                  </w:tcBorders>
                  <w:noWrap w:val="0"/>
                  <w:vAlign w:val="center"/>
                </w:tcPr>
                <w:p w14:paraId="28A02A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w:t>
                  </w:r>
                </w:p>
              </w:tc>
            </w:tr>
            <w:tr w14:paraId="4F52C007">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469B9A80">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710DD8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269" w:type="pct"/>
                  <w:tcBorders>
                    <w:right w:val="single" w:color="auto" w:sz="4" w:space="0"/>
                  </w:tcBorders>
                  <w:noWrap w:val="0"/>
                  <w:vAlign w:val="center"/>
                </w:tcPr>
                <w:p w14:paraId="6211FC3C">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rPr>
                    <w:t>4*2500</w:t>
                  </w:r>
                </w:p>
              </w:tc>
              <w:tc>
                <w:tcPr>
                  <w:tcW w:w="585" w:type="pct"/>
                  <w:tcBorders>
                    <w:right w:val="single" w:color="auto" w:sz="4" w:space="0"/>
                  </w:tcBorders>
                  <w:noWrap w:val="0"/>
                  <w:vAlign w:val="center"/>
                </w:tcPr>
                <w:p w14:paraId="2D945F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1A091A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7BD26C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r>
            <w:tr w14:paraId="583E5C4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6618A9A1">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4F548D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269" w:type="pct"/>
                  <w:tcBorders>
                    <w:right w:val="single" w:color="auto" w:sz="4" w:space="0"/>
                  </w:tcBorders>
                  <w:noWrap w:val="0"/>
                  <w:vAlign w:val="center"/>
                </w:tcPr>
                <w:p w14:paraId="3F03F24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4*1600</w:t>
                  </w:r>
                </w:p>
              </w:tc>
              <w:tc>
                <w:tcPr>
                  <w:tcW w:w="585" w:type="pct"/>
                  <w:tcBorders>
                    <w:right w:val="single" w:color="auto" w:sz="4" w:space="0"/>
                  </w:tcBorders>
                  <w:noWrap w:val="0"/>
                  <w:vAlign w:val="center"/>
                </w:tcPr>
                <w:p w14:paraId="71BE18B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34D3D8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2C8B88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r>
            <w:tr w14:paraId="4C73D7D5">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58626D2F">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6A2DBC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269" w:type="pct"/>
                  <w:tcBorders>
                    <w:right w:val="single" w:color="auto" w:sz="4" w:space="0"/>
                  </w:tcBorders>
                  <w:noWrap w:val="0"/>
                  <w:vAlign w:val="center"/>
                </w:tcPr>
                <w:p w14:paraId="4E959EB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85" w:type="pct"/>
                  <w:tcBorders>
                    <w:right w:val="single" w:color="auto" w:sz="4" w:space="0"/>
                  </w:tcBorders>
                  <w:noWrap w:val="0"/>
                  <w:vAlign w:val="center"/>
                </w:tcPr>
                <w:p w14:paraId="3FAEC2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5" w:type="pct"/>
                  <w:tcBorders>
                    <w:left w:val="single" w:color="auto" w:sz="4" w:space="0"/>
                    <w:right w:val="single" w:color="auto" w:sz="4" w:space="0"/>
                  </w:tcBorders>
                  <w:noWrap w:val="0"/>
                  <w:vAlign w:val="center"/>
                </w:tcPr>
                <w:p w14:paraId="7CDFED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8" w:type="pct"/>
                  <w:tcBorders>
                    <w:top w:val="single" w:color="auto" w:sz="4" w:space="0"/>
                    <w:left w:val="single" w:color="auto" w:sz="4" w:space="0"/>
                  </w:tcBorders>
                  <w:noWrap w:val="0"/>
                  <w:vAlign w:val="center"/>
                </w:tcPr>
                <w:p w14:paraId="299F82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r>
            <w:tr w14:paraId="035FB95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6ED4A71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7DA8FB9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空气压力机</w:t>
                  </w:r>
                </w:p>
              </w:tc>
              <w:tc>
                <w:tcPr>
                  <w:tcW w:w="1269" w:type="pct"/>
                  <w:tcBorders>
                    <w:right w:val="single" w:color="auto" w:sz="4" w:space="0"/>
                  </w:tcBorders>
                  <w:noWrap w:val="0"/>
                  <w:vAlign w:val="center"/>
                </w:tcPr>
                <w:p w14:paraId="1AB40D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62DF605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5" w:type="pct"/>
                  <w:tcBorders>
                    <w:left w:val="single" w:color="auto" w:sz="4" w:space="0"/>
                    <w:right w:val="single" w:color="auto" w:sz="4" w:space="0"/>
                  </w:tcBorders>
                  <w:noWrap w:val="0"/>
                  <w:vAlign w:val="center"/>
                </w:tcPr>
                <w:p w14:paraId="3278C4A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8" w:type="pct"/>
                  <w:tcBorders>
                    <w:top w:val="single" w:color="auto" w:sz="4" w:space="0"/>
                    <w:left w:val="single" w:color="auto" w:sz="4" w:space="0"/>
                  </w:tcBorders>
                  <w:noWrap w:val="0"/>
                  <w:vAlign w:val="center"/>
                </w:tcPr>
                <w:p w14:paraId="0FC7BE67">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r>
            <w:tr w14:paraId="7B545E9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7E015908">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55E5B9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液压剪板机</w:t>
                  </w:r>
                </w:p>
              </w:tc>
              <w:tc>
                <w:tcPr>
                  <w:tcW w:w="1269" w:type="pct"/>
                  <w:tcBorders>
                    <w:right w:val="single" w:color="auto" w:sz="4" w:space="0"/>
                  </w:tcBorders>
                  <w:noWrap w:val="0"/>
                  <w:vAlign w:val="center"/>
                </w:tcPr>
                <w:p w14:paraId="18333D2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4*2500</w:t>
                  </w:r>
                </w:p>
              </w:tc>
              <w:tc>
                <w:tcPr>
                  <w:tcW w:w="585" w:type="pct"/>
                  <w:tcBorders>
                    <w:right w:val="single" w:color="auto" w:sz="4" w:space="0"/>
                  </w:tcBorders>
                  <w:noWrap w:val="0"/>
                  <w:vAlign w:val="center"/>
                </w:tcPr>
                <w:p w14:paraId="0CCF18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243276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7E7C92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r>
            <w:tr w14:paraId="700415A1">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483B2EE">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38675B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闸式剪板机</w:t>
                  </w:r>
                </w:p>
              </w:tc>
              <w:tc>
                <w:tcPr>
                  <w:tcW w:w="1269" w:type="pct"/>
                  <w:tcBorders>
                    <w:right w:val="single" w:color="auto" w:sz="4" w:space="0"/>
                  </w:tcBorders>
                  <w:noWrap w:val="0"/>
                  <w:vAlign w:val="center"/>
                </w:tcPr>
                <w:p w14:paraId="45AA31B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4*1600</w:t>
                  </w:r>
                </w:p>
              </w:tc>
              <w:tc>
                <w:tcPr>
                  <w:tcW w:w="585" w:type="pct"/>
                  <w:tcBorders>
                    <w:right w:val="single" w:color="auto" w:sz="4" w:space="0"/>
                  </w:tcBorders>
                  <w:noWrap w:val="0"/>
                  <w:vAlign w:val="center"/>
                </w:tcPr>
                <w:p w14:paraId="0A1BA5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5" w:type="pct"/>
                  <w:tcBorders>
                    <w:left w:val="single" w:color="auto" w:sz="4" w:space="0"/>
                    <w:right w:val="single" w:color="auto" w:sz="4" w:space="0"/>
                  </w:tcBorders>
                  <w:noWrap w:val="0"/>
                  <w:vAlign w:val="center"/>
                </w:tcPr>
                <w:p w14:paraId="729EEC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588" w:type="pct"/>
                  <w:tcBorders>
                    <w:top w:val="single" w:color="auto" w:sz="4" w:space="0"/>
                    <w:left w:val="single" w:color="auto" w:sz="4" w:space="0"/>
                  </w:tcBorders>
                  <w:noWrap w:val="0"/>
                  <w:vAlign w:val="center"/>
                </w:tcPr>
                <w:p w14:paraId="7B4DD4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w:t>
                  </w:r>
                </w:p>
              </w:tc>
            </w:tr>
            <w:tr w14:paraId="23A5B7A1">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5235498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1ABC0B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快速压力机</w:t>
                  </w:r>
                </w:p>
              </w:tc>
              <w:tc>
                <w:tcPr>
                  <w:tcW w:w="1269" w:type="pct"/>
                  <w:tcBorders>
                    <w:right w:val="single" w:color="auto" w:sz="4" w:space="0"/>
                  </w:tcBorders>
                  <w:noWrap w:val="0"/>
                  <w:vAlign w:val="center"/>
                </w:tcPr>
                <w:p w14:paraId="32931C9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highlight w:val="none"/>
                      <w:u w:val="none"/>
                      <w:lang w:val="en-US" w:eastAsia="zh-CN" w:bidi="ar"/>
                    </w:rPr>
                    <w:t>Y27Y-160T、Y27Y-63T</w:t>
                  </w:r>
                </w:p>
              </w:tc>
              <w:tc>
                <w:tcPr>
                  <w:tcW w:w="585" w:type="pct"/>
                  <w:tcBorders>
                    <w:right w:val="single" w:color="auto" w:sz="4" w:space="0"/>
                  </w:tcBorders>
                  <w:noWrap w:val="0"/>
                  <w:vAlign w:val="center"/>
                </w:tcPr>
                <w:p w14:paraId="0136EF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3</w:t>
                  </w:r>
                </w:p>
              </w:tc>
              <w:tc>
                <w:tcPr>
                  <w:tcW w:w="585" w:type="pct"/>
                  <w:tcBorders>
                    <w:left w:val="single" w:color="auto" w:sz="4" w:space="0"/>
                    <w:right w:val="single" w:color="auto" w:sz="4" w:space="0"/>
                  </w:tcBorders>
                  <w:noWrap w:val="0"/>
                  <w:vAlign w:val="center"/>
                </w:tcPr>
                <w:p w14:paraId="6CCD91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3</w:t>
                  </w:r>
                </w:p>
              </w:tc>
              <w:tc>
                <w:tcPr>
                  <w:tcW w:w="588" w:type="pct"/>
                  <w:tcBorders>
                    <w:top w:val="single" w:color="auto" w:sz="4" w:space="0"/>
                    <w:left w:val="single" w:color="auto" w:sz="4" w:space="0"/>
                  </w:tcBorders>
                  <w:noWrap w:val="0"/>
                  <w:vAlign w:val="center"/>
                </w:tcPr>
                <w:p w14:paraId="60EFF7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3</w:t>
                  </w:r>
                </w:p>
              </w:tc>
            </w:tr>
            <w:tr w14:paraId="3FC2B898">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7FB76AB">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6ACCE0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外圆抛光机</w:t>
                  </w:r>
                </w:p>
              </w:tc>
              <w:tc>
                <w:tcPr>
                  <w:tcW w:w="1269" w:type="pct"/>
                  <w:tcBorders>
                    <w:right w:val="single" w:color="auto" w:sz="4" w:space="0"/>
                  </w:tcBorders>
                  <w:noWrap w:val="0"/>
                  <w:vAlign w:val="center"/>
                </w:tcPr>
                <w:p w14:paraId="50C313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Y80M2-2</w:t>
                  </w:r>
                </w:p>
              </w:tc>
              <w:tc>
                <w:tcPr>
                  <w:tcW w:w="585" w:type="pct"/>
                  <w:tcBorders>
                    <w:right w:val="single" w:color="auto" w:sz="4" w:space="0"/>
                  </w:tcBorders>
                  <w:noWrap w:val="0"/>
                  <w:vAlign w:val="center"/>
                </w:tcPr>
                <w:p w14:paraId="3ED46AE8">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p>
              </w:tc>
              <w:tc>
                <w:tcPr>
                  <w:tcW w:w="585" w:type="pct"/>
                  <w:tcBorders>
                    <w:left w:val="single" w:color="auto" w:sz="4" w:space="0"/>
                    <w:right w:val="single" w:color="auto" w:sz="4" w:space="0"/>
                  </w:tcBorders>
                  <w:noWrap w:val="0"/>
                  <w:vAlign w:val="center"/>
                </w:tcPr>
                <w:p w14:paraId="5E02EB5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p>
              </w:tc>
              <w:tc>
                <w:tcPr>
                  <w:tcW w:w="588" w:type="pct"/>
                  <w:tcBorders>
                    <w:top w:val="single" w:color="auto" w:sz="4" w:space="0"/>
                    <w:left w:val="single" w:color="auto" w:sz="4" w:space="0"/>
                  </w:tcBorders>
                  <w:noWrap w:val="0"/>
                  <w:vAlign w:val="center"/>
                </w:tcPr>
                <w:p w14:paraId="497C6657">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r>
            <w:tr w14:paraId="0EE09BC3">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48CF784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554750F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毛刺机</w:t>
                  </w:r>
                </w:p>
              </w:tc>
              <w:tc>
                <w:tcPr>
                  <w:tcW w:w="1269" w:type="pct"/>
                  <w:tcBorders>
                    <w:right w:val="single" w:color="auto" w:sz="4" w:space="0"/>
                  </w:tcBorders>
                  <w:noWrap w:val="0"/>
                  <w:vAlign w:val="center"/>
                </w:tcPr>
                <w:p w14:paraId="5F02F3B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FMCJ-2000NG</w:t>
                  </w:r>
                </w:p>
              </w:tc>
              <w:tc>
                <w:tcPr>
                  <w:tcW w:w="585" w:type="pct"/>
                  <w:tcBorders>
                    <w:right w:val="single" w:color="auto" w:sz="4" w:space="0"/>
                  </w:tcBorders>
                  <w:noWrap w:val="0"/>
                  <w:vAlign w:val="center"/>
                </w:tcPr>
                <w:p w14:paraId="71BFE34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4125F58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7288B079">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r>
            <w:tr w14:paraId="00CAC26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31E48560">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6D2D1B07">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切边机</w:t>
                  </w:r>
                </w:p>
              </w:tc>
              <w:tc>
                <w:tcPr>
                  <w:tcW w:w="1269" w:type="pct"/>
                  <w:tcBorders>
                    <w:right w:val="single" w:color="auto" w:sz="4" w:space="0"/>
                  </w:tcBorders>
                  <w:noWrap w:val="0"/>
                  <w:vAlign w:val="center"/>
                </w:tcPr>
                <w:p w14:paraId="2CA50765">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1259D19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129E201A">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4156D57D">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r>
            <w:tr w14:paraId="35D0934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639E315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615F1F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角磨机</w:t>
                  </w:r>
                </w:p>
              </w:tc>
              <w:tc>
                <w:tcPr>
                  <w:tcW w:w="1269" w:type="pct"/>
                  <w:tcBorders>
                    <w:right w:val="single" w:color="auto" w:sz="4" w:space="0"/>
                  </w:tcBorders>
                  <w:noWrap w:val="0"/>
                  <w:vAlign w:val="center"/>
                </w:tcPr>
                <w:p w14:paraId="75D9BE4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0C3DB4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15</w:t>
                  </w:r>
                </w:p>
              </w:tc>
              <w:tc>
                <w:tcPr>
                  <w:tcW w:w="585" w:type="pct"/>
                  <w:tcBorders>
                    <w:left w:val="single" w:color="auto" w:sz="4" w:space="0"/>
                    <w:right w:val="single" w:color="auto" w:sz="4" w:space="0"/>
                  </w:tcBorders>
                  <w:noWrap w:val="0"/>
                  <w:vAlign w:val="center"/>
                </w:tcPr>
                <w:p w14:paraId="1B3135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15</w:t>
                  </w:r>
                </w:p>
              </w:tc>
              <w:tc>
                <w:tcPr>
                  <w:tcW w:w="588" w:type="pct"/>
                  <w:tcBorders>
                    <w:top w:val="single" w:color="auto" w:sz="4" w:space="0"/>
                    <w:left w:val="single" w:color="auto" w:sz="4" w:space="0"/>
                  </w:tcBorders>
                  <w:noWrap w:val="0"/>
                  <w:vAlign w:val="center"/>
                </w:tcPr>
                <w:p w14:paraId="1FC7963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15</w:t>
                  </w:r>
                </w:p>
              </w:tc>
            </w:tr>
            <w:tr w14:paraId="4864A23D">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12DEFD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4691F4C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裁板锯</w:t>
                  </w:r>
                </w:p>
              </w:tc>
              <w:tc>
                <w:tcPr>
                  <w:tcW w:w="1269" w:type="pct"/>
                  <w:tcBorders>
                    <w:right w:val="single" w:color="auto" w:sz="4" w:space="0"/>
                  </w:tcBorders>
                  <w:noWrap w:val="0"/>
                  <w:vAlign w:val="center"/>
                </w:tcPr>
                <w:p w14:paraId="7F241C75">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33174791">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0F90236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684BC7D5">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r>
            <w:tr w14:paraId="6361D87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DA85116">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644CFD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曲直线封边机</w:t>
                  </w:r>
                </w:p>
              </w:tc>
              <w:tc>
                <w:tcPr>
                  <w:tcW w:w="1269" w:type="pct"/>
                  <w:tcBorders>
                    <w:right w:val="single" w:color="auto" w:sz="4" w:space="0"/>
                  </w:tcBorders>
                  <w:noWrap w:val="0"/>
                  <w:vAlign w:val="center"/>
                </w:tcPr>
                <w:p w14:paraId="08CAD74E">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501272AE">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50DD8A36">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240192A4">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r>
            <w:tr w14:paraId="728340E7">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0B322733">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0792A7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手提式气动打包机</w:t>
                  </w:r>
                </w:p>
              </w:tc>
              <w:tc>
                <w:tcPr>
                  <w:tcW w:w="1269" w:type="pct"/>
                  <w:tcBorders>
                    <w:right w:val="single" w:color="auto" w:sz="4" w:space="0"/>
                  </w:tcBorders>
                  <w:noWrap w:val="0"/>
                  <w:vAlign w:val="center"/>
                </w:tcPr>
                <w:p w14:paraId="40AD7D09">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4D1B2286">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127B69D0">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1DA3E9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w:t>
                  </w:r>
                </w:p>
              </w:tc>
            </w:tr>
            <w:tr w14:paraId="635F29B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3AD5D71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7519EF4A">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磨齿机</w:t>
                  </w:r>
                </w:p>
              </w:tc>
              <w:tc>
                <w:tcPr>
                  <w:tcW w:w="1269" w:type="pct"/>
                  <w:tcBorders>
                    <w:right w:val="single" w:color="auto" w:sz="4" w:space="0"/>
                  </w:tcBorders>
                  <w:noWrap w:val="0"/>
                  <w:vAlign w:val="center"/>
                </w:tcPr>
                <w:p w14:paraId="7301047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MG-450</w:t>
                  </w:r>
                </w:p>
              </w:tc>
              <w:tc>
                <w:tcPr>
                  <w:tcW w:w="585" w:type="pct"/>
                  <w:tcBorders>
                    <w:right w:val="single" w:color="auto" w:sz="4" w:space="0"/>
                  </w:tcBorders>
                  <w:noWrap w:val="0"/>
                  <w:vAlign w:val="center"/>
                </w:tcPr>
                <w:p w14:paraId="4F43615C">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85" w:type="pct"/>
                  <w:tcBorders>
                    <w:left w:val="single" w:color="auto" w:sz="4" w:space="0"/>
                    <w:right w:val="single" w:color="auto" w:sz="4" w:space="0"/>
                  </w:tcBorders>
                  <w:noWrap w:val="0"/>
                  <w:vAlign w:val="center"/>
                </w:tcPr>
                <w:p w14:paraId="13E75A7E">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88" w:type="pct"/>
                  <w:tcBorders>
                    <w:top w:val="single" w:color="auto" w:sz="4" w:space="0"/>
                    <w:left w:val="single" w:color="auto" w:sz="4" w:space="0"/>
                  </w:tcBorders>
                  <w:noWrap w:val="0"/>
                  <w:vAlign w:val="center"/>
                </w:tcPr>
                <w:p w14:paraId="42EBFA75">
                  <w:pPr>
                    <w:keepNext w:val="0"/>
                    <w:keepLines w:val="0"/>
                    <w:widowControl/>
                    <w:suppressLineNumbers w:val="0"/>
                    <w:jc w:val="center"/>
                    <w:textAlignment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i w:val="0"/>
                      <w:color w:val="auto"/>
                      <w:kern w:val="0"/>
                      <w:sz w:val="21"/>
                      <w:szCs w:val="21"/>
                      <w:u w:val="none"/>
                      <w:lang w:val="en-US" w:eastAsia="zh-CN" w:bidi="ar"/>
                    </w:rPr>
                    <w:t>2</w:t>
                  </w:r>
                </w:p>
              </w:tc>
            </w:tr>
            <w:tr w14:paraId="1CB24449">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F3485F4">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0483D2B3">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砂轮机</w:t>
                  </w:r>
                </w:p>
              </w:tc>
              <w:tc>
                <w:tcPr>
                  <w:tcW w:w="1269" w:type="pct"/>
                  <w:tcBorders>
                    <w:right w:val="single" w:color="auto" w:sz="4" w:space="0"/>
                  </w:tcBorders>
                  <w:noWrap w:val="0"/>
                  <w:vAlign w:val="center"/>
                </w:tcPr>
                <w:p w14:paraId="1B9D95D6">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544F25D4">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85" w:type="pct"/>
                  <w:tcBorders>
                    <w:left w:val="single" w:color="auto" w:sz="4" w:space="0"/>
                    <w:right w:val="single" w:color="auto" w:sz="4" w:space="0"/>
                  </w:tcBorders>
                  <w:noWrap w:val="0"/>
                  <w:vAlign w:val="center"/>
                </w:tcPr>
                <w:p w14:paraId="3818D96E">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588" w:type="pct"/>
                  <w:tcBorders>
                    <w:top w:val="single" w:color="auto" w:sz="4" w:space="0"/>
                    <w:left w:val="single" w:color="auto" w:sz="4" w:space="0"/>
                  </w:tcBorders>
                  <w:noWrap w:val="0"/>
                  <w:vAlign w:val="center"/>
                </w:tcPr>
                <w:p w14:paraId="3BB5787C">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r>
            <w:tr w14:paraId="15B6B9B4">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5746354E">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rPr>
                  </w:pPr>
                </w:p>
              </w:tc>
              <w:tc>
                <w:tcPr>
                  <w:tcW w:w="1227" w:type="pct"/>
                  <w:noWrap w:val="0"/>
                  <w:vAlign w:val="center"/>
                </w:tcPr>
                <w:p w14:paraId="5F8AE1F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锯片研磨机</w:t>
                  </w:r>
                </w:p>
              </w:tc>
              <w:tc>
                <w:tcPr>
                  <w:tcW w:w="1269" w:type="pct"/>
                  <w:tcBorders>
                    <w:right w:val="single" w:color="auto" w:sz="4" w:space="0"/>
                  </w:tcBorders>
                  <w:noWrap w:val="0"/>
                  <w:vAlign w:val="center"/>
                </w:tcPr>
                <w:p w14:paraId="70230D9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KL-270</w:t>
                  </w:r>
                </w:p>
              </w:tc>
              <w:tc>
                <w:tcPr>
                  <w:tcW w:w="585" w:type="pct"/>
                  <w:tcBorders>
                    <w:right w:val="single" w:color="auto" w:sz="4" w:space="0"/>
                  </w:tcBorders>
                  <w:noWrap w:val="0"/>
                  <w:vAlign w:val="center"/>
                </w:tcPr>
                <w:p w14:paraId="314F24A8">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85" w:type="pct"/>
                  <w:tcBorders>
                    <w:left w:val="single" w:color="auto" w:sz="4" w:space="0"/>
                    <w:right w:val="single" w:color="auto" w:sz="4" w:space="0"/>
                  </w:tcBorders>
                  <w:noWrap w:val="0"/>
                  <w:vAlign w:val="center"/>
                </w:tcPr>
                <w:p w14:paraId="362353B6">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588" w:type="pct"/>
                  <w:tcBorders>
                    <w:top w:val="single" w:color="auto" w:sz="4" w:space="0"/>
                    <w:left w:val="single" w:color="auto" w:sz="4" w:space="0"/>
                  </w:tcBorders>
                  <w:noWrap w:val="0"/>
                  <w:vAlign w:val="center"/>
                </w:tcPr>
                <w:p w14:paraId="3CA95C54">
                  <w:pPr>
                    <w:keepNext w:val="0"/>
                    <w:keepLines w:val="0"/>
                    <w:widowControl/>
                    <w:suppressLineNumbers w:val="0"/>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r>
            <w:tr w14:paraId="7F9EF6D2">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restart"/>
                  <w:noWrap w:val="0"/>
                  <w:vAlign w:val="center"/>
                </w:tcPr>
                <w:p w14:paraId="680DD319">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公辅设备</w:t>
                  </w:r>
                </w:p>
              </w:tc>
              <w:tc>
                <w:tcPr>
                  <w:tcW w:w="1227" w:type="pct"/>
                  <w:noWrap w:val="0"/>
                  <w:vAlign w:val="center"/>
                </w:tcPr>
                <w:p w14:paraId="2AC5CA9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空压机</w:t>
                  </w:r>
                </w:p>
              </w:tc>
              <w:tc>
                <w:tcPr>
                  <w:tcW w:w="1269" w:type="pct"/>
                  <w:tcBorders>
                    <w:right w:val="single" w:color="auto" w:sz="4" w:space="0"/>
                  </w:tcBorders>
                  <w:noWrap w:val="0"/>
                  <w:vAlign w:val="center"/>
                </w:tcPr>
                <w:p w14:paraId="5CC0391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0DED56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5" w:type="pct"/>
                  <w:tcBorders>
                    <w:left w:val="single" w:color="auto" w:sz="4" w:space="0"/>
                    <w:right w:val="single" w:color="auto" w:sz="4" w:space="0"/>
                  </w:tcBorders>
                  <w:noWrap w:val="0"/>
                  <w:vAlign w:val="center"/>
                </w:tcPr>
                <w:p w14:paraId="70AA15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588" w:type="pct"/>
                  <w:tcBorders>
                    <w:left w:val="single" w:color="auto" w:sz="4" w:space="0"/>
                  </w:tcBorders>
                  <w:noWrap w:val="0"/>
                  <w:vAlign w:val="center"/>
                </w:tcPr>
                <w:p w14:paraId="538F99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5</w:t>
                  </w:r>
                </w:p>
              </w:tc>
            </w:tr>
            <w:tr w14:paraId="11AB099C">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7B1F892A">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227" w:type="pct"/>
                  <w:noWrap w:val="0"/>
                  <w:vAlign w:val="center"/>
                </w:tcPr>
                <w:p w14:paraId="1EAD08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气泵</w:t>
                  </w:r>
                </w:p>
              </w:tc>
              <w:tc>
                <w:tcPr>
                  <w:tcW w:w="1269" w:type="pct"/>
                  <w:tcBorders>
                    <w:right w:val="single" w:color="auto" w:sz="4" w:space="0"/>
                  </w:tcBorders>
                  <w:noWrap w:val="0"/>
                  <w:vAlign w:val="center"/>
                </w:tcPr>
                <w:p w14:paraId="058E9F5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w:t>
                  </w:r>
                </w:p>
              </w:tc>
              <w:tc>
                <w:tcPr>
                  <w:tcW w:w="585" w:type="pct"/>
                  <w:tcBorders>
                    <w:right w:val="single" w:color="auto" w:sz="4" w:space="0"/>
                  </w:tcBorders>
                  <w:noWrap w:val="0"/>
                  <w:vAlign w:val="center"/>
                </w:tcPr>
                <w:p w14:paraId="4A877A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5" w:type="pct"/>
                  <w:tcBorders>
                    <w:left w:val="single" w:color="auto" w:sz="4" w:space="0"/>
                    <w:right w:val="single" w:color="auto" w:sz="4" w:space="0"/>
                  </w:tcBorders>
                  <w:noWrap w:val="0"/>
                  <w:vAlign w:val="center"/>
                </w:tcPr>
                <w:p w14:paraId="0CBEE1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8" w:type="pct"/>
                  <w:tcBorders>
                    <w:left w:val="single" w:color="auto" w:sz="4" w:space="0"/>
                  </w:tcBorders>
                  <w:noWrap w:val="0"/>
                  <w:vAlign w:val="center"/>
                </w:tcPr>
                <w:p w14:paraId="1C265F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r>
            <w:tr w14:paraId="4B95384E">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11F72487">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227" w:type="pct"/>
                  <w:noWrap w:val="0"/>
                  <w:vAlign w:val="center"/>
                </w:tcPr>
                <w:p w14:paraId="3023EB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叉车</w:t>
                  </w:r>
                </w:p>
              </w:tc>
              <w:tc>
                <w:tcPr>
                  <w:tcW w:w="1269" w:type="pct"/>
                  <w:tcBorders>
                    <w:right w:val="single" w:color="auto" w:sz="4" w:space="0"/>
                  </w:tcBorders>
                  <w:noWrap w:val="0"/>
                  <w:vAlign w:val="center"/>
                </w:tcPr>
                <w:p w14:paraId="0675D1E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3.5吨</w:t>
                  </w:r>
                </w:p>
              </w:tc>
              <w:tc>
                <w:tcPr>
                  <w:tcW w:w="585" w:type="pct"/>
                  <w:tcBorders>
                    <w:right w:val="single" w:color="auto" w:sz="4" w:space="0"/>
                  </w:tcBorders>
                  <w:noWrap w:val="0"/>
                  <w:vAlign w:val="center"/>
                </w:tcPr>
                <w:p w14:paraId="28981F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5" w:type="pct"/>
                  <w:tcBorders>
                    <w:left w:val="single" w:color="auto" w:sz="4" w:space="0"/>
                    <w:right w:val="single" w:color="auto" w:sz="4" w:space="0"/>
                  </w:tcBorders>
                  <w:noWrap w:val="0"/>
                  <w:vAlign w:val="center"/>
                </w:tcPr>
                <w:p w14:paraId="7B4E3F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588" w:type="pct"/>
                  <w:tcBorders>
                    <w:left w:val="single" w:color="auto" w:sz="4" w:space="0"/>
                  </w:tcBorders>
                  <w:noWrap w:val="0"/>
                  <w:vAlign w:val="center"/>
                </w:tcPr>
                <w:p w14:paraId="3D911FB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2</w:t>
                  </w:r>
                </w:p>
              </w:tc>
            </w:tr>
            <w:tr w14:paraId="3F8467DA">
              <w:tblPrEx>
                <w:tblBorders>
                  <w:top w:val="single" w:color="auto" w:sz="4" w:space="0"/>
                  <w:left w:val="none" w:color="auto" w:sz="0" w:space="0"/>
                  <w:bottom w:val="single" w:color="auto" w:sz="4" w:space="0"/>
                  <w:right w:val="none" w:color="auto" w:sz="0" w:space="0"/>
                  <w:insideH w:val="single" w:color="auto" w:sz="2" w:space="0"/>
                  <w:insideV w:val="single" w:color="auto" w:sz="2" w:space="0"/>
                </w:tblBorders>
                <w:tblCellMar>
                  <w:top w:w="0" w:type="dxa"/>
                  <w:left w:w="79" w:type="dxa"/>
                  <w:bottom w:w="0" w:type="dxa"/>
                  <w:right w:w="79" w:type="dxa"/>
                </w:tblCellMar>
              </w:tblPrEx>
              <w:trPr>
                <w:trHeight w:val="340" w:hRule="atLeast"/>
                <w:jc w:val="center"/>
              </w:trPr>
              <w:tc>
                <w:tcPr>
                  <w:tcW w:w="742" w:type="pct"/>
                  <w:vMerge w:val="continue"/>
                  <w:noWrap w:val="0"/>
                  <w:vAlign w:val="center"/>
                </w:tcPr>
                <w:p w14:paraId="26D402CC">
                  <w:pPr>
                    <w:keepNext w:val="0"/>
                    <w:keepLines w:val="0"/>
                    <w:pageBreakBefore w:val="0"/>
                    <w:kinsoku/>
                    <w:wordWrap/>
                    <w:overflowPunct/>
                    <w:topLinePunct w:val="0"/>
                    <w:autoSpaceDE/>
                    <w:autoSpaceDN/>
                    <w:bidi w:val="0"/>
                    <w:adjustRightInd w:val="0"/>
                    <w:snapToGrid w:val="0"/>
                    <w:spacing w:line="240" w:lineRule="auto"/>
                    <w:ind w:left="0" w:right="0"/>
                    <w:jc w:val="center"/>
                    <w:rPr>
                      <w:rFonts w:hint="default" w:ascii="Times New Roman" w:hAnsi="Times New Roman" w:eastAsia="宋体" w:cs="Times New Roman"/>
                      <w:bCs/>
                      <w:color w:val="auto"/>
                      <w:sz w:val="21"/>
                      <w:szCs w:val="21"/>
                      <w:lang w:val="en-US" w:eastAsia="zh-CN"/>
                    </w:rPr>
                  </w:pPr>
                </w:p>
              </w:tc>
              <w:tc>
                <w:tcPr>
                  <w:tcW w:w="1227" w:type="pct"/>
                  <w:noWrap w:val="0"/>
                  <w:vAlign w:val="center"/>
                </w:tcPr>
                <w:p w14:paraId="1E77C6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储气罐</w:t>
                  </w:r>
                </w:p>
              </w:tc>
              <w:tc>
                <w:tcPr>
                  <w:tcW w:w="1269" w:type="pct"/>
                  <w:tcBorders>
                    <w:right w:val="single" w:color="auto" w:sz="4" w:space="0"/>
                  </w:tcBorders>
                  <w:noWrap w:val="0"/>
                  <w:vAlign w:val="center"/>
                </w:tcPr>
                <w:p w14:paraId="7ADD62E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highlight w:val="none"/>
                      <w:lang w:bidi="ar"/>
                    </w:rPr>
                    <w:t>0.6</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585" w:type="pct"/>
                  <w:tcBorders>
                    <w:right w:val="single" w:color="auto" w:sz="4" w:space="0"/>
                  </w:tcBorders>
                  <w:noWrap w:val="0"/>
                  <w:vAlign w:val="center"/>
                </w:tcPr>
                <w:p w14:paraId="1E9127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5" w:type="pct"/>
                  <w:tcBorders>
                    <w:left w:val="single" w:color="auto" w:sz="4" w:space="0"/>
                    <w:right w:val="single" w:color="auto" w:sz="4" w:space="0"/>
                  </w:tcBorders>
                  <w:noWrap w:val="0"/>
                  <w:vAlign w:val="center"/>
                </w:tcPr>
                <w:p w14:paraId="0CBD5C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588" w:type="pct"/>
                  <w:tcBorders>
                    <w:left w:val="single" w:color="auto" w:sz="4" w:space="0"/>
                  </w:tcBorders>
                  <w:noWrap w:val="0"/>
                  <w:vAlign w:val="center"/>
                </w:tcPr>
                <w:p w14:paraId="4786A0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r>
          </w:tbl>
          <w:p w14:paraId="62A7AEB2">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105" w:leftChars="0" w:right="0" w:rightChars="0" w:firstLine="0" w:firstLineChars="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现有项目生产工艺流程</w:t>
            </w:r>
          </w:p>
          <w:p w14:paraId="72A03A6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105" w:leftChars="0" w:right="0" w:rightChars="0"/>
              <w:jc w:val="both"/>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val="0"/>
                <w:color w:val="auto"/>
                <w:sz w:val="24"/>
                <w:lang w:val="en-US" w:eastAsia="zh-CN"/>
              </w:rPr>
              <w:t>（1）安检设备柜</w:t>
            </w:r>
          </w:p>
          <w:p w14:paraId="076F9CE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inline distT="0" distB="0" distL="114300" distR="114300">
                  <wp:extent cx="0" cy="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1"/>
                          <a:stretch>
                            <a:fillRect/>
                          </a:stretch>
                        </pic:blipFill>
                        <pic:spPr>
                          <a:xfrm>
                            <a:off x="0" y="0"/>
                            <a:ext cx="0" cy="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0" cy="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a:stretch>
                            <a:fillRect/>
                          </a:stretch>
                        </pic:blipFill>
                        <pic:spPr>
                          <a:xfrm>
                            <a:off x="0" y="0"/>
                            <a:ext cx="0" cy="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3863340" cy="4953000"/>
                  <wp:effectExtent l="0" t="0" r="762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3"/>
                          <a:stretch>
                            <a:fillRect/>
                          </a:stretch>
                        </pic:blipFill>
                        <pic:spPr>
                          <a:xfrm>
                            <a:off x="0" y="0"/>
                            <a:ext cx="3863340" cy="4953000"/>
                          </a:xfrm>
                          <a:prstGeom prst="rect">
                            <a:avLst/>
                          </a:prstGeom>
                          <a:noFill/>
                          <a:ln>
                            <a:noFill/>
                          </a:ln>
                        </pic:spPr>
                      </pic:pic>
                    </a:graphicData>
                  </a:graphic>
                </wp:inline>
              </w:drawing>
            </w:r>
          </w:p>
          <w:p w14:paraId="4C204046">
            <w:pPr>
              <w:keepNext w:val="0"/>
              <w:keepLines w:val="0"/>
              <w:pageBreakBefore w:val="0"/>
              <w:widowControl w:val="0"/>
              <w:kinsoku/>
              <w:wordWrap/>
              <w:overflowPunct/>
              <w:topLinePunct w:val="0"/>
              <w:autoSpaceDE/>
              <w:autoSpaceDN/>
              <w:bidi w:val="0"/>
              <w:adjustRightInd w:val="0"/>
              <w:snapToGrid w:val="0"/>
              <w:spacing w:line="500" w:lineRule="exact"/>
              <w:ind w:left="0" w:right="0"/>
              <w:jc w:val="center"/>
              <w:textAlignment w:val="auto"/>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图2-4 </w:t>
            </w:r>
            <w:r>
              <w:rPr>
                <w:rFonts w:hint="default" w:ascii="Times New Roman" w:hAnsi="Times New Roman" w:eastAsia="宋体" w:cs="Times New Roman"/>
                <w:b/>
                <w:bCs/>
                <w:color w:val="auto"/>
                <w:sz w:val="21"/>
                <w:szCs w:val="21"/>
                <w:lang w:val="en-US" w:eastAsia="zh-CN"/>
              </w:rPr>
              <w:t>现有项目</w:t>
            </w:r>
            <w:r>
              <w:rPr>
                <w:rFonts w:hint="default" w:ascii="Times New Roman" w:hAnsi="Times New Roman" w:eastAsia="宋体" w:cs="Times New Roman"/>
                <w:b/>
                <w:color w:val="auto"/>
                <w:sz w:val="21"/>
                <w:szCs w:val="21"/>
                <w:highlight w:val="none"/>
                <w:lang w:val="en-US" w:eastAsia="zh-CN"/>
              </w:rPr>
              <w:t>安检设备柜工艺流程及产污环节图</w:t>
            </w:r>
          </w:p>
          <w:p w14:paraId="4BBD9D02">
            <w:pPr>
              <w:pStyle w:val="106"/>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生产工艺简述：</w:t>
            </w:r>
          </w:p>
          <w:p w14:paraId="1DFD367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下料：根据产品要求，将外购的冷轧板运至光纤切割机、剪板机上断成需要的规格大小。该工序产生边角料。</w:t>
            </w:r>
          </w:p>
          <w:p w14:paraId="4EB7C8C3">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折弯：根据产品要求，将下料后的冷轧板运至折弯机上进行折弯成型。</w:t>
            </w:r>
          </w:p>
          <w:p w14:paraId="27D4513A">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焊接：根据产品要求，将折弯成型的冷轧板运在焊机上进行焊接处理。本项目采用氩弧焊技术，焊材为无铅、锡焊丝；氩弧焊技术是在普通电弧焊的原理的基础上，利用氩气对金属焊材的保护，通过高电流使焊材在被焊基材上熔化成液态形成熔池，使被焊金属和焊材达到冶金结合的一种焊接技术，由于在高温熔融焊接中不断送上氩气，使焊材不能和空气中的氧气接触，从而防止了焊材的氧化，因此可以焊接不锈钢、铁类五金金属。该工序产生焊接烟尘、焊渣。</w:t>
            </w:r>
          </w:p>
          <w:p w14:paraId="1701C003">
            <w:pPr>
              <w:pStyle w:val="8"/>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人工打磨：根据产品要求，人工运用角磨机对焊接部位进行打磨，去除多余毛刺。该工序产生极少量打磨粉尘。</w:t>
            </w:r>
          </w:p>
          <w:p w14:paraId="32D02F3B">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抛光：根据产品要求，将打磨后的工件采用抛光机进行局部表面抛光处理。抛光是指利用机械、化学或电化学的作用，使工件表面粗糙度降低，以获得光亮、平整表面的加工方法；是利用</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"https://baike.so.com/doc/7631019-7905114.html"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抛光工具</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和磨料颗粒或其他抛光介质对</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"https://baike.so.com/doc/5350475-5585931.html"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工件</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表面进行的修饰加工。抛光不能提高工件的尺寸精度或几何形状精度，而是以得到</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"https://baike.so.com/doc/2350451-2485659.html"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光滑</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表面或</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"https://baike.so.com/doc/1197682-1266903.html"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镜面</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光泽为目的，有时也用以消除光泽(</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"https://baike.so.com/doc/5890176-6103061.html"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消光</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)。抛光轮一般用多层</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"https://baike.so.com/doc/778688-823893.html"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帆布</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"https://baike.so.com/doc/11995-12410.html"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毛毡</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或皮革叠制而成，两侧用金属圆板夹紧，其轮缘涂敷由微粉</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"https://baike.so.com/doc/5941325-6154258.html"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磨料</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和油脂等均匀混合而成的</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"https://baike.so.com/doc/1064937-1126640.html"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抛光剂</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。抛光时，高速旋转的抛光轮(圆周速度在20米/秒以上)压向工件，使磨料对工件表面产生</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"https://baike.so.com/doc/4332422-4537146.html"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滚压</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和微量</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"https://baike.so.com/doc/6971365-7194051.html" \t "https://baike.so.com/doc/_blank"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切削</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，从而获得光亮的加工表面，表面粗糙度一般可达Ra0.63~0.01微米。该工序产生抛光粉尘。</w:t>
            </w:r>
          </w:p>
          <w:p w14:paraId="065877C0">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喷塑（委外）：根据产品要求，抛光后的工件委外喷塑处理。</w:t>
            </w:r>
          </w:p>
          <w:p w14:paraId="16492C7E">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总装：根据产品要求，利用铣床（台钻）、攻丝机将外购门锁、铰链、拉手、标准件与委外喷塑后的工件，进行组装成型。</w:t>
            </w:r>
          </w:p>
          <w:p w14:paraId="26751CA7">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检验包装：检验装配后的安检设备柜是否达到规定的质量要求，符合要求的产品进入成品库待售。该工序产生不合格品。</w:t>
            </w:r>
          </w:p>
          <w:p w14:paraId="6403E00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kern w:val="2"/>
                <w:sz w:val="24"/>
                <w:szCs w:val="24"/>
                <w:lang w:val="en-US" w:eastAsia="zh-CN" w:bidi="ar-SA"/>
              </w:rPr>
              <w:t>）安检提示牌</w:t>
            </w:r>
          </w:p>
          <w:p w14:paraId="0D493F6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rPr>
              <w:drawing>
                <wp:inline distT="0" distB="0" distL="114300" distR="114300">
                  <wp:extent cx="3230880" cy="3893820"/>
                  <wp:effectExtent l="0" t="0" r="0" b="762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4"/>
                          <a:stretch>
                            <a:fillRect/>
                          </a:stretch>
                        </pic:blipFill>
                        <pic:spPr>
                          <a:xfrm>
                            <a:off x="0" y="0"/>
                            <a:ext cx="3230880" cy="3893820"/>
                          </a:xfrm>
                          <a:prstGeom prst="rect">
                            <a:avLst/>
                          </a:prstGeom>
                          <a:noFill/>
                          <a:ln>
                            <a:noFill/>
                          </a:ln>
                        </pic:spPr>
                      </pic:pic>
                    </a:graphicData>
                  </a:graphic>
                </wp:inline>
              </w:drawing>
            </w:r>
          </w:p>
          <w:p w14:paraId="6D40BA4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图2-5 </w:t>
            </w:r>
            <w:r>
              <w:rPr>
                <w:rFonts w:hint="default" w:ascii="Times New Roman" w:hAnsi="Times New Roman" w:eastAsia="宋体" w:cs="Times New Roman"/>
                <w:b/>
                <w:bCs/>
                <w:color w:val="auto"/>
                <w:sz w:val="21"/>
                <w:szCs w:val="21"/>
                <w:lang w:val="en-US" w:eastAsia="zh-CN"/>
              </w:rPr>
              <w:t>现有项目</w:t>
            </w:r>
            <w:r>
              <w:rPr>
                <w:rFonts w:hint="default" w:ascii="Times New Roman" w:hAnsi="Times New Roman" w:eastAsia="宋体" w:cs="Times New Roman"/>
                <w:b/>
                <w:color w:val="auto"/>
                <w:sz w:val="21"/>
                <w:szCs w:val="21"/>
                <w:highlight w:val="none"/>
                <w:lang w:val="en-US" w:eastAsia="zh-CN"/>
              </w:rPr>
              <w:t>安检提示牌工艺流程及产污环节图</w:t>
            </w:r>
          </w:p>
          <w:p w14:paraId="6003BB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工艺流程描述：</w:t>
            </w:r>
          </w:p>
          <w:p w14:paraId="2E97BA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产品要求，将外购的不锈钢板经下料、折弯、焊接、人工打磨、抛光后即得安检提示牌；其生产工艺流程与安检设备柜基本一致，下料、折弯、焊接、人工打磨、抛光、检验包装的流程简述可参考安检设备柜，该工序产生边角料、焊接烟尘、焊渣、打磨粉尘、抛光粉尘、不合格品。</w:t>
            </w:r>
          </w:p>
          <w:p w14:paraId="33CB080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kern w:val="2"/>
                <w:sz w:val="24"/>
                <w:szCs w:val="24"/>
                <w:lang w:val="en-US" w:eastAsia="zh-CN" w:bidi="ar-SA"/>
              </w:rPr>
              <w:t>）开包操作台</w:t>
            </w:r>
          </w:p>
          <w:p w14:paraId="68A4ED0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rPr>
              <w:drawing>
                <wp:inline distT="0" distB="0" distL="114300" distR="114300">
                  <wp:extent cx="3162300" cy="4922520"/>
                  <wp:effectExtent l="0" t="0" r="762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5"/>
                          <a:stretch>
                            <a:fillRect/>
                          </a:stretch>
                        </pic:blipFill>
                        <pic:spPr>
                          <a:xfrm>
                            <a:off x="0" y="0"/>
                            <a:ext cx="3162300" cy="4922520"/>
                          </a:xfrm>
                          <a:prstGeom prst="rect">
                            <a:avLst/>
                          </a:prstGeom>
                          <a:noFill/>
                          <a:ln>
                            <a:noFill/>
                          </a:ln>
                        </pic:spPr>
                      </pic:pic>
                    </a:graphicData>
                  </a:graphic>
                </wp:inline>
              </w:drawing>
            </w:r>
          </w:p>
          <w:p w14:paraId="65648BB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图2-6 </w:t>
            </w:r>
            <w:r>
              <w:rPr>
                <w:rFonts w:hint="default" w:ascii="Times New Roman" w:hAnsi="Times New Roman" w:eastAsia="宋体" w:cs="Times New Roman"/>
                <w:b/>
                <w:bCs/>
                <w:color w:val="auto"/>
                <w:sz w:val="21"/>
                <w:szCs w:val="21"/>
                <w:lang w:val="en-US" w:eastAsia="zh-CN"/>
              </w:rPr>
              <w:t>现有项</w:t>
            </w:r>
            <w:r>
              <w:rPr>
                <w:rFonts w:hint="default" w:ascii="Times New Roman" w:hAnsi="Times New Roman" w:eastAsia="宋体" w:cs="Times New Roman"/>
                <w:b/>
                <w:color w:val="auto"/>
                <w:sz w:val="21"/>
                <w:szCs w:val="21"/>
                <w:highlight w:val="none"/>
                <w:lang w:val="en-US" w:eastAsia="zh-CN"/>
              </w:rPr>
              <w:t>目开包操作台工艺流程及产污环节图</w:t>
            </w:r>
          </w:p>
          <w:p w14:paraId="374DB85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lang w:val="en-US" w:eastAsia="zh-CN"/>
              </w:rPr>
              <w:t>工艺流程描述：</w:t>
            </w:r>
          </w:p>
          <w:p w14:paraId="32F941F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right="0" w:rightChars="0" w:firstLine="480" w:firstLineChars="200"/>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val="0"/>
                <w:bCs/>
                <w:color w:val="auto"/>
                <w:sz w:val="24"/>
                <w:lang w:val="en-US" w:eastAsia="zh-CN"/>
              </w:rPr>
              <w:t>根据产品要求，将外购的冷轧板经下料、折弯、焊接、人工打磨、抛光、喷塑（委外）、总装后即得开包操作台；其生产工艺流程与安检设备柜基本一致，下料、折弯、焊接、人工打磨、抛光、总装、检验包装的流程简述可参考安检设备柜，该工序产生边角料、焊接烟尘、焊渣、打磨粉尘、抛光粉尘、不合格品。</w:t>
            </w:r>
          </w:p>
          <w:p w14:paraId="457330FE">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b w:val="0"/>
                <w:bCs/>
                <w:color w:val="auto"/>
                <w:sz w:val="24"/>
                <w:lang w:val="en-US" w:eastAsia="zh-CN"/>
              </w:rPr>
              <w:t>）地铁导流带</w:t>
            </w:r>
          </w:p>
          <w:p w14:paraId="1B63AAE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rPr>
              <w:drawing>
                <wp:inline distT="0" distB="0" distL="114300" distR="114300">
                  <wp:extent cx="4511040" cy="3962400"/>
                  <wp:effectExtent l="0" t="0" r="0"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6"/>
                          <a:stretch>
                            <a:fillRect/>
                          </a:stretch>
                        </pic:blipFill>
                        <pic:spPr>
                          <a:xfrm>
                            <a:off x="0" y="0"/>
                            <a:ext cx="4511040" cy="3962400"/>
                          </a:xfrm>
                          <a:prstGeom prst="rect">
                            <a:avLst/>
                          </a:prstGeom>
                          <a:noFill/>
                          <a:ln>
                            <a:noFill/>
                          </a:ln>
                        </pic:spPr>
                      </pic:pic>
                    </a:graphicData>
                  </a:graphic>
                </wp:inline>
              </w:drawing>
            </w:r>
          </w:p>
          <w:p w14:paraId="45E07A8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图2-7 </w:t>
            </w:r>
            <w:r>
              <w:rPr>
                <w:rFonts w:hint="default" w:ascii="Times New Roman" w:hAnsi="Times New Roman" w:eastAsia="宋体" w:cs="Times New Roman"/>
                <w:b/>
                <w:bCs/>
                <w:color w:val="auto"/>
                <w:sz w:val="21"/>
                <w:szCs w:val="21"/>
                <w:lang w:val="en-US" w:eastAsia="zh-CN"/>
              </w:rPr>
              <w:t>现有项</w:t>
            </w:r>
            <w:r>
              <w:rPr>
                <w:rFonts w:hint="default" w:ascii="Times New Roman" w:hAnsi="Times New Roman" w:eastAsia="宋体" w:cs="Times New Roman"/>
                <w:b/>
                <w:color w:val="auto"/>
                <w:sz w:val="21"/>
                <w:szCs w:val="21"/>
                <w:highlight w:val="none"/>
                <w:lang w:val="en-US" w:eastAsia="zh-CN"/>
              </w:rPr>
              <w:t>目地铁导流带工艺流程及产污环节图</w:t>
            </w:r>
          </w:p>
          <w:p w14:paraId="5515903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工艺流程描述：</w:t>
            </w:r>
          </w:p>
          <w:p w14:paraId="539C5BC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下料：根据产品要求，将外购的不锈钢管、不锈钢板分别运至光纤切割机、切管机上断成需要的规格大小。该工序产生边角料。</w:t>
            </w:r>
          </w:p>
          <w:p w14:paraId="7A021C0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冲压：根据产品要求，将下料后的不锈钢板运至冲压机、拉伸机上进行冲压成型。</w:t>
            </w:r>
          </w:p>
          <w:p w14:paraId="55859753">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配重（委外）：根据产品要求，将冲压后的工件委外装配处理。</w:t>
            </w:r>
          </w:p>
          <w:p w14:paraId="406FE769">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卷边：根据产品要求，将配重后的不锈钢板运至卷边机上加工成型。</w:t>
            </w:r>
          </w:p>
          <w:p w14:paraId="7EE27F6B">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焊接：根据产品要求，将下料后的不锈钢管运至焊机上进行焊接处理，焊接原理同上。该工序产生焊接烟尘、焊渣。</w:t>
            </w:r>
          </w:p>
          <w:p w14:paraId="396E6529">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人工打磨：根据产品要求，人工运用角磨机对焊接部位进行打磨，去除多余毛刺。该工序产生极少量打磨粉尘。</w:t>
            </w:r>
          </w:p>
          <w:p w14:paraId="4ED00054">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装配（委外）：根据产品要求，将卷边后的工件与打磨后的工件一并委外装配处理。</w:t>
            </w:r>
          </w:p>
          <w:p w14:paraId="56C1C329">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检验包装：检验装配后的地铁导流带是否达到规定的质量要求，符合要求的产品进入成品库待售。该工序产生不合格品。</w:t>
            </w:r>
          </w:p>
          <w:p w14:paraId="73C088D0">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（5）安检围挡</w:t>
            </w:r>
          </w:p>
          <w:p w14:paraId="51EABF2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color w:val="auto"/>
              </w:rPr>
              <w:drawing>
                <wp:inline distT="0" distB="0" distL="114300" distR="114300">
                  <wp:extent cx="3246120" cy="4373880"/>
                  <wp:effectExtent l="0" t="0" r="0" b="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7"/>
                          <a:stretch>
                            <a:fillRect/>
                          </a:stretch>
                        </pic:blipFill>
                        <pic:spPr>
                          <a:xfrm>
                            <a:off x="0" y="0"/>
                            <a:ext cx="3246120" cy="4373880"/>
                          </a:xfrm>
                          <a:prstGeom prst="rect">
                            <a:avLst/>
                          </a:prstGeom>
                          <a:noFill/>
                          <a:ln>
                            <a:noFill/>
                          </a:ln>
                        </pic:spPr>
                      </pic:pic>
                    </a:graphicData>
                  </a:graphic>
                </wp:inline>
              </w:drawing>
            </w:r>
          </w:p>
          <w:p w14:paraId="63CE9C7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图2-8 现有项目安检围挡工艺流程及产污环节图</w:t>
            </w:r>
          </w:p>
          <w:p w14:paraId="2B5264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工艺流程描述：</w:t>
            </w:r>
          </w:p>
          <w:p w14:paraId="53D8D0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下料：根据产品要求，将外购的不锈钢管、防火板运至切管机、裁板锯上断成需要的规格大小。该工序产生边角料。</w:t>
            </w:r>
          </w:p>
          <w:p w14:paraId="02F6B5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打孔：根据产品要求，将下料后的工件运至光纤切割机上进行打孔。该工序产生边角料。</w:t>
            </w:r>
          </w:p>
          <w:p w14:paraId="6763BB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焊接：根据产品要求，将打孔后的工件运至焊机上进行焊接处理，焊接原理同上。该工序产生焊接烟尘、焊渣。</w:t>
            </w:r>
          </w:p>
          <w:p w14:paraId="38E9B37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人工打磨：根据产品要求，人工运用角磨机对焊接部位进行打磨，去除多余毛刺。该工序产生极少量打磨粉尘。</w:t>
            </w:r>
          </w:p>
          <w:p w14:paraId="4003389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抛光：根据产品要求，将打磨后的工件采用抛光机进行局部表面抛光处理，抛光原理同上。该工序产生抛光粉尘。</w:t>
            </w:r>
          </w:p>
          <w:p w14:paraId="291B349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总装：根据产品要求，将外购门锁、铰链、拉手、标准件与抛光后的工件进行组装成型。</w:t>
            </w:r>
          </w:p>
          <w:p w14:paraId="474211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检验包装：检验装配后的安检围挡是否达到规定的质量要求，符合要求的产品进入成品库待售。该工序产生不合格品。</w:t>
            </w:r>
          </w:p>
          <w:p w14:paraId="60E0E3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（6）铁马护栏</w:t>
            </w:r>
          </w:p>
          <w:p w14:paraId="37EB29A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rPr>
              <w:drawing>
                <wp:inline distT="0" distB="0" distL="114300" distR="114300">
                  <wp:extent cx="3916680" cy="5265420"/>
                  <wp:effectExtent l="0" t="0" r="0" b="762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8"/>
                          <a:stretch>
                            <a:fillRect/>
                          </a:stretch>
                        </pic:blipFill>
                        <pic:spPr>
                          <a:xfrm>
                            <a:off x="0" y="0"/>
                            <a:ext cx="3916680" cy="5265420"/>
                          </a:xfrm>
                          <a:prstGeom prst="rect">
                            <a:avLst/>
                          </a:prstGeom>
                          <a:noFill/>
                          <a:ln>
                            <a:noFill/>
                          </a:ln>
                        </pic:spPr>
                      </pic:pic>
                    </a:graphicData>
                  </a:graphic>
                </wp:inline>
              </w:drawing>
            </w:r>
          </w:p>
          <w:p w14:paraId="241D7A4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图2-9 </w:t>
            </w:r>
            <w:r>
              <w:rPr>
                <w:rFonts w:hint="default" w:ascii="Times New Roman" w:hAnsi="Times New Roman" w:eastAsia="宋体" w:cs="Times New Roman"/>
                <w:b/>
                <w:bCs/>
                <w:color w:val="auto"/>
                <w:sz w:val="21"/>
                <w:szCs w:val="21"/>
                <w:lang w:val="en-US" w:eastAsia="zh-CN"/>
              </w:rPr>
              <w:t>现有项</w:t>
            </w:r>
            <w:r>
              <w:rPr>
                <w:rFonts w:hint="default" w:ascii="Times New Roman" w:hAnsi="Times New Roman" w:eastAsia="宋体" w:cs="Times New Roman"/>
                <w:b/>
                <w:color w:val="auto"/>
                <w:sz w:val="21"/>
                <w:szCs w:val="21"/>
                <w:highlight w:val="none"/>
                <w:lang w:val="en-US" w:eastAsia="zh-CN"/>
              </w:rPr>
              <w:t>目铁马护栏工艺流程及产污环节图</w:t>
            </w:r>
          </w:p>
          <w:p w14:paraId="3E5562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工艺流程描述：</w:t>
            </w:r>
          </w:p>
          <w:p w14:paraId="4345CF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下料：根据产品要求，将外购的不锈钢管运至切管机上断成需要的规格大小。该工序产生边角料。</w:t>
            </w:r>
          </w:p>
          <w:p w14:paraId="06731F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弯管：根据产品要求，将下料后的工件运至弯管机上弯管成型。</w:t>
            </w:r>
          </w:p>
          <w:p w14:paraId="08F1AA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冲弧：根据产品要求，将弯管后的工件运至空气压力机上冲弧成型。</w:t>
            </w:r>
          </w:p>
          <w:p w14:paraId="36A606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焊接：根据产品要求，将打孔后的工件运在焊机上进行焊接处理，焊接原理同上。该工序产生焊接烟尘、焊渣。</w:t>
            </w:r>
          </w:p>
          <w:p w14:paraId="256D6F3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人工打磨：根据产品要求，人工运用角磨机对焊接部位进行打磨，去除多余毛刺。该工序产生极少量打磨粉尘。</w:t>
            </w:r>
          </w:p>
          <w:p w14:paraId="074830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抛光：根据产品要求，将打磨后的工件采用抛光机进行局部表面抛光处理，抛光原理同上。该工序产生抛光粉尘。</w:t>
            </w:r>
          </w:p>
          <w:p w14:paraId="146364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总装：根据产品要求，将外购门锁、铰链、拉手与抛光后的工件进行组装成型。</w:t>
            </w:r>
          </w:p>
          <w:p w14:paraId="25F9DC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检验包装：检验装配后的铁马护栏是否达到规定的质量要求，符合要求的产品进入成品库待售。该工序产生不合格品。</w:t>
            </w:r>
          </w:p>
          <w:p w14:paraId="5C21421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（7）移动式Y剂量率连续测量设备</w:t>
            </w:r>
          </w:p>
          <w:p w14:paraId="75EDA4D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rPr>
              <w:drawing>
                <wp:inline distT="0" distB="0" distL="114300" distR="114300">
                  <wp:extent cx="4015740" cy="5577840"/>
                  <wp:effectExtent l="0" t="0" r="7620" b="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9"/>
                          <a:stretch>
                            <a:fillRect/>
                          </a:stretch>
                        </pic:blipFill>
                        <pic:spPr>
                          <a:xfrm>
                            <a:off x="0" y="0"/>
                            <a:ext cx="4015740" cy="5577840"/>
                          </a:xfrm>
                          <a:prstGeom prst="rect">
                            <a:avLst/>
                          </a:prstGeom>
                          <a:noFill/>
                          <a:ln>
                            <a:noFill/>
                          </a:ln>
                        </pic:spPr>
                      </pic:pic>
                    </a:graphicData>
                  </a:graphic>
                </wp:inline>
              </w:drawing>
            </w:r>
          </w:p>
          <w:p w14:paraId="19FEFE8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jc w:val="center"/>
              <w:textAlignment w:val="auto"/>
              <w:rPr>
                <w:rFonts w:hint="default" w:ascii="Times New Roman" w:hAnsi="Times New Roman" w:eastAsia="宋体" w:cs="Times New Roman"/>
                <w:b w:val="0"/>
                <w:bCs/>
                <w:color w:val="auto"/>
                <w:sz w:val="24"/>
                <w:lang w:val="en-US" w:eastAsia="zh-CN"/>
              </w:rPr>
            </w:pPr>
            <w:r>
              <w:rPr>
                <w:rFonts w:hint="default" w:ascii="Times New Roman" w:hAnsi="Times New Roman" w:eastAsia="宋体" w:cs="Times New Roman"/>
                <w:b/>
                <w:color w:val="auto"/>
                <w:sz w:val="21"/>
                <w:szCs w:val="21"/>
                <w:highlight w:val="none"/>
                <w:lang w:val="en-US" w:eastAsia="zh-CN"/>
              </w:rPr>
              <w:t xml:space="preserve">图2-10 </w:t>
            </w:r>
            <w:r>
              <w:rPr>
                <w:rFonts w:hint="default" w:ascii="Times New Roman" w:hAnsi="Times New Roman" w:eastAsia="宋体" w:cs="Times New Roman"/>
                <w:b/>
                <w:bCs/>
                <w:color w:val="auto"/>
                <w:sz w:val="21"/>
                <w:szCs w:val="21"/>
                <w:lang w:val="en-US" w:eastAsia="zh-CN"/>
              </w:rPr>
              <w:t>现有项</w:t>
            </w:r>
            <w:r>
              <w:rPr>
                <w:rFonts w:hint="default" w:ascii="Times New Roman" w:hAnsi="Times New Roman" w:eastAsia="宋体" w:cs="Times New Roman"/>
                <w:b/>
                <w:color w:val="auto"/>
                <w:sz w:val="21"/>
                <w:szCs w:val="21"/>
                <w:highlight w:val="none"/>
                <w:lang w:val="en-US" w:eastAsia="zh-CN"/>
              </w:rPr>
              <w:t>目移动式Y剂量率连续测量设备工艺流程及产污环节图</w:t>
            </w:r>
          </w:p>
          <w:p w14:paraId="101FF5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工艺流程描述：</w:t>
            </w:r>
          </w:p>
          <w:p w14:paraId="317CF17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产品要求，将外购的不锈钢板经下料、折弯、焊接、人工打磨、抛光、喷塑（委外）、丝印（委外）、总装后既得移动式Y剂量率连续测量设备；其生产工艺流程与安检设备柜基本一致，下料、折弯、焊接、人工打磨、抛光、总装、检验包装的流程简述可参考安检设备柜，该工序产生边角料、焊接烟尘、焊渣、打磨粉尘、抛光粉尘、不合格品。</w:t>
            </w:r>
          </w:p>
          <w:p w14:paraId="650DCF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right="0" w:rightChars="0"/>
              <w:textAlignment w:val="auto"/>
              <w:rPr>
                <w:rFonts w:hint="default" w:ascii="Times New Roman" w:hAnsi="Times New Roman" w:eastAsia="宋体" w:cs="Times New Roman"/>
                <w:b w:val="0"/>
                <w:bCs/>
                <w:color w:val="auto"/>
                <w:sz w:val="24"/>
                <w:lang w:eastAsia="zh-CN"/>
              </w:rPr>
            </w:pPr>
            <w:r>
              <w:rPr>
                <w:rFonts w:hint="default" w:ascii="Times New Roman" w:hAnsi="Times New Roman" w:eastAsia="宋体" w:cs="Times New Roman"/>
                <w:b w:val="0"/>
                <w:bCs/>
                <w:color w:val="auto"/>
                <w:sz w:val="24"/>
                <w:lang w:val="en-US" w:eastAsia="zh-CN"/>
              </w:rPr>
              <w:t>8、现有</w:t>
            </w:r>
            <w:r>
              <w:rPr>
                <w:rFonts w:hint="default" w:ascii="Times New Roman" w:hAnsi="Times New Roman" w:eastAsia="宋体" w:cs="Times New Roman"/>
                <w:b w:val="0"/>
                <w:bCs/>
                <w:color w:val="auto"/>
                <w:sz w:val="24"/>
              </w:rPr>
              <w:t>项目污染物</w:t>
            </w:r>
            <w:r>
              <w:rPr>
                <w:rFonts w:hint="default" w:ascii="Times New Roman" w:hAnsi="Times New Roman" w:eastAsia="宋体" w:cs="Times New Roman"/>
                <w:b w:val="0"/>
                <w:bCs/>
                <w:color w:val="auto"/>
                <w:sz w:val="24"/>
                <w:lang w:val="en-US" w:eastAsia="zh-CN"/>
              </w:rPr>
              <w:t>实际排放总量</w:t>
            </w:r>
          </w:p>
          <w:p w14:paraId="245339F2">
            <w:pPr>
              <w:keepNext w:val="0"/>
              <w:keepLines w:val="0"/>
              <w:pageBreakBefore w:val="0"/>
              <w:widowControl w:val="0"/>
              <w:kinsoku/>
              <w:wordWrap/>
              <w:overflowPunct/>
              <w:topLinePunct w:val="0"/>
              <w:autoSpaceDE/>
              <w:autoSpaceDN/>
              <w:bidi w:val="0"/>
              <w:adjustRightInd w:val="0"/>
              <w:snapToGrid w:val="0"/>
              <w:spacing w:line="360" w:lineRule="auto"/>
              <w:ind w:left="0" w:right="0"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lang w:val="en-US" w:eastAsia="zh-CN"/>
              </w:rPr>
              <w:t>1</w:t>
            </w:r>
            <w:r>
              <w:rPr>
                <w:rFonts w:hint="default"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rPr>
              <w:t>废水</w:t>
            </w:r>
          </w:p>
          <w:p w14:paraId="1FF00A3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①废水治理措施</w:t>
            </w:r>
          </w:p>
          <w:p w14:paraId="172447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现有项目厂区实行“雨污分流”，雨水经厂区雨水管排入附近河流。现有项目生活污水经污水管网接管至</w:t>
            </w:r>
            <w:r>
              <w:rPr>
                <w:rFonts w:hint="default" w:ascii="Times New Roman" w:hAnsi="Times New Roman" w:eastAsia="宋体" w:cs="Times New Roman"/>
                <w:color w:val="auto"/>
                <w:sz w:val="24"/>
                <w:highlight w:val="none"/>
              </w:rPr>
              <w:t>常州</w:t>
            </w:r>
            <w:r>
              <w:rPr>
                <w:rFonts w:hint="default" w:ascii="Times New Roman" w:hAnsi="Times New Roman" w:eastAsia="宋体" w:cs="Times New Roman"/>
                <w:color w:val="auto"/>
                <w:sz w:val="24"/>
                <w:highlight w:val="none"/>
                <w:lang w:eastAsia="zh-CN"/>
              </w:rPr>
              <w:t>金坛区</w:t>
            </w:r>
            <w:r>
              <w:rPr>
                <w:rFonts w:hint="default" w:ascii="Times New Roman" w:hAnsi="Times New Roman" w:eastAsia="宋体" w:cs="Times New Roman"/>
                <w:color w:val="auto"/>
                <w:sz w:val="24"/>
                <w:highlight w:val="none"/>
                <w:lang w:val="en-US" w:eastAsia="zh-CN"/>
              </w:rPr>
              <w:t>第二</w:t>
            </w:r>
            <w:r>
              <w:rPr>
                <w:rFonts w:hint="default" w:ascii="Times New Roman" w:hAnsi="Times New Roman" w:eastAsia="宋体" w:cs="Times New Roman"/>
                <w:color w:val="auto"/>
                <w:sz w:val="24"/>
                <w:highlight w:val="none"/>
                <w:lang w:eastAsia="zh-CN"/>
              </w:rPr>
              <w:t>污水处理厂</w:t>
            </w:r>
            <w:r>
              <w:rPr>
                <w:rFonts w:hint="default" w:ascii="Times New Roman" w:hAnsi="Times New Roman" w:eastAsia="宋体" w:cs="Times New Roman"/>
                <w:color w:val="auto"/>
                <w:kern w:val="2"/>
                <w:sz w:val="24"/>
                <w:szCs w:val="24"/>
                <w:lang w:val="en-US" w:eastAsia="zh-CN" w:bidi="ar-SA"/>
              </w:rPr>
              <w:t>集中处理。</w:t>
            </w:r>
          </w:p>
          <w:p w14:paraId="07B985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②废水达标检测</w:t>
            </w:r>
          </w:p>
          <w:p w14:paraId="0AF37D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w:t>
            </w:r>
            <w:r>
              <w:rPr>
                <w:rFonts w:hint="default" w:ascii="Times New Roman" w:hAnsi="Times New Roman" w:eastAsia="宋体" w:cs="Times New Roman"/>
                <w:color w:val="auto"/>
                <w:sz w:val="24"/>
                <w:lang w:val="en-US" w:eastAsia="zh-CN"/>
              </w:rPr>
              <w:t>江苏钦天检测技术有限公司</w:t>
            </w:r>
            <w:r>
              <w:rPr>
                <w:rFonts w:hint="default" w:ascii="Times New Roman" w:hAnsi="Times New Roman" w:eastAsia="宋体" w:cs="Times New Roman"/>
                <w:color w:val="auto"/>
                <w:kern w:val="2"/>
                <w:sz w:val="24"/>
                <w:szCs w:val="24"/>
                <w:lang w:val="en-US" w:eastAsia="zh-CN" w:bidi="ar-SA"/>
              </w:rPr>
              <w:t>出具的检测报告（报告编号QThj2403320），废水监测排放情况如下：</w:t>
            </w:r>
          </w:p>
          <w:p w14:paraId="31EE6520">
            <w:pPr>
              <w:pStyle w:val="1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eastAsia="宋体" w:cs="Times New Roman"/>
                <w:b/>
                <w:color w:val="auto"/>
                <w:szCs w:val="21"/>
                <w:lang w:val="en-US"/>
              </w:rPr>
            </w:pPr>
            <w:r>
              <w:rPr>
                <w:rFonts w:hint="default" w:ascii="Times New Roman" w:hAnsi="Times New Roman" w:eastAsia="宋体" w:cs="Times New Roman"/>
                <w:b/>
                <w:color w:val="auto"/>
                <w:szCs w:val="21"/>
              </w:rPr>
              <w:t>表2-</w:t>
            </w:r>
            <w:r>
              <w:rPr>
                <w:rFonts w:hint="default" w:ascii="Times New Roman" w:hAnsi="Times New Roman" w:eastAsia="宋体" w:cs="Times New Roman"/>
                <w:b/>
                <w:color w:val="auto"/>
                <w:szCs w:val="21"/>
                <w:lang w:val="en-US" w:eastAsia="zh-CN"/>
              </w:rPr>
              <w:t xml:space="preserve">10 </w:t>
            </w:r>
            <w:r>
              <w:rPr>
                <w:rFonts w:hint="default" w:ascii="Times New Roman" w:hAnsi="Times New Roman" w:eastAsia="宋体" w:cs="Times New Roman"/>
                <w:b/>
                <w:color w:val="auto"/>
                <w:szCs w:val="21"/>
              </w:rPr>
              <w:t xml:space="preserve"> </w:t>
            </w:r>
            <w:r>
              <w:rPr>
                <w:rFonts w:hint="default" w:ascii="Times New Roman" w:hAnsi="Times New Roman" w:eastAsia="宋体" w:cs="Times New Roman"/>
                <w:b/>
                <w:color w:val="auto"/>
                <w:szCs w:val="21"/>
                <w:lang w:val="en-US" w:eastAsia="zh-CN"/>
              </w:rPr>
              <w:t>现有</w:t>
            </w:r>
            <w:r>
              <w:rPr>
                <w:rFonts w:hint="default" w:ascii="Times New Roman" w:hAnsi="Times New Roman" w:eastAsia="宋体" w:cs="Times New Roman"/>
                <w:b/>
                <w:color w:val="auto"/>
                <w:szCs w:val="21"/>
              </w:rPr>
              <w:t>项目废水排放</w:t>
            </w:r>
            <w:r>
              <w:rPr>
                <w:rFonts w:hint="default" w:ascii="Times New Roman" w:hAnsi="Times New Roman" w:eastAsia="宋体" w:cs="Times New Roman"/>
                <w:b/>
                <w:color w:val="auto"/>
                <w:szCs w:val="21"/>
                <w:lang w:val="en-US" w:eastAsia="zh-CN"/>
              </w:rPr>
              <w:t>监测结果  （mg/L）</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1167"/>
              <w:gridCol w:w="2030"/>
              <w:gridCol w:w="1993"/>
              <w:gridCol w:w="1601"/>
            </w:tblGrid>
            <w:tr w14:paraId="24BD9C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Align w:val="center"/>
                </w:tcPr>
                <w:p w14:paraId="093B15E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检测日期</w:t>
                  </w:r>
                </w:p>
              </w:tc>
              <w:tc>
                <w:tcPr>
                  <w:tcW w:w="695" w:type="pct"/>
                  <w:vAlign w:val="center"/>
                </w:tcPr>
                <w:p w14:paraId="1603109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污染源</w:t>
                  </w:r>
                </w:p>
              </w:tc>
              <w:tc>
                <w:tcPr>
                  <w:tcW w:w="1209" w:type="pct"/>
                  <w:vAlign w:val="center"/>
                </w:tcPr>
                <w:p w14:paraId="36DC011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Cs w:val="21"/>
                      <w:lang w:val="en-US" w:eastAsia="zh-CN"/>
                    </w:rPr>
                    <w:t>污染物名称</w:t>
                  </w:r>
                </w:p>
              </w:tc>
              <w:tc>
                <w:tcPr>
                  <w:tcW w:w="1187" w:type="pct"/>
                  <w:vAlign w:val="center"/>
                </w:tcPr>
                <w:p w14:paraId="3EE3445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Cs w:val="21"/>
                      <w:lang w:val="en-US" w:eastAsia="zh-CN"/>
                    </w:rPr>
                    <w:t>监测结果</w:t>
                  </w:r>
                </w:p>
              </w:tc>
              <w:tc>
                <w:tcPr>
                  <w:tcW w:w="953" w:type="pct"/>
                  <w:vAlign w:val="center"/>
                </w:tcPr>
                <w:p w14:paraId="3EA0895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执行标准</w:t>
                  </w:r>
                </w:p>
              </w:tc>
            </w:tr>
            <w:tr w14:paraId="1AA86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Merge w:val="restart"/>
                  <w:vAlign w:val="center"/>
                </w:tcPr>
                <w:p w14:paraId="1C1BE0E5">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4.3.22</w:t>
                  </w:r>
                </w:p>
              </w:tc>
              <w:tc>
                <w:tcPr>
                  <w:tcW w:w="695" w:type="pct"/>
                  <w:vMerge w:val="restart"/>
                  <w:vAlign w:val="center"/>
                </w:tcPr>
                <w:p w14:paraId="20EC9F3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厂区总排口</w:t>
                  </w:r>
                </w:p>
              </w:tc>
              <w:tc>
                <w:tcPr>
                  <w:tcW w:w="1209" w:type="pct"/>
                  <w:vAlign w:val="center"/>
                </w:tcPr>
                <w:p w14:paraId="3AE20E4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pH（无量纲）</w:t>
                  </w:r>
                </w:p>
              </w:tc>
              <w:tc>
                <w:tcPr>
                  <w:tcW w:w="1187" w:type="pct"/>
                  <w:vAlign w:val="center"/>
                </w:tcPr>
                <w:p w14:paraId="7CBC9D8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7.2</w:t>
                  </w:r>
                </w:p>
              </w:tc>
              <w:tc>
                <w:tcPr>
                  <w:tcW w:w="953" w:type="pct"/>
                  <w:vAlign w:val="center"/>
                </w:tcPr>
                <w:p w14:paraId="2D7A003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w:t>
                  </w: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kern w:val="2"/>
                      <w:sz w:val="21"/>
                      <w:szCs w:val="21"/>
                      <w:lang w:val="en-US" w:eastAsia="zh-CN" w:bidi="ar-SA"/>
                    </w:rPr>
                    <w:t>9</w:t>
                  </w:r>
                </w:p>
              </w:tc>
            </w:tr>
            <w:tr w14:paraId="5CCFC6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954" w:type="pct"/>
                  <w:vMerge w:val="continue"/>
                  <w:vAlign w:val="center"/>
                </w:tcPr>
                <w:p w14:paraId="18FCBD6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p>
              </w:tc>
              <w:tc>
                <w:tcPr>
                  <w:tcW w:w="695" w:type="pct"/>
                  <w:vMerge w:val="continue"/>
                  <w:vAlign w:val="center"/>
                </w:tcPr>
                <w:p w14:paraId="5BAE33D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p>
              </w:tc>
              <w:tc>
                <w:tcPr>
                  <w:tcW w:w="1209" w:type="pct"/>
                  <w:vAlign w:val="center"/>
                </w:tcPr>
                <w:p w14:paraId="1A46CAF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COD</w:t>
                  </w:r>
                </w:p>
              </w:tc>
              <w:tc>
                <w:tcPr>
                  <w:tcW w:w="1187" w:type="pct"/>
                  <w:vAlign w:val="center"/>
                </w:tcPr>
                <w:p w14:paraId="2F16F0C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144</w:t>
                  </w:r>
                </w:p>
              </w:tc>
              <w:tc>
                <w:tcPr>
                  <w:tcW w:w="953" w:type="pct"/>
                  <w:vAlign w:val="center"/>
                </w:tcPr>
                <w:p w14:paraId="6D2F6AD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500</w:t>
                  </w:r>
                </w:p>
              </w:tc>
            </w:tr>
            <w:tr w14:paraId="75207A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Merge w:val="continue"/>
                  <w:vAlign w:val="center"/>
                </w:tcPr>
                <w:p w14:paraId="6452EA6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p>
              </w:tc>
              <w:tc>
                <w:tcPr>
                  <w:tcW w:w="695" w:type="pct"/>
                  <w:vMerge w:val="continue"/>
                  <w:vAlign w:val="center"/>
                </w:tcPr>
                <w:p w14:paraId="410E295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p>
              </w:tc>
              <w:tc>
                <w:tcPr>
                  <w:tcW w:w="1209" w:type="pct"/>
                  <w:vAlign w:val="center"/>
                </w:tcPr>
                <w:p w14:paraId="45099A7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SS</w:t>
                  </w:r>
                </w:p>
              </w:tc>
              <w:tc>
                <w:tcPr>
                  <w:tcW w:w="1187" w:type="pct"/>
                  <w:vAlign w:val="center"/>
                </w:tcPr>
                <w:p w14:paraId="44045A4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147</w:t>
                  </w:r>
                </w:p>
              </w:tc>
              <w:tc>
                <w:tcPr>
                  <w:tcW w:w="953" w:type="pct"/>
                  <w:vAlign w:val="center"/>
                </w:tcPr>
                <w:p w14:paraId="6D4CDB8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250</w:t>
                  </w:r>
                </w:p>
              </w:tc>
            </w:tr>
            <w:tr w14:paraId="420A12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Merge w:val="continue"/>
                  <w:vAlign w:val="center"/>
                </w:tcPr>
                <w:p w14:paraId="0736CBE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695" w:type="pct"/>
                  <w:vMerge w:val="continue"/>
                  <w:vAlign w:val="center"/>
                </w:tcPr>
                <w:p w14:paraId="0F614EB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1209" w:type="pct"/>
                  <w:vAlign w:val="center"/>
                </w:tcPr>
                <w:p w14:paraId="5C3E77D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rPr>
                    <w:t>NH</w:t>
                  </w:r>
                  <w:r>
                    <w:rPr>
                      <w:rFonts w:hint="default" w:ascii="Times New Roman" w:hAnsi="Times New Roman" w:eastAsia="宋体" w:cs="Times New Roman"/>
                      <w:b w:val="0"/>
                      <w:bCs w:val="0"/>
                      <w:color w:val="auto"/>
                      <w:szCs w:val="21"/>
                      <w:vertAlign w:val="subscript"/>
                    </w:rPr>
                    <w:t>3</w:t>
                  </w:r>
                  <w:r>
                    <w:rPr>
                      <w:rFonts w:hint="default" w:ascii="Times New Roman" w:hAnsi="Times New Roman" w:eastAsia="宋体" w:cs="Times New Roman"/>
                      <w:b w:val="0"/>
                      <w:bCs w:val="0"/>
                      <w:color w:val="auto"/>
                      <w:szCs w:val="21"/>
                    </w:rPr>
                    <w:t>-N</w:t>
                  </w:r>
                </w:p>
              </w:tc>
              <w:tc>
                <w:tcPr>
                  <w:tcW w:w="1187" w:type="pct"/>
                  <w:vAlign w:val="center"/>
                </w:tcPr>
                <w:p w14:paraId="6526806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9.39</w:t>
                  </w:r>
                </w:p>
              </w:tc>
              <w:tc>
                <w:tcPr>
                  <w:tcW w:w="953" w:type="pct"/>
                  <w:vAlign w:val="center"/>
                </w:tcPr>
                <w:p w14:paraId="6F8583F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35</w:t>
                  </w:r>
                </w:p>
              </w:tc>
            </w:tr>
            <w:tr w14:paraId="584224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Merge w:val="continue"/>
                  <w:vAlign w:val="center"/>
                </w:tcPr>
                <w:p w14:paraId="056929F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695" w:type="pct"/>
                  <w:vMerge w:val="continue"/>
                  <w:vAlign w:val="center"/>
                </w:tcPr>
                <w:p w14:paraId="3BFDF9D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030" w:type="dxa"/>
                  <w:vAlign w:val="center"/>
                </w:tcPr>
                <w:p w14:paraId="7CC5067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Cs w:val="21"/>
                    </w:rPr>
                    <w:t>TP</w:t>
                  </w:r>
                </w:p>
              </w:tc>
              <w:tc>
                <w:tcPr>
                  <w:tcW w:w="1993" w:type="dxa"/>
                  <w:vAlign w:val="center"/>
                </w:tcPr>
                <w:p w14:paraId="0FD3B29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2.25</w:t>
                  </w:r>
                </w:p>
              </w:tc>
              <w:tc>
                <w:tcPr>
                  <w:tcW w:w="953" w:type="pct"/>
                  <w:vAlign w:val="center"/>
                </w:tcPr>
                <w:p w14:paraId="7C54D6B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r>
            <w:tr w14:paraId="37404C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54" w:type="pct"/>
                  <w:vMerge w:val="continue"/>
                  <w:vAlign w:val="center"/>
                </w:tcPr>
                <w:p w14:paraId="2E9EE28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695" w:type="pct"/>
                  <w:vMerge w:val="continue"/>
                  <w:vAlign w:val="center"/>
                </w:tcPr>
                <w:p w14:paraId="400380C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1209" w:type="pct"/>
                  <w:vAlign w:val="center"/>
                </w:tcPr>
                <w:p w14:paraId="26B4AA8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动植物油</w:t>
                  </w:r>
                </w:p>
              </w:tc>
              <w:tc>
                <w:tcPr>
                  <w:tcW w:w="1187" w:type="pct"/>
                  <w:vAlign w:val="center"/>
                </w:tcPr>
                <w:p w14:paraId="17B5356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0.6</w:t>
                  </w:r>
                </w:p>
              </w:tc>
              <w:tc>
                <w:tcPr>
                  <w:tcW w:w="953" w:type="pct"/>
                  <w:vAlign w:val="center"/>
                </w:tcPr>
                <w:p w14:paraId="7F225B7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100</w:t>
                  </w:r>
                </w:p>
              </w:tc>
            </w:tr>
          </w:tbl>
          <w:p w14:paraId="5421958C">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lang w:val="en-US" w:eastAsia="zh-CN"/>
              </w:rPr>
              <w:t>根据例行检测报告，</w:t>
            </w:r>
            <w:r>
              <w:rPr>
                <w:rFonts w:hint="default" w:ascii="Times New Roman" w:hAnsi="Times New Roman" w:eastAsia="宋体" w:cs="Times New Roman"/>
                <w:color w:val="auto"/>
                <w:sz w:val="24"/>
                <w:highlight w:val="none"/>
              </w:rPr>
              <w:t>企业</w:t>
            </w:r>
            <w:r>
              <w:rPr>
                <w:rFonts w:hint="default" w:ascii="Times New Roman" w:hAnsi="Times New Roman" w:eastAsia="宋体" w:cs="Times New Roman"/>
                <w:color w:val="auto"/>
                <w:sz w:val="24"/>
                <w:highlight w:val="none"/>
                <w:lang w:val="en-US" w:eastAsia="zh-CN"/>
              </w:rPr>
              <w:t>总</w:t>
            </w:r>
            <w:r>
              <w:rPr>
                <w:rFonts w:hint="default" w:ascii="Times New Roman" w:hAnsi="Times New Roman" w:eastAsia="宋体" w:cs="Times New Roman"/>
                <w:color w:val="auto"/>
                <w:sz w:val="24"/>
                <w:highlight w:val="none"/>
              </w:rPr>
              <w:t>排放口排放污水</w:t>
            </w:r>
            <w:r>
              <w:rPr>
                <w:rFonts w:hint="default" w:ascii="Times New Roman" w:hAnsi="Times New Roman" w:eastAsia="宋体" w:cs="Times New Roman"/>
                <w:color w:val="auto"/>
                <w:sz w:val="24"/>
                <w:highlight w:val="none"/>
                <w:lang w:val="en-US" w:eastAsia="zh-CN"/>
              </w:rPr>
              <w:t>水质</w:t>
            </w:r>
            <w:r>
              <w:rPr>
                <w:rFonts w:hint="default" w:ascii="Times New Roman" w:hAnsi="Times New Roman" w:eastAsia="宋体" w:cs="Times New Roman"/>
                <w:color w:val="auto"/>
                <w:sz w:val="24"/>
                <w:highlight w:val="none"/>
              </w:rPr>
              <w:t>符合《常州</w:t>
            </w:r>
            <w:r>
              <w:rPr>
                <w:rFonts w:hint="default" w:ascii="Times New Roman" w:hAnsi="Times New Roman" w:eastAsia="宋体" w:cs="Times New Roman"/>
                <w:color w:val="auto"/>
                <w:sz w:val="24"/>
                <w:highlight w:val="none"/>
                <w:lang w:eastAsia="zh-CN"/>
              </w:rPr>
              <w:t>金坛区</w:t>
            </w:r>
            <w:r>
              <w:rPr>
                <w:rFonts w:hint="default" w:ascii="Times New Roman" w:hAnsi="Times New Roman" w:eastAsia="宋体" w:cs="Times New Roman"/>
                <w:color w:val="auto"/>
                <w:sz w:val="24"/>
                <w:highlight w:val="none"/>
                <w:lang w:val="en-US" w:eastAsia="zh-CN"/>
              </w:rPr>
              <w:t>第二</w:t>
            </w:r>
            <w:r>
              <w:rPr>
                <w:rFonts w:hint="default" w:ascii="Times New Roman" w:hAnsi="Times New Roman" w:eastAsia="宋体" w:cs="Times New Roman"/>
                <w:color w:val="auto"/>
                <w:sz w:val="24"/>
                <w:highlight w:val="none"/>
                <w:lang w:eastAsia="zh-CN"/>
              </w:rPr>
              <w:t>污水处理厂</w:t>
            </w:r>
            <w:r>
              <w:rPr>
                <w:rFonts w:hint="default" w:ascii="Times New Roman" w:hAnsi="Times New Roman" w:eastAsia="宋体" w:cs="Times New Roman"/>
                <w:color w:val="auto"/>
                <w:sz w:val="24"/>
                <w:highlight w:val="none"/>
              </w:rPr>
              <w:t>污水接管</w:t>
            </w:r>
            <w:r>
              <w:rPr>
                <w:rFonts w:hint="default" w:ascii="Times New Roman" w:hAnsi="Times New Roman" w:eastAsia="宋体" w:cs="Times New Roman"/>
                <w:color w:val="auto"/>
                <w:sz w:val="24"/>
                <w:highlight w:val="none"/>
                <w:lang w:val="en-US" w:eastAsia="zh-CN"/>
              </w:rPr>
              <w:t>水质</w:t>
            </w:r>
            <w:r>
              <w:rPr>
                <w:rFonts w:hint="default" w:ascii="Times New Roman" w:hAnsi="Times New Roman" w:eastAsia="宋体" w:cs="Times New Roman"/>
                <w:color w:val="auto"/>
                <w:sz w:val="24"/>
                <w:highlight w:val="none"/>
              </w:rPr>
              <w:t>要求》。</w:t>
            </w:r>
          </w:p>
          <w:p w14:paraId="17B3D20D">
            <w:pPr>
              <w:keepNext w:val="0"/>
              <w:keepLines w:val="0"/>
              <w:pageBreakBefore w:val="0"/>
              <w:widowControl w:val="0"/>
              <w:kinsoku/>
              <w:wordWrap/>
              <w:overflowPunct/>
              <w:topLinePunct w:val="0"/>
              <w:autoSpaceDE/>
              <w:autoSpaceDN/>
              <w:bidi w:val="0"/>
              <w:adjustRightInd w:val="0"/>
              <w:snapToGrid w:val="0"/>
              <w:spacing w:line="360" w:lineRule="auto"/>
              <w:ind w:left="0" w:right="0"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lang w:val="en-US" w:eastAsia="zh-CN"/>
              </w:rPr>
              <w:t>2</w:t>
            </w:r>
            <w:r>
              <w:rPr>
                <w:rFonts w:hint="default" w:ascii="Times New Roman" w:hAnsi="Times New Roman" w:eastAsia="宋体" w:cs="Times New Roman"/>
                <w:b/>
                <w:color w:val="auto"/>
                <w:sz w:val="24"/>
                <w:lang w:eastAsia="zh-CN"/>
              </w:rPr>
              <w:t>）</w:t>
            </w:r>
            <w:r>
              <w:rPr>
                <w:rFonts w:hint="default" w:ascii="Times New Roman" w:hAnsi="Times New Roman" w:eastAsia="宋体" w:cs="Times New Roman"/>
                <w:b/>
                <w:color w:val="auto"/>
                <w:sz w:val="24"/>
              </w:rPr>
              <w:t>废气</w:t>
            </w:r>
          </w:p>
          <w:p w14:paraId="7DAEF5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①废气治理措施</w:t>
            </w:r>
          </w:p>
          <w:p w14:paraId="76382B86">
            <w:pPr>
              <w:keepNext w:val="0"/>
              <w:keepLines w:val="0"/>
              <w:pageBreakBefore w:val="0"/>
              <w:widowControl w:val="0"/>
              <w:tabs>
                <w:tab w:val="left" w:pos="2824"/>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现有</w:t>
            </w:r>
            <w:r>
              <w:rPr>
                <w:rFonts w:hint="default" w:ascii="Times New Roman" w:hAnsi="Times New Roman" w:eastAsia="宋体" w:cs="Times New Roman"/>
                <w:color w:val="auto"/>
                <w:sz w:val="24"/>
                <w:lang w:val="en-US" w:eastAsia="zh-CN"/>
              </w:rPr>
              <w:t>项目食堂油烟经油烟净化装置处理后经屋顶的排气筒排出；焊接烟尘经移动式焊接烟尘净化装置处理后在车间内无组织排放；抛光粉尘经布袋除尘器处理后在车间内无组织排放；打磨粉尘自然沉降后在车间内无组织排放</w:t>
            </w:r>
            <w:r>
              <w:rPr>
                <w:rFonts w:hint="default" w:ascii="Times New Roman" w:hAnsi="Times New Roman" w:eastAsia="宋体" w:cs="Times New Roman"/>
                <w:bCs/>
                <w:color w:val="auto"/>
                <w:sz w:val="24"/>
                <w:szCs w:val="24"/>
                <w:lang w:val="en-US" w:eastAsia="zh-CN"/>
              </w:rPr>
              <w:t>。</w:t>
            </w:r>
          </w:p>
          <w:p w14:paraId="3D0F2E2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②废气达标检测</w:t>
            </w:r>
          </w:p>
          <w:p w14:paraId="57A98D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w:t>
            </w:r>
            <w:r>
              <w:rPr>
                <w:rFonts w:hint="default" w:ascii="Times New Roman" w:hAnsi="Times New Roman" w:eastAsia="宋体" w:cs="Times New Roman"/>
                <w:color w:val="auto"/>
                <w:sz w:val="24"/>
                <w:lang w:val="en-US" w:eastAsia="zh-CN"/>
              </w:rPr>
              <w:t>江苏钦天检测技术有限公司</w:t>
            </w:r>
            <w:r>
              <w:rPr>
                <w:rFonts w:hint="default" w:ascii="Times New Roman" w:hAnsi="Times New Roman" w:eastAsia="宋体" w:cs="Times New Roman"/>
                <w:color w:val="auto"/>
                <w:kern w:val="2"/>
                <w:sz w:val="24"/>
                <w:szCs w:val="24"/>
                <w:lang w:val="en-US" w:eastAsia="zh-CN" w:bidi="ar-SA"/>
              </w:rPr>
              <w:t>出具的检测报告（报告编号QThj2403320），有组织废气监测达标排放情况如下：</w:t>
            </w:r>
          </w:p>
          <w:p w14:paraId="6BAF502E">
            <w:pPr>
              <w:pStyle w:val="100"/>
              <w:ind w:firstLine="482"/>
              <w:rPr>
                <w:rFonts w:hint="default" w:ascii="Times New Roman" w:hAnsi="Times New Roman" w:eastAsia="宋体" w:cs="Times New Roman"/>
                <w:color w:val="auto"/>
                <w:sz w:val="21"/>
                <w:szCs w:val="16"/>
              </w:rPr>
            </w:pPr>
          </w:p>
          <w:p w14:paraId="5CE29D2B">
            <w:pPr>
              <w:pStyle w:val="100"/>
              <w:ind w:firstLine="482"/>
              <w:rPr>
                <w:rFonts w:hint="default" w:ascii="Times New Roman" w:hAnsi="Times New Roman" w:eastAsia="宋体" w:cs="Times New Roman"/>
                <w:color w:val="auto"/>
                <w:sz w:val="21"/>
                <w:szCs w:val="16"/>
              </w:rPr>
            </w:pPr>
            <w:r>
              <w:rPr>
                <w:rFonts w:hint="default" w:ascii="Times New Roman" w:hAnsi="Times New Roman" w:eastAsia="宋体" w:cs="Times New Roman"/>
                <w:color w:val="auto"/>
                <w:sz w:val="21"/>
                <w:szCs w:val="16"/>
              </w:rPr>
              <w:t>表2-1</w:t>
            </w:r>
            <w:r>
              <w:rPr>
                <w:rFonts w:hint="default" w:ascii="Times New Roman" w:hAnsi="Times New Roman" w:eastAsia="宋体" w:cs="Times New Roman"/>
                <w:color w:val="auto"/>
                <w:sz w:val="21"/>
                <w:szCs w:val="16"/>
                <w:lang w:val="en-US" w:eastAsia="zh-CN"/>
              </w:rPr>
              <w:t>4</w:t>
            </w:r>
            <w:r>
              <w:rPr>
                <w:rFonts w:hint="default" w:ascii="Times New Roman" w:hAnsi="Times New Roman" w:eastAsia="宋体" w:cs="Times New Roman"/>
                <w:color w:val="auto"/>
                <w:sz w:val="21"/>
                <w:szCs w:val="16"/>
              </w:rPr>
              <w:t xml:space="preserve">  有组织废气监测结果</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320"/>
              <w:gridCol w:w="2694"/>
              <w:gridCol w:w="1046"/>
              <w:gridCol w:w="1085"/>
              <w:gridCol w:w="1150"/>
            </w:tblGrid>
            <w:tr w14:paraId="57D67D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67" w:hRule="atLeast"/>
                <w:jc w:val="center"/>
              </w:trPr>
              <w:tc>
                <w:tcPr>
                  <w:tcW w:w="653" w:type="pct"/>
                  <w:vAlign w:val="center"/>
                </w:tcPr>
                <w:p w14:paraId="2B284A6D">
                  <w:pPr>
                    <w:pStyle w:val="10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监测点位</w:t>
                  </w:r>
                </w:p>
              </w:tc>
              <w:tc>
                <w:tcPr>
                  <w:tcW w:w="786" w:type="pct"/>
                  <w:vAlign w:val="center"/>
                </w:tcPr>
                <w:p w14:paraId="52C15831">
                  <w:pPr>
                    <w:pStyle w:val="10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监测日期</w:t>
                  </w:r>
                </w:p>
              </w:tc>
              <w:tc>
                <w:tcPr>
                  <w:tcW w:w="1605" w:type="pct"/>
                  <w:vAlign w:val="center"/>
                </w:tcPr>
                <w:p w14:paraId="4A707BD2">
                  <w:pPr>
                    <w:pStyle w:val="10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监测项目</w:t>
                  </w:r>
                </w:p>
              </w:tc>
              <w:tc>
                <w:tcPr>
                  <w:tcW w:w="623" w:type="pct"/>
                  <w:vAlign w:val="center"/>
                </w:tcPr>
                <w:p w14:paraId="031B678E">
                  <w:pPr>
                    <w:pStyle w:val="101"/>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rPr>
                    <w:t>出口</w:t>
                  </w:r>
                  <w:r>
                    <w:rPr>
                      <w:rFonts w:hint="default" w:ascii="Times New Roman" w:hAnsi="Times New Roman" w:eastAsia="宋体" w:cs="Times New Roman"/>
                      <w:b/>
                      <w:bCs/>
                      <w:color w:val="auto"/>
                      <w:lang w:val="en-US" w:eastAsia="zh-CN"/>
                    </w:rPr>
                    <w:t>平均浓度</w:t>
                  </w:r>
                </w:p>
              </w:tc>
              <w:tc>
                <w:tcPr>
                  <w:tcW w:w="646" w:type="pct"/>
                  <w:vAlign w:val="center"/>
                </w:tcPr>
                <w:p w14:paraId="63A741BA">
                  <w:pPr>
                    <w:pStyle w:val="10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排放限值</w:t>
                  </w:r>
                </w:p>
              </w:tc>
              <w:tc>
                <w:tcPr>
                  <w:tcW w:w="685" w:type="pct"/>
                  <w:vAlign w:val="center"/>
                </w:tcPr>
                <w:p w14:paraId="117CCE30">
                  <w:pPr>
                    <w:pStyle w:val="101"/>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达标情况</w:t>
                  </w:r>
                </w:p>
              </w:tc>
            </w:tr>
            <w:tr w14:paraId="171510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vMerge w:val="restart"/>
                  <w:vAlign w:val="center"/>
                </w:tcPr>
                <w:p w14:paraId="7C2E5CD5">
                  <w:pPr>
                    <w:pStyle w:val="101"/>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排气筒</w:t>
                  </w:r>
                  <w:r>
                    <w:rPr>
                      <w:rFonts w:hint="default" w:ascii="Times New Roman" w:hAnsi="Times New Roman" w:eastAsia="宋体" w:cs="Times New Roman"/>
                      <w:color w:val="auto"/>
                      <w:kern w:val="2"/>
                      <w:sz w:val="21"/>
                      <w:szCs w:val="21"/>
                      <w:lang w:val="en-US" w:eastAsia="zh-CN" w:bidi="ar-SA"/>
                    </w:rPr>
                    <w:t>DA001出口</w:t>
                  </w:r>
                </w:p>
              </w:tc>
              <w:tc>
                <w:tcPr>
                  <w:tcW w:w="786" w:type="pct"/>
                  <w:vMerge w:val="restart"/>
                  <w:vAlign w:val="center"/>
                </w:tcPr>
                <w:p w14:paraId="06E34E93">
                  <w:pPr>
                    <w:pStyle w:val="101"/>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4.3.22</w:t>
                  </w:r>
                </w:p>
              </w:tc>
              <w:tc>
                <w:tcPr>
                  <w:tcW w:w="1605" w:type="pct"/>
                  <w:vAlign w:val="center"/>
                </w:tcPr>
                <w:p w14:paraId="267BA78B">
                  <w:pPr>
                    <w:pStyle w:val="101"/>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烟气温度（℃）</w:t>
                  </w:r>
                </w:p>
              </w:tc>
              <w:tc>
                <w:tcPr>
                  <w:tcW w:w="623" w:type="pct"/>
                  <w:vAlign w:val="center"/>
                </w:tcPr>
                <w:p w14:paraId="20AD7FDD">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33</w:t>
                  </w:r>
                </w:p>
              </w:tc>
              <w:tc>
                <w:tcPr>
                  <w:tcW w:w="646" w:type="pct"/>
                  <w:vAlign w:val="center"/>
                </w:tcPr>
                <w:p w14:paraId="083E09D5">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685" w:type="pct"/>
                  <w:vAlign w:val="center"/>
                </w:tcPr>
                <w:p w14:paraId="19882DD0">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14:paraId="5D4970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vMerge w:val="continue"/>
                  <w:vAlign w:val="center"/>
                </w:tcPr>
                <w:p w14:paraId="3C182A65">
                  <w:pPr>
                    <w:pStyle w:val="101"/>
                    <w:rPr>
                      <w:rFonts w:hint="default" w:ascii="Times New Roman" w:hAnsi="Times New Roman" w:eastAsia="宋体" w:cs="Times New Roman"/>
                      <w:color w:val="auto"/>
                      <w:sz w:val="21"/>
                      <w:szCs w:val="21"/>
                    </w:rPr>
                  </w:pPr>
                </w:p>
              </w:tc>
              <w:tc>
                <w:tcPr>
                  <w:tcW w:w="786" w:type="pct"/>
                  <w:vMerge w:val="continue"/>
                  <w:vAlign w:val="center"/>
                </w:tcPr>
                <w:p w14:paraId="5C6567B4">
                  <w:pPr>
                    <w:pStyle w:val="101"/>
                    <w:rPr>
                      <w:rFonts w:hint="default" w:ascii="Times New Roman" w:hAnsi="Times New Roman" w:eastAsia="宋体" w:cs="Times New Roman"/>
                      <w:color w:val="auto"/>
                      <w:sz w:val="21"/>
                      <w:szCs w:val="21"/>
                    </w:rPr>
                  </w:pPr>
                </w:p>
              </w:tc>
              <w:tc>
                <w:tcPr>
                  <w:tcW w:w="1605" w:type="pct"/>
                  <w:vAlign w:val="center"/>
                </w:tcPr>
                <w:p w14:paraId="514925FD">
                  <w:pPr>
                    <w:pStyle w:val="101"/>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烟气流速（m/s）</w:t>
                  </w:r>
                </w:p>
              </w:tc>
              <w:tc>
                <w:tcPr>
                  <w:tcW w:w="623" w:type="pct"/>
                  <w:vAlign w:val="center"/>
                </w:tcPr>
                <w:p w14:paraId="1727B3A2">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9.1</w:t>
                  </w:r>
                </w:p>
              </w:tc>
              <w:tc>
                <w:tcPr>
                  <w:tcW w:w="646" w:type="pct"/>
                  <w:vAlign w:val="center"/>
                </w:tcPr>
                <w:p w14:paraId="3D0D017C">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685" w:type="pct"/>
                  <w:vAlign w:val="center"/>
                </w:tcPr>
                <w:p w14:paraId="35B2B52A">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14:paraId="7C0527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vMerge w:val="continue"/>
                  <w:vAlign w:val="center"/>
                </w:tcPr>
                <w:p w14:paraId="2F8033F6">
                  <w:pPr>
                    <w:pStyle w:val="101"/>
                    <w:rPr>
                      <w:rFonts w:hint="default" w:ascii="Times New Roman" w:hAnsi="Times New Roman" w:eastAsia="宋体" w:cs="Times New Roman"/>
                      <w:color w:val="auto"/>
                      <w:sz w:val="21"/>
                      <w:szCs w:val="21"/>
                    </w:rPr>
                  </w:pPr>
                </w:p>
              </w:tc>
              <w:tc>
                <w:tcPr>
                  <w:tcW w:w="786" w:type="pct"/>
                  <w:vMerge w:val="continue"/>
                  <w:vAlign w:val="center"/>
                </w:tcPr>
                <w:p w14:paraId="67F03B29">
                  <w:pPr>
                    <w:pStyle w:val="101"/>
                    <w:rPr>
                      <w:rFonts w:hint="default" w:ascii="Times New Roman" w:hAnsi="Times New Roman" w:eastAsia="宋体" w:cs="Times New Roman"/>
                      <w:color w:val="auto"/>
                      <w:sz w:val="21"/>
                      <w:szCs w:val="21"/>
                    </w:rPr>
                  </w:pPr>
                </w:p>
              </w:tc>
              <w:tc>
                <w:tcPr>
                  <w:tcW w:w="1605" w:type="pct"/>
                  <w:vAlign w:val="center"/>
                </w:tcPr>
                <w:p w14:paraId="3F09BD52">
                  <w:pPr>
                    <w:pStyle w:val="101"/>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rPr>
                    <w:t>标干流量（Nm</w:t>
                  </w:r>
                  <w:r>
                    <w:rPr>
                      <w:rFonts w:hint="default" w:ascii="Times New Roman" w:hAnsi="Times New Roman" w:eastAsia="宋体" w:cs="Times New Roman"/>
                      <w:color w:val="auto"/>
                      <w:vertAlign w:val="superscript"/>
                    </w:rPr>
                    <w:t>3</w:t>
                  </w:r>
                  <w:r>
                    <w:rPr>
                      <w:rFonts w:hint="default" w:ascii="Times New Roman" w:hAnsi="Times New Roman" w:eastAsia="宋体" w:cs="Times New Roman"/>
                      <w:color w:val="auto"/>
                    </w:rPr>
                    <w:t>/h）</w:t>
                  </w:r>
                </w:p>
              </w:tc>
              <w:tc>
                <w:tcPr>
                  <w:tcW w:w="623" w:type="pct"/>
                  <w:vAlign w:val="center"/>
                </w:tcPr>
                <w:p w14:paraId="7DBC3B88">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2731</w:t>
                  </w:r>
                </w:p>
              </w:tc>
              <w:tc>
                <w:tcPr>
                  <w:tcW w:w="646" w:type="pct"/>
                  <w:vAlign w:val="center"/>
                </w:tcPr>
                <w:p w14:paraId="66C48297">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685" w:type="pct"/>
                  <w:vAlign w:val="center"/>
                </w:tcPr>
                <w:p w14:paraId="2B7C9F46">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r>
            <w:tr w14:paraId="0418CF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vMerge w:val="continue"/>
                  <w:vAlign w:val="center"/>
                </w:tcPr>
                <w:p w14:paraId="195F3460">
                  <w:pPr>
                    <w:pStyle w:val="101"/>
                    <w:rPr>
                      <w:rFonts w:hint="default" w:ascii="Times New Roman" w:hAnsi="Times New Roman" w:eastAsia="宋体" w:cs="Times New Roman"/>
                      <w:color w:val="auto"/>
                      <w:sz w:val="21"/>
                      <w:szCs w:val="21"/>
                      <w:lang w:val="en-US"/>
                    </w:rPr>
                  </w:pPr>
                </w:p>
              </w:tc>
              <w:tc>
                <w:tcPr>
                  <w:tcW w:w="786" w:type="pct"/>
                  <w:vMerge w:val="continue"/>
                  <w:vAlign w:val="center"/>
                </w:tcPr>
                <w:p w14:paraId="21CED80C">
                  <w:pPr>
                    <w:pStyle w:val="101"/>
                    <w:rPr>
                      <w:rFonts w:hint="default" w:ascii="Times New Roman" w:hAnsi="Times New Roman" w:eastAsia="宋体" w:cs="Times New Roman"/>
                      <w:color w:val="auto"/>
                      <w:sz w:val="21"/>
                      <w:szCs w:val="21"/>
                    </w:rPr>
                  </w:pPr>
                </w:p>
              </w:tc>
              <w:tc>
                <w:tcPr>
                  <w:tcW w:w="1605" w:type="pct"/>
                  <w:vAlign w:val="center"/>
                </w:tcPr>
                <w:p w14:paraId="23276B72">
                  <w:pPr>
                    <w:pStyle w:val="101"/>
                    <w:ind w:firstLine="0" w:firstLineChars="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排放浓度（mg/m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623" w:type="pct"/>
                  <w:vAlign w:val="center"/>
                </w:tcPr>
                <w:p w14:paraId="02B6331B">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2.71</w:t>
                  </w:r>
                </w:p>
              </w:tc>
              <w:tc>
                <w:tcPr>
                  <w:tcW w:w="646" w:type="pct"/>
                  <w:vAlign w:val="center"/>
                </w:tcPr>
                <w:p w14:paraId="61ABAB7C">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685" w:type="pct"/>
                  <w:vAlign w:val="center"/>
                </w:tcPr>
                <w:p w14:paraId="7C87FE22">
                  <w:pPr>
                    <w:pStyle w:val="101"/>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w:t>
                  </w:r>
                </w:p>
              </w:tc>
            </w:tr>
            <w:tr w14:paraId="21C5AD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pct"/>
                  <w:vMerge w:val="continue"/>
                  <w:vAlign w:val="center"/>
                </w:tcPr>
                <w:p w14:paraId="14DF48F5">
                  <w:pPr>
                    <w:pStyle w:val="101"/>
                    <w:rPr>
                      <w:rFonts w:hint="default" w:ascii="Times New Roman" w:hAnsi="Times New Roman" w:eastAsia="宋体" w:cs="Times New Roman"/>
                      <w:color w:val="auto"/>
                      <w:sz w:val="21"/>
                      <w:szCs w:val="21"/>
                      <w:lang w:val="en-US"/>
                    </w:rPr>
                  </w:pPr>
                </w:p>
              </w:tc>
              <w:tc>
                <w:tcPr>
                  <w:tcW w:w="786" w:type="pct"/>
                  <w:vMerge w:val="continue"/>
                  <w:vAlign w:val="center"/>
                </w:tcPr>
                <w:p w14:paraId="33E6676E">
                  <w:pPr>
                    <w:pStyle w:val="101"/>
                    <w:rPr>
                      <w:rFonts w:hint="default" w:ascii="Times New Roman" w:hAnsi="Times New Roman" w:eastAsia="宋体" w:cs="Times New Roman"/>
                      <w:color w:val="auto"/>
                      <w:sz w:val="21"/>
                      <w:szCs w:val="21"/>
                    </w:rPr>
                  </w:pPr>
                </w:p>
              </w:tc>
              <w:tc>
                <w:tcPr>
                  <w:tcW w:w="1605" w:type="pct"/>
                  <w:vAlign w:val="center"/>
                </w:tcPr>
                <w:p w14:paraId="23358CA4">
                  <w:pPr>
                    <w:pStyle w:val="101"/>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折算</w:t>
                  </w:r>
                  <w:r>
                    <w:rPr>
                      <w:rFonts w:hint="default" w:ascii="Times New Roman" w:hAnsi="Times New Roman" w:eastAsia="宋体" w:cs="Times New Roman"/>
                      <w:color w:val="auto"/>
                      <w:sz w:val="21"/>
                      <w:szCs w:val="21"/>
                    </w:rPr>
                    <w:t>排放浓度（mg/m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623" w:type="pct"/>
                  <w:vAlign w:val="center"/>
                </w:tcPr>
                <w:p w14:paraId="4AB085DD">
                  <w:pPr>
                    <w:pStyle w:val="101"/>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0.9</w:t>
                  </w:r>
                </w:p>
              </w:tc>
              <w:tc>
                <w:tcPr>
                  <w:tcW w:w="646" w:type="pct"/>
                  <w:vAlign w:val="center"/>
                </w:tcPr>
                <w:p w14:paraId="1981ED6C">
                  <w:pPr>
                    <w:pStyle w:val="101"/>
                    <w:ind w:firstLine="0" w:firstLineChars="0"/>
                    <w:rPr>
                      <w:rFonts w:hint="default" w:ascii="Times New Roman" w:hAnsi="Times New Roman" w:eastAsia="宋体" w:cs="Times New Roman"/>
                      <w:color w:val="auto"/>
                      <w:lang w:val="en-US"/>
                    </w:rPr>
                  </w:pPr>
                  <w:r>
                    <w:rPr>
                      <w:rFonts w:hint="default" w:ascii="Times New Roman" w:hAnsi="Times New Roman" w:eastAsia="宋体" w:cs="Times New Roman"/>
                      <w:color w:val="auto"/>
                      <w:kern w:val="0"/>
                      <w:szCs w:val="21"/>
                      <w:lang w:val="en-US" w:eastAsia="zh-CN"/>
                    </w:rPr>
                    <w:t>2</w:t>
                  </w:r>
                </w:p>
              </w:tc>
              <w:tc>
                <w:tcPr>
                  <w:tcW w:w="685" w:type="pct"/>
                  <w:vAlign w:val="center"/>
                </w:tcPr>
                <w:p w14:paraId="1CB32B2A">
                  <w:pPr>
                    <w:pStyle w:val="101"/>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bl>
          <w:p w14:paraId="73F7DE8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由上表可知，现有项目DA001排气筒</w:t>
            </w:r>
            <w:r>
              <w:rPr>
                <w:rFonts w:hint="default" w:ascii="Times New Roman" w:hAnsi="Times New Roman" w:eastAsia="宋体" w:cs="Times New Roman"/>
                <w:color w:val="auto"/>
                <w:sz w:val="24"/>
                <w:szCs w:val="24"/>
                <w:lang w:val="en-US" w:eastAsia="zh-CN"/>
              </w:rPr>
              <w:t>食堂油烟</w:t>
            </w:r>
            <w:r>
              <w:rPr>
                <w:rFonts w:hint="default" w:ascii="Times New Roman" w:hAnsi="Times New Roman" w:eastAsia="宋体" w:cs="Times New Roman"/>
                <w:color w:val="auto"/>
                <w:kern w:val="2"/>
                <w:sz w:val="24"/>
                <w:szCs w:val="24"/>
                <w:lang w:val="en-US" w:eastAsia="zh-CN" w:bidi="ar-SA"/>
              </w:rPr>
              <w:t>的排放浓度符合</w:t>
            </w:r>
            <w:r>
              <w:rPr>
                <w:rFonts w:hint="default" w:ascii="Times New Roman" w:hAnsi="Times New Roman" w:eastAsia="宋体" w:cs="Times New Roman"/>
                <w:color w:val="auto"/>
                <w:sz w:val="24"/>
                <w:szCs w:val="24"/>
              </w:rPr>
              <w:t>《饮食业油烟排放标准(试行)》(GB 18483-2001)</w:t>
            </w:r>
            <w:r>
              <w:rPr>
                <w:rFonts w:hint="default" w:ascii="Times New Roman" w:hAnsi="Times New Roman" w:eastAsia="宋体" w:cs="Times New Roman"/>
                <w:color w:val="auto"/>
                <w:sz w:val="24"/>
                <w:szCs w:val="24"/>
                <w:lang w:val="en-US" w:eastAsia="zh-CN"/>
              </w:rPr>
              <w:t>表2</w:t>
            </w:r>
            <w:r>
              <w:rPr>
                <w:rFonts w:hint="default" w:ascii="Times New Roman" w:hAnsi="Times New Roman" w:eastAsia="宋体" w:cs="Times New Roman"/>
                <w:color w:val="auto"/>
                <w:sz w:val="24"/>
                <w:szCs w:val="24"/>
                <w:lang w:eastAsia="zh-CN"/>
              </w:rPr>
              <w:t>中</w:t>
            </w:r>
            <w:r>
              <w:rPr>
                <w:rFonts w:hint="default" w:ascii="Times New Roman" w:hAnsi="Times New Roman" w:eastAsia="宋体" w:cs="Times New Roman"/>
                <w:color w:val="auto"/>
                <w:kern w:val="2"/>
                <w:sz w:val="24"/>
                <w:szCs w:val="24"/>
                <w:lang w:val="en-US" w:eastAsia="zh-CN" w:bidi="ar-SA"/>
              </w:rPr>
              <w:t>相关限值要求。</w:t>
            </w:r>
          </w:p>
          <w:p w14:paraId="5579B0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无组织废气监测达标排放情况如下：</w:t>
            </w:r>
          </w:p>
          <w:p w14:paraId="79618FE8">
            <w:pPr>
              <w:pStyle w:val="100"/>
              <w:ind w:firstLine="482"/>
              <w:rPr>
                <w:rFonts w:hint="default" w:ascii="Times New Roman" w:hAnsi="Times New Roman" w:eastAsia="宋体" w:cs="Times New Roman"/>
                <w:color w:val="auto"/>
                <w:sz w:val="21"/>
                <w:szCs w:val="16"/>
              </w:rPr>
            </w:pPr>
            <w:r>
              <w:rPr>
                <w:rFonts w:hint="default" w:ascii="Times New Roman" w:hAnsi="Times New Roman" w:eastAsia="宋体" w:cs="Times New Roman"/>
                <w:color w:val="auto"/>
                <w:sz w:val="21"/>
                <w:szCs w:val="16"/>
              </w:rPr>
              <w:t>表2-1</w:t>
            </w:r>
            <w:r>
              <w:rPr>
                <w:rFonts w:hint="default" w:ascii="Times New Roman" w:hAnsi="Times New Roman" w:eastAsia="宋体" w:cs="Times New Roman"/>
                <w:color w:val="auto"/>
                <w:sz w:val="21"/>
                <w:szCs w:val="16"/>
                <w:lang w:val="en-US" w:eastAsia="zh-CN"/>
              </w:rPr>
              <w:t>5</w:t>
            </w:r>
            <w:r>
              <w:rPr>
                <w:rFonts w:hint="default" w:ascii="Times New Roman" w:hAnsi="Times New Roman" w:eastAsia="宋体" w:cs="Times New Roman"/>
                <w:color w:val="auto"/>
                <w:sz w:val="21"/>
                <w:szCs w:val="16"/>
              </w:rPr>
              <w:t xml:space="preserve">  无组织废气监测结果</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1501"/>
              <w:gridCol w:w="1939"/>
              <w:gridCol w:w="2044"/>
              <w:gridCol w:w="1616"/>
            </w:tblGrid>
            <w:tr w14:paraId="09B4A2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0" w:type="pct"/>
                  <w:tcBorders>
                    <w:tl2br w:val="nil"/>
                    <w:tr2bl w:val="nil"/>
                  </w:tcBorders>
                  <w:vAlign w:val="center"/>
                </w:tcPr>
                <w:p w14:paraId="69DF87A8">
                  <w:pPr>
                    <w:adjustRightInd w:val="0"/>
                    <w:snapToGrid w:val="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检测日期</w:t>
                  </w:r>
                </w:p>
              </w:tc>
              <w:tc>
                <w:tcPr>
                  <w:tcW w:w="894" w:type="pct"/>
                  <w:tcBorders>
                    <w:tl2br w:val="nil"/>
                    <w:tr2bl w:val="nil"/>
                  </w:tcBorders>
                  <w:vAlign w:val="center"/>
                </w:tcPr>
                <w:p w14:paraId="16670C65">
                  <w:pPr>
                    <w:adjustRightInd w:val="0"/>
                    <w:snapToGrid w:val="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检测点位</w:t>
                  </w:r>
                </w:p>
              </w:tc>
              <w:tc>
                <w:tcPr>
                  <w:tcW w:w="1155" w:type="pct"/>
                  <w:tcBorders>
                    <w:tl2br w:val="nil"/>
                    <w:tr2bl w:val="nil"/>
                  </w:tcBorders>
                  <w:vAlign w:val="center"/>
                </w:tcPr>
                <w:p w14:paraId="665E9694">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污染物名称</w:t>
                  </w:r>
                </w:p>
              </w:tc>
              <w:tc>
                <w:tcPr>
                  <w:tcW w:w="1217" w:type="pct"/>
                  <w:tcBorders>
                    <w:tl2br w:val="nil"/>
                    <w:tr2bl w:val="nil"/>
                  </w:tcBorders>
                  <w:vAlign w:val="center"/>
                </w:tcPr>
                <w:p w14:paraId="2226CFFB">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最大一次检测值</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rPr>
                    <w:t>mg/m</w:t>
                  </w:r>
                  <w:r>
                    <w:rPr>
                      <w:rFonts w:hint="default" w:ascii="Times New Roman" w:hAnsi="Times New Roman" w:eastAsia="宋体" w:cs="Times New Roman"/>
                      <w:b/>
                      <w:bCs/>
                      <w:color w:val="auto"/>
                      <w:szCs w:val="21"/>
                      <w:vertAlign w:val="superscript"/>
                    </w:rPr>
                    <w:t>3</w:t>
                  </w:r>
                  <w:r>
                    <w:rPr>
                      <w:rFonts w:hint="default" w:ascii="Times New Roman" w:hAnsi="Times New Roman" w:eastAsia="宋体" w:cs="Times New Roman"/>
                      <w:b/>
                      <w:bCs/>
                      <w:color w:val="auto"/>
                      <w:szCs w:val="21"/>
                      <w:lang w:eastAsia="zh-CN"/>
                    </w:rPr>
                    <w:t>）</w:t>
                  </w:r>
                </w:p>
              </w:tc>
              <w:tc>
                <w:tcPr>
                  <w:tcW w:w="962" w:type="pct"/>
                  <w:tcBorders>
                    <w:tl2br w:val="nil"/>
                    <w:tr2bl w:val="nil"/>
                  </w:tcBorders>
                  <w:vAlign w:val="center"/>
                </w:tcPr>
                <w:p w14:paraId="388CFCED">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kern w:val="0"/>
                      <w:szCs w:val="21"/>
                      <w:lang w:val="en-US" w:eastAsia="zh-CN"/>
                    </w:rPr>
                    <w:t>标准值</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rPr>
                    <w:t>mg/m</w:t>
                  </w:r>
                  <w:r>
                    <w:rPr>
                      <w:rFonts w:hint="default" w:ascii="Times New Roman" w:hAnsi="Times New Roman" w:eastAsia="宋体" w:cs="Times New Roman"/>
                      <w:b/>
                      <w:bCs/>
                      <w:color w:val="auto"/>
                      <w:szCs w:val="21"/>
                      <w:vertAlign w:val="superscript"/>
                    </w:rPr>
                    <w:t>3</w:t>
                  </w:r>
                  <w:r>
                    <w:rPr>
                      <w:rFonts w:hint="default" w:ascii="Times New Roman" w:hAnsi="Times New Roman" w:eastAsia="宋体" w:cs="Times New Roman"/>
                      <w:b/>
                      <w:bCs/>
                      <w:color w:val="auto"/>
                      <w:szCs w:val="21"/>
                      <w:lang w:eastAsia="zh-CN"/>
                    </w:rPr>
                    <w:t>）</w:t>
                  </w:r>
                </w:p>
              </w:tc>
            </w:tr>
            <w:tr w14:paraId="135A7B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0" w:type="pct"/>
                  <w:tcBorders>
                    <w:tl2br w:val="nil"/>
                    <w:tr2bl w:val="nil"/>
                  </w:tcBorders>
                  <w:vAlign w:val="center"/>
                </w:tcPr>
                <w:p w14:paraId="677DC862">
                  <w:pPr>
                    <w:pStyle w:val="6"/>
                    <w:adjustRightInd w:val="0"/>
                    <w:snapToGrid w:val="0"/>
                    <w:ind w:firstLine="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4.3.22</w:t>
                  </w:r>
                </w:p>
              </w:tc>
              <w:tc>
                <w:tcPr>
                  <w:tcW w:w="894" w:type="pct"/>
                  <w:tcBorders>
                    <w:tl2br w:val="nil"/>
                    <w:tr2bl w:val="nil"/>
                  </w:tcBorders>
                  <w:vAlign w:val="center"/>
                </w:tcPr>
                <w:p w14:paraId="0CAF767C">
                  <w:pPr>
                    <w:pStyle w:val="6"/>
                    <w:adjustRightInd w:val="0"/>
                    <w:snapToGrid w:val="0"/>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厂界</w:t>
                  </w:r>
                </w:p>
              </w:tc>
              <w:tc>
                <w:tcPr>
                  <w:tcW w:w="1155" w:type="pct"/>
                  <w:tcBorders>
                    <w:tl2br w:val="nil"/>
                    <w:tr2bl w:val="nil"/>
                  </w:tcBorders>
                  <w:vAlign w:val="center"/>
                </w:tcPr>
                <w:p w14:paraId="031CB1A3">
                  <w:pPr>
                    <w:pStyle w:val="58"/>
                    <w:spacing w:line="240" w:lineRule="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颗粒物</w:t>
                  </w:r>
                </w:p>
              </w:tc>
              <w:tc>
                <w:tcPr>
                  <w:tcW w:w="1217" w:type="pct"/>
                  <w:tcBorders>
                    <w:tl2br w:val="nil"/>
                    <w:tr2bl w:val="nil"/>
                  </w:tcBorders>
                  <w:vAlign w:val="center"/>
                </w:tcPr>
                <w:p w14:paraId="00C567A0">
                  <w:pPr>
                    <w:tabs>
                      <w:tab w:val="center" w:pos="4393"/>
                      <w:tab w:val="left" w:pos="7140"/>
                    </w:tabs>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lang w:val="en-US" w:eastAsia="zh-CN"/>
                    </w:rPr>
                    <w:t>0.236</w:t>
                  </w:r>
                </w:p>
              </w:tc>
              <w:tc>
                <w:tcPr>
                  <w:tcW w:w="962" w:type="pct"/>
                  <w:tcBorders>
                    <w:tl2br w:val="nil"/>
                    <w:tr2bl w:val="nil"/>
                  </w:tcBorders>
                  <w:vAlign w:val="center"/>
                </w:tcPr>
                <w:p w14:paraId="58BCE9C5">
                  <w:pPr>
                    <w:widowControl/>
                    <w:jc w:val="center"/>
                    <w:textAlignment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0.5</w:t>
                  </w:r>
                </w:p>
              </w:tc>
            </w:tr>
          </w:tbl>
          <w:p w14:paraId="4EBC0D5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注：例行监测在正常工况下进行。</w:t>
            </w:r>
          </w:p>
          <w:p w14:paraId="435DB6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由上表可知，无组织废气颗粒物排放浓度符合《大气污染物综合排放标准》（DB32/4041-2021）表3限值要求。</w:t>
            </w:r>
          </w:p>
          <w:p w14:paraId="3A89E8C8">
            <w:pPr>
              <w:keepNext w:val="0"/>
              <w:keepLines w:val="0"/>
              <w:pageBreakBefore w:val="0"/>
              <w:kinsoku/>
              <w:wordWrap/>
              <w:overflowPunct/>
              <w:topLinePunct w:val="0"/>
              <w:bidi w:val="0"/>
              <w:adjustRightInd w:val="0"/>
              <w:snapToGrid w:val="0"/>
              <w:spacing w:line="460" w:lineRule="exact"/>
              <w:ind w:left="0" w:right="0"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噪声</w:t>
            </w:r>
          </w:p>
          <w:p w14:paraId="3CD001B1">
            <w:pPr>
              <w:keepNext w:val="0"/>
              <w:keepLines w:val="0"/>
              <w:pageBreakBefore w:val="0"/>
              <w:kinsoku/>
              <w:wordWrap/>
              <w:overflowPunct/>
              <w:topLinePunct w:val="0"/>
              <w:bidi w:val="0"/>
              <w:adjustRightInd w:val="0"/>
              <w:snapToGrid w:val="0"/>
              <w:spacing w:line="500" w:lineRule="exact"/>
              <w:ind w:left="0" w:right="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现有项目噪声主要为</w:t>
            </w:r>
            <w:r>
              <w:rPr>
                <w:rFonts w:hint="default" w:ascii="Times New Roman" w:hAnsi="Times New Roman" w:eastAsia="宋体" w:cs="Times New Roman"/>
                <w:i w:val="0"/>
                <w:iCs w:val="0"/>
                <w:color w:val="auto"/>
                <w:kern w:val="0"/>
                <w:sz w:val="24"/>
                <w:szCs w:val="24"/>
                <w:u w:val="none"/>
                <w:lang w:val="en-US" w:eastAsia="zh-CN" w:bidi="ar"/>
              </w:rPr>
              <w:t>机加工设备、空压机等</w:t>
            </w:r>
            <w:r>
              <w:rPr>
                <w:rFonts w:hint="default" w:ascii="Times New Roman" w:hAnsi="Times New Roman" w:eastAsia="宋体" w:cs="Times New Roman"/>
                <w:color w:val="auto"/>
                <w:sz w:val="24"/>
                <w:szCs w:val="24"/>
                <w:highlight w:val="none"/>
                <w:lang w:val="en-US" w:eastAsia="zh-CN"/>
              </w:rPr>
              <w:t>运行产生的噪声，通过选用低噪声设备、合理布局、安装减震垫、隔声罩墙体隔声等措施来控制。</w:t>
            </w:r>
            <w:r>
              <w:rPr>
                <w:rFonts w:hint="default" w:ascii="Times New Roman" w:hAnsi="Times New Roman" w:eastAsia="宋体" w:cs="Times New Roman"/>
                <w:color w:val="auto"/>
                <w:kern w:val="2"/>
                <w:sz w:val="24"/>
                <w:szCs w:val="24"/>
                <w:lang w:val="en-US" w:eastAsia="zh-CN" w:bidi="ar-SA"/>
              </w:rPr>
              <w:t>根据</w:t>
            </w:r>
            <w:r>
              <w:rPr>
                <w:rFonts w:hint="default" w:ascii="Times New Roman" w:hAnsi="Times New Roman" w:eastAsia="宋体" w:cs="Times New Roman"/>
                <w:color w:val="auto"/>
                <w:sz w:val="24"/>
                <w:lang w:val="en-US" w:eastAsia="zh-CN"/>
              </w:rPr>
              <w:t>江苏钦天检测技术有限公司</w:t>
            </w:r>
            <w:r>
              <w:rPr>
                <w:rFonts w:hint="default" w:ascii="Times New Roman" w:hAnsi="Times New Roman" w:eastAsia="宋体" w:cs="Times New Roman"/>
                <w:color w:val="auto"/>
                <w:kern w:val="2"/>
                <w:sz w:val="24"/>
                <w:szCs w:val="24"/>
                <w:lang w:val="en-US" w:eastAsia="zh-CN" w:bidi="ar-SA"/>
              </w:rPr>
              <w:t>出具的检测报告（报告编号QThj2403320），现有项目厂区噪声排放情况见下表。</w:t>
            </w:r>
          </w:p>
          <w:p w14:paraId="793B8E54">
            <w:pPr>
              <w:keepNext w:val="0"/>
              <w:keepLines w:val="0"/>
              <w:pageBreakBefore w:val="0"/>
              <w:widowControl w:val="0"/>
              <w:kinsoku/>
              <w:wordWrap/>
              <w:overflowPunct/>
              <w:topLinePunct w:val="0"/>
              <w:autoSpaceDE/>
              <w:autoSpaceDN/>
              <w:bidi w:val="0"/>
              <w:adjustRightInd w:val="0"/>
              <w:snapToGrid w:val="0"/>
              <w:spacing w:line="460" w:lineRule="exact"/>
              <w:ind w:left="0" w:right="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color w:val="auto"/>
                <w:szCs w:val="21"/>
              </w:rPr>
              <w:t>表2-1</w:t>
            </w:r>
            <w:r>
              <w:rPr>
                <w:rFonts w:hint="default" w:ascii="Times New Roman" w:hAnsi="Times New Roman" w:eastAsia="宋体" w:cs="Times New Roman"/>
                <w:b/>
                <w:color w:val="auto"/>
                <w:szCs w:val="21"/>
                <w:lang w:val="en-US" w:eastAsia="zh-CN"/>
              </w:rPr>
              <w:t xml:space="preserve">6 </w:t>
            </w:r>
            <w:r>
              <w:rPr>
                <w:rFonts w:hint="default" w:ascii="Times New Roman" w:hAnsi="Times New Roman" w:eastAsia="宋体" w:cs="Times New Roman"/>
                <w:b/>
                <w:color w:val="auto"/>
                <w:szCs w:val="21"/>
              </w:rPr>
              <w:t xml:space="preserve"> </w:t>
            </w:r>
            <w:r>
              <w:rPr>
                <w:rFonts w:hint="default" w:ascii="Times New Roman" w:hAnsi="Times New Roman" w:eastAsia="宋体" w:cs="Times New Roman"/>
                <w:b/>
                <w:color w:val="auto"/>
                <w:szCs w:val="21"/>
                <w:lang w:val="en-US" w:eastAsia="zh-CN"/>
              </w:rPr>
              <w:t>现有</w:t>
            </w:r>
            <w:r>
              <w:rPr>
                <w:rFonts w:hint="default" w:ascii="Times New Roman" w:hAnsi="Times New Roman" w:eastAsia="宋体" w:cs="Times New Roman"/>
                <w:b/>
                <w:color w:val="auto"/>
                <w:szCs w:val="21"/>
              </w:rPr>
              <w:t>项目</w:t>
            </w:r>
            <w:r>
              <w:rPr>
                <w:rFonts w:hint="default" w:ascii="Times New Roman" w:hAnsi="Times New Roman" w:eastAsia="宋体" w:cs="Times New Roman"/>
                <w:b/>
                <w:color w:val="auto"/>
                <w:szCs w:val="21"/>
                <w:lang w:val="en-US" w:eastAsia="zh-CN"/>
              </w:rPr>
              <w:t>噪声监测</w:t>
            </w:r>
            <w:r>
              <w:rPr>
                <w:rFonts w:hint="default" w:ascii="Times New Roman" w:hAnsi="Times New Roman" w:eastAsia="宋体" w:cs="Times New Roman"/>
                <w:b/>
                <w:color w:val="auto"/>
                <w:szCs w:val="21"/>
              </w:rPr>
              <w:t>情况</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2989"/>
              <w:gridCol w:w="1783"/>
              <w:gridCol w:w="1787"/>
            </w:tblGrid>
            <w:tr w14:paraId="51B317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092" w:type="pct"/>
                  <w:vMerge w:val="restart"/>
                  <w:tcBorders>
                    <w:tl2br w:val="nil"/>
                    <w:tr2bl w:val="nil"/>
                  </w:tcBorders>
                  <w:vAlign w:val="center"/>
                </w:tcPr>
                <w:p w14:paraId="7D843F9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检测日期</w:t>
                  </w:r>
                </w:p>
              </w:tc>
              <w:tc>
                <w:tcPr>
                  <w:tcW w:w="1780" w:type="pct"/>
                  <w:vMerge w:val="restart"/>
                  <w:tcBorders>
                    <w:tl2br w:val="nil"/>
                    <w:tr2bl w:val="nil"/>
                  </w:tcBorders>
                  <w:vAlign w:val="center"/>
                </w:tcPr>
                <w:p w14:paraId="1D369D3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检测点位</w:t>
                  </w:r>
                </w:p>
              </w:tc>
              <w:tc>
                <w:tcPr>
                  <w:tcW w:w="1062" w:type="pct"/>
                  <w:tcBorders>
                    <w:tl2br w:val="nil"/>
                    <w:tr2bl w:val="nil"/>
                  </w:tcBorders>
                  <w:vAlign w:val="center"/>
                </w:tcPr>
                <w:p w14:paraId="7E9D964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监测结果dB</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lang w:val="en-US" w:eastAsia="zh-CN"/>
                    </w:rPr>
                    <w:t>A</w:t>
                  </w:r>
                  <w:r>
                    <w:rPr>
                      <w:rFonts w:hint="default" w:ascii="Times New Roman" w:hAnsi="Times New Roman" w:eastAsia="宋体" w:cs="Times New Roman"/>
                      <w:b/>
                      <w:bCs/>
                      <w:color w:val="auto"/>
                      <w:szCs w:val="21"/>
                      <w:lang w:eastAsia="zh-CN"/>
                    </w:rPr>
                    <w:t>）</w:t>
                  </w:r>
                </w:p>
              </w:tc>
              <w:tc>
                <w:tcPr>
                  <w:tcW w:w="1064" w:type="pct"/>
                  <w:tcBorders>
                    <w:tl2br w:val="nil"/>
                    <w:tr2bl w:val="nil"/>
                  </w:tcBorders>
                  <w:vAlign w:val="center"/>
                </w:tcPr>
                <w:p w14:paraId="4540ADC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kern w:val="0"/>
                      <w:szCs w:val="21"/>
                      <w:lang w:val="en-US" w:eastAsia="zh-CN"/>
                    </w:rPr>
                    <w:t>标准值</w:t>
                  </w:r>
                  <w:r>
                    <w:rPr>
                      <w:rFonts w:hint="default" w:ascii="Times New Roman" w:hAnsi="Times New Roman" w:eastAsia="宋体" w:cs="Times New Roman"/>
                      <w:b/>
                      <w:bCs/>
                      <w:color w:val="auto"/>
                      <w:szCs w:val="21"/>
                      <w:lang w:val="en-US" w:eastAsia="zh-CN"/>
                    </w:rPr>
                    <w:t>dB</w:t>
                  </w:r>
                  <w:r>
                    <w:rPr>
                      <w:rFonts w:hint="default" w:ascii="Times New Roman" w:hAnsi="Times New Roman" w:eastAsia="宋体" w:cs="Times New Roman"/>
                      <w:b/>
                      <w:bCs/>
                      <w:color w:val="auto"/>
                      <w:szCs w:val="21"/>
                      <w:lang w:eastAsia="zh-CN"/>
                    </w:rPr>
                    <w:t>（</w:t>
                  </w:r>
                  <w:r>
                    <w:rPr>
                      <w:rFonts w:hint="default" w:ascii="Times New Roman" w:hAnsi="Times New Roman" w:eastAsia="宋体" w:cs="Times New Roman"/>
                      <w:b/>
                      <w:bCs/>
                      <w:color w:val="auto"/>
                      <w:szCs w:val="21"/>
                      <w:lang w:val="en-US" w:eastAsia="zh-CN"/>
                    </w:rPr>
                    <w:t>A</w:t>
                  </w:r>
                  <w:r>
                    <w:rPr>
                      <w:rFonts w:hint="default" w:ascii="Times New Roman" w:hAnsi="Times New Roman" w:eastAsia="宋体" w:cs="Times New Roman"/>
                      <w:b/>
                      <w:bCs/>
                      <w:color w:val="auto"/>
                      <w:szCs w:val="21"/>
                      <w:lang w:eastAsia="zh-CN"/>
                    </w:rPr>
                    <w:t>）</w:t>
                  </w:r>
                </w:p>
              </w:tc>
            </w:tr>
            <w:tr w14:paraId="47BCE8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092" w:type="pct"/>
                  <w:vMerge w:val="continue"/>
                  <w:tcBorders>
                    <w:tl2br w:val="nil"/>
                    <w:tr2bl w:val="nil"/>
                  </w:tcBorders>
                  <w:vAlign w:val="center"/>
                </w:tcPr>
                <w:p w14:paraId="4417910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val="en-US" w:eastAsia="zh-CN"/>
                    </w:rPr>
                  </w:pPr>
                </w:p>
              </w:tc>
              <w:tc>
                <w:tcPr>
                  <w:tcW w:w="1780" w:type="pct"/>
                  <w:vMerge w:val="continue"/>
                  <w:tcBorders>
                    <w:tl2br w:val="nil"/>
                    <w:tr2bl w:val="nil"/>
                  </w:tcBorders>
                  <w:vAlign w:val="center"/>
                </w:tcPr>
                <w:p w14:paraId="5808D2A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val="en-US" w:eastAsia="zh-CN"/>
                    </w:rPr>
                  </w:pPr>
                </w:p>
              </w:tc>
              <w:tc>
                <w:tcPr>
                  <w:tcW w:w="1062" w:type="pct"/>
                  <w:tcBorders>
                    <w:tl2br w:val="nil"/>
                    <w:tr2bl w:val="nil"/>
                  </w:tcBorders>
                  <w:vAlign w:val="center"/>
                </w:tcPr>
                <w:p w14:paraId="27C5CFF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Cs w:val="21"/>
                      <w:lang w:val="en-US" w:eastAsia="zh-CN"/>
                    </w:rPr>
                    <w:t>昼间</w:t>
                  </w:r>
                </w:p>
              </w:tc>
              <w:tc>
                <w:tcPr>
                  <w:tcW w:w="1064" w:type="pct"/>
                  <w:tcBorders>
                    <w:tl2br w:val="nil"/>
                    <w:tr2bl w:val="nil"/>
                  </w:tcBorders>
                  <w:vAlign w:val="center"/>
                </w:tcPr>
                <w:p w14:paraId="1BC6600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eastAsia="宋体" w:cs="Times New Roman"/>
                      <w:b/>
                      <w:bCs/>
                      <w:color w:val="auto"/>
                      <w:kern w:val="0"/>
                      <w:szCs w:val="21"/>
                      <w:lang w:val="en-US" w:eastAsia="zh-CN"/>
                    </w:rPr>
                    <w:t>昼间</w:t>
                  </w:r>
                </w:p>
              </w:tc>
            </w:tr>
            <w:tr w14:paraId="0BB249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2" w:type="pct"/>
                  <w:vMerge w:val="restart"/>
                  <w:tcBorders>
                    <w:tl2br w:val="nil"/>
                    <w:tr2bl w:val="nil"/>
                  </w:tcBorders>
                  <w:vAlign w:val="center"/>
                </w:tcPr>
                <w:p w14:paraId="17736513">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4.3.22</w:t>
                  </w:r>
                </w:p>
              </w:tc>
              <w:tc>
                <w:tcPr>
                  <w:tcW w:w="1780" w:type="pct"/>
                  <w:tcBorders>
                    <w:tl2br w:val="nil"/>
                    <w:tr2bl w:val="nil"/>
                  </w:tcBorders>
                  <w:vAlign w:val="center"/>
                </w:tcPr>
                <w:p w14:paraId="7C185A63">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东厂界外1m</w:t>
                  </w:r>
                </w:p>
              </w:tc>
              <w:tc>
                <w:tcPr>
                  <w:tcW w:w="1062" w:type="pct"/>
                  <w:tcBorders>
                    <w:tl2br w:val="nil"/>
                    <w:tr2bl w:val="nil"/>
                  </w:tcBorders>
                  <w:vAlign w:val="center"/>
                </w:tcPr>
                <w:p w14:paraId="7E52566C">
                  <w:pPr>
                    <w:pStyle w:val="58"/>
                    <w:keepNext w:val="0"/>
                    <w:keepLines w:val="0"/>
                    <w:pageBreakBefore w:val="0"/>
                    <w:kinsoku/>
                    <w:wordWrap/>
                    <w:overflowPunct/>
                    <w:topLinePunct w:val="0"/>
                    <w:bidi w:val="0"/>
                    <w:adjustRightInd w:val="0"/>
                    <w:snapToGrid w:val="0"/>
                    <w:spacing w:line="240" w:lineRule="auto"/>
                    <w:ind w:left="0" w:right="0"/>
                    <w:rPr>
                      <w:rFonts w:hint="default" w:ascii="Times New Roman" w:hAnsi="Times New Roman" w:eastAsia="宋体" w:cs="Times New Roman"/>
                      <w:bCs w:val="0"/>
                      <w:color w:val="auto"/>
                      <w:szCs w:val="21"/>
                      <w:lang w:val="en-US" w:eastAsia="zh-CN"/>
                    </w:rPr>
                  </w:pPr>
                  <w:r>
                    <w:rPr>
                      <w:rFonts w:hint="default" w:ascii="Times New Roman" w:hAnsi="Times New Roman" w:eastAsia="宋体" w:cs="Times New Roman"/>
                      <w:bCs w:val="0"/>
                      <w:color w:val="auto"/>
                      <w:szCs w:val="21"/>
                      <w:lang w:val="en-US" w:eastAsia="zh-CN"/>
                    </w:rPr>
                    <w:t>57.3</w:t>
                  </w:r>
                </w:p>
              </w:tc>
              <w:tc>
                <w:tcPr>
                  <w:tcW w:w="1064" w:type="pct"/>
                  <w:tcBorders>
                    <w:tl2br w:val="nil"/>
                    <w:tr2bl w:val="nil"/>
                  </w:tcBorders>
                  <w:vAlign w:val="center"/>
                </w:tcPr>
                <w:p w14:paraId="3D26AC84">
                  <w:pPr>
                    <w:keepNext w:val="0"/>
                    <w:keepLines w:val="0"/>
                    <w:pageBreakBefore w:val="0"/>
                    <w:widowControl/>
                    <w:kinsoku/>
                    <w:wordWrap/>
                    <w:overflowPunct/>
                    <w:topLinePunct w:val="0"/>
                    <w:bidi w:val="0"/>
                    <w:adjustRightInd w:val="0"/>
                    <w:snapToGrid w:val="0"/>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lang w:val="en-US" w:eastAsia="zh-CN"/>
                    </w:rPr>
                    <w:t>65</w:t>
                  </w:r>
                </w:p>
              </w:tc>
            </w:tr>
            <w:tr w14:paraId="25364A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2" w:type="pct"/>
                  <w:vMerge w:val="continue"/>
                  <w:tcBorders>
                    <w:tl2br w:val="nil"/>
                    <w:tr2bl w:val="nil"/>
                  </w:tcBorders>
                  <w:vAlign w:val="center"/>
                </w:tcPr>
                <w:p w14:paraId="174F457C">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p>
              </w:tc>
              <w:tc>
                <w:tcPr>
                  <w:tcW w:w="1780" w:type="pct"/>
                  <w:tcBorders>
                    <w:tl2br w:val="nil"/>
                    <w:tr2bl w:val="nil"/>
                  </w:tcBorders>
                  <w:vAlign w:val="center"/>
                </w:tcPr>
                <w:p w14:paraId="40D95499">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南厂界外1m</w:t>
                  </w:r>
                </w:p>
              </w:tc>
              <w:tc>
                <w:tcPr>
                  <w:tcW w:w="1062" w:type="pct"/>
                  <w:tcBorders>
                    <w:tl2br w:val="nil"/>
                    <w:tr2bl w:val="nil"/>
                  </w:tcBorders>
                  <w:vAlign w:val="center"/>
                </w:tcPr>
                <w:p w14:paraId="6EA53BBF">
                  <w:pPr>
                    <w:pStyle w:val="58"/>
                    <w:keepNext w:val="0"/>
                    <w:keepLines w:val="0"/>
                    <w:pageBreakBefore w:val="0"/>
                    <w:kinsoku/>
                    <w:wordWrap/>
                    <w:overflowPunct/>
                    <w:topLinePunct w:val="0"/>
                    <w:bidi w:val="0"/>
                    <w:adjustRightInd w:val="0"/>
                    <w:snapToGrid w:val="0"/>
                    <w:spacing w:line="240" w:lineRule="auto"/>
                    <w:ind w:left="0" w:right="0"/>
                    <w:rPr>
                      <w:rFonts w:hint="default" w:ascii="Times New Roman" w:hAnsi="Times New Roman" w:eastAsia="宋体" w:cs="Times New Roman"/>
                      <w:bCs w:val="0"/>
                      <w:color w:val="auto"/>
                      <w:szCs w:val="21"/>
                      <w:lang w:val="en-US" w:eastAsia="zh-CN"/>
                    </w:rPr>
                  </w:pPr>
                  <w:r>
                    <w:rPr>
                      <w:rFonts w:hint="default" w:ascii="Times New Roman" w:hAnsi="Times New Roman" w:eastAsia="宋体" w:cs="Times New Roman"/>
                      <w:bCs w:val="0"/>
                      <w:color w:val="auto"/>
                      <w:szCs w:val="21"/>
                      <w:lang w:val="en-US" w:eastAsia="zh-CN"/>
                    </w:rPr>
                    <w:t>57.1</w:t>
                  </w:r>
                </w:p>
              </w:tc>
              <w:tc>
                <w:tcPr>
                  <w:tcW w:w="1064" w:type="pct"/>
                  <w:tcBorders>
                    <w:tl2br w:val="nil"/>
                    <w:tr2bl w:val="nil"/>
                  </w:tcBorders>
                  <w:vAlign w:val="center"/>
                </w:tcPr>
                <w:p w14:paraId="434C1FBD">
                  <w:pPr>
                    <w:keepNext w:val="0"/>
                    <w:keepLines w:val="0"/>
                    <w:pageBreakBefore w:val="0"/>
                    <w:widowControl/>
                    <w:kinsoku/>
                    <w:wordWrap/>
                    <w:overflowPunct/>
                    <w:topLinePunct w:val="0"/>
                    <w:bidi w:val="0"/>
                    <w:adjustRightInd w:val="0"/>
                    <w:snapToGrid w:val="0"/>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lang w:val="en-US" w:eastAsia="zh-CN"/>
                    </w:rPr>
                    <w:t>65</w:t>
                  </w:r>
                </w:p>
              </w:tc>
            </w:tr>
            <w:tr w14:paraId="5F92B3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2" w:type="pct"/>
                  <w:vMerge w:val="continue"/>
                  <w:tcBorders>
                    <w:tl2br w:val="nil"/>
                    <w:tr2bl w:val="nil"/>
                  </w:tcBorders>
                  <w:vAlign w:val="center"/>
                </w:tcPr>
                <w:p w14:paraId="12AA9571">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p>
              </w:tc>
              <w:tc>
                <w:tcPr>
                  <w:tcW w:w="1780" w:type="pct"/>
                  <w:tcBorders>
                    <w:tl2br w:val="nil"/>
                    <w:tr2bl w:val="nil"/>
                  </w:tcBorders>
                  <w:vAlign w:val="center"/>
                </w:tcPr>
                <w:p w14:paraId="35DE1241">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西厂界外1m</w:t>
                  </w:r>
                </w:p>
              </w:tc>
              <w:tc>
                <w:tcPr>
                  <w:tcW w:w="1062" w:type="pct"/>
                  <w:tcBorders>
                    <w:tl2br w:val="nil"/>
                    <w:tr2bl w:val="nil"/>
                  </w:tcBorders>
                  <w:vAlign w:val="center"/>
                </w:tcPr>
                <w:p w14:paraId="70AE8E39">
                  <w:pPr>
                    <w:pStyle w:val="58"/>
                    <w:keepNext w:val="0"/>
                    <w:keepLines w:val="0"/>
                    <w:pageBreakBefore w:val="0"/>
                    <w:kinsoku/>
                    <w:wordWrap/>
                    <w:overflowPunct/>
                    <w:topLinePunct w:val="0"/>
                    <w:bidi w:val="0"/>
                    <w:adjustRightInd w:val="0"/>
                    <w:snapToGrid w:val="0"/>
                    <w:spacing w:line="240" w:lineRule="auto"/>
                    <w:ind w:left="0" w:right="0"/>
                    <w:rPr>
                      <w:rFonts w:hint="default" w:ascii="Times New Roman" w:hAnsi="Times New Roman" w:eastAsia="宋体" w:cs="Times New Roman"/>
                      <w:bCs w:val="0"/>
                      <w:color w:val="auto"/>
                      <w:szCs w:val="21"/>
                      <w:lang w:val="en-US" w:eastAsia="zh-CN"/>
                    </w:rPr>
                  </w:pPr>
                  <w:r>
                    <w:rPr>
                      <w:rFonts w:hint="default" w:ascii="Times New Roman" w:hAnsi="Times New Roman" w:eastAsia="宋体" w:cs="Times New Roman"/>
                      <w:bCs w:val="0"/>
                      <w:color w:val="auto"/>
                      <w:szCs w:val="21"/>
                      <w:lang w:val="en-US" w:eastAsia="zh-CN"/>
                    </w:rPr>
                    <w:t>56.7</w:t>
                  </w:r>
                </w:p>
              </w:tc>
              <w:tc>
                <w:tcPr>
                  <w:tcW w:w="1064" w:type="pct"/>
                  <w:tcBorders>
                    <w:tl2br w:val="nil"/>
                    <w:tr2bl w:val="nil"/>
                  </w:tcBorders>
                  <w:vAlign w:val="center"/>
                </w:tcPr>
                <w:p w14:paraId="4AD199E9">
                  <w:pPr>
                    <w:keepNext w:val="0"/>
                    <w:keepLines w:val="0"/>
                    <w:pageBreakBefore w:val="0"/>
                    <w:widowControl/>
                    <w:kinsoku/>
                    <w:wordWrap/>
                    <w:overflowPunct/>
                    <w:topLinePunct w:val="0"/>
                    <w:bidi w:val="0"/>
                    <w:adjustRightInd w:val="0"/>
                    <w:snapToGrid w:val="0"/>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lang w:val="en-US" w:eastAsia="zh-CN"/>
                    </w:rPr>
                    <w:t>65</w:t>
                  </w:r>
                </w:p>
              </w:tc>
            </w:tr>
            <w:tr w14:paraId="2B579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2" w:type="pct"/>
                  <w:vMerge w:val="continue"/>
                  <w:tcBorders>
                    <w:tl2br w:val="nil"/>
                    <w:tr2bl w:val="nil"/>
                  </w:tcBorders>
                  <w:vAlign w:val="center"/>
                </w:tcPr>
                <w:p w14:paraId="3440EF87">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p>
              </w:tc>
              <w:tc>
                <w:tcPr>
                  <w:tcW w:w="1780" w:type="pct"/>
                  <w:tcBorders>
                    <w:tl2br w:val="nil"/>
                    <w:tr2bl w:val="nil"/>
                  </w:tcBorders>
                  <w:vAlign w:val="center"/>
                </w:tcPr>
                <w:p w14:paraId="0C49215B">
                  <w:pPr>
                    <w:pStyle w:val="6"/>
                    <w:keepNext w:val="0"/>
                    <w:keepLines w:val="0"/>
                    <w:pageBreakBefore w:val="0"/>
                    <w:kinsoku/>
                    <w:wordWrap/>
                    <w:overflowPunct/>
                    <w:topLinePunct w:val="0"/>
                    <w:bidi w:val="0"/>
                    <w:adjustRightInd w:val="0"/>
                    <w:snapToGrid w:val="0"/>
                    <w:ind w:left="0" w:right="0"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北厂界外1m</w:t>
                  </w:r>
                </w:p>
              </w:tc>
              <w:tc>
                <w:tcPr>
                  <w:tcW w:w="1062" w:type="pct"/>
                  <w:tcBorders>
                    <w:tl2br w:val="nil"/>
                    <w:tr2bl w:val="nil"/>
                  </w:tcBorders>
                  <w:vAlign w:val="center"/>
                </w:tcPr>
                <w:p w14:paraId="0473E774">
                  <w:pPr>
                    <w:pStyle w:val="58"/>
                    <w:keepNext w:val="0"/>
                    <w:keepLines w:val="0"/>
                    <w:pageBreakBefore w:val="0"/>
                    <w:kinsoku/>
                    <w:wordWrap/>
                    <w:overflowPunct/>
                    <w:topLinePunct w:val="0"/>
                    <w:bidi w:val="0"/>
                    <w:adjustRightInd w:val="0"/>
                    <w:snapToGrid w:val="0"/>
                    <w:spacing w:line="240" w:lineRule="auto"/>
                    <w:ind w:left="0" w:right="0"/>
                    <w:rPr>
                      <w:rFonts w:hint="default" w:ascii="Times New Roman" w:hAnsi="Times New Roman" w:eastAsia="宋体" w:cs="Times New Roman"/>
                      <w:bCs w:val="0"/>
                      <w:color w:val="auto"/>
                      <w:szCs w:val="21"/>
                      <w:lang w:val="en-US" w:eastAsia="zh-CN"/>
                    </w:rPr>
                  </w:pPr>
                  <w:r>
                    <w:rPr>
                      <w:rFonts w:hint="default" w:ascii="Times New Roman" w:hAnsi="Times New Roman" w:eastAsia="宋体" w:cs="Times New Roman"/>
                      <w:bCs w:val="0"/>
                      <w:color w:val="auto"/>
                      <w:szCs w:val="21"/>
                      <w:lang w:val="en-US" w:eastAsia="zh-CN"/>
                    </w:rPr>
                    <w:t>57.5</w:t>
                  </w:r>
                </w:p>
              </w:tc>
              <w:tc>
                <w:tcPr>
                  <w:tcW w:w="1064" w:type="pct"/>
                  <w:tcBorders>
                    <w:tl2br w:val="nil"/>
                    <w:tr2bl w:val="nil"/>
                  </w:tcBorders>
                  <w:vAlign w:val="center"/>
                </w:tcPr>
                <w:p w14:paraId="012BC019">
                  <w:pPr>
                    <w:keepNext w:val="0"/>
                    <w:keepLines w:val="0"/>
                    <w:pageBreakBefore w:val="0"/>
                    <w:widowControl/>
                    <w:kinsoku/>
                    <w:wordWrap/>
                    <w:overflowPunct/>
                    <w:topLinePunct w:val="0"/>
                    <w:bidi w:val="0"/>
                    <w:adjustRightInd w:val="0"/>
                    <w:snapToGrid w:val="0"/>
                    <w:ind w:left="0" w:leftChars="0" w:right="0" w:rightChars="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lang w:val="en-US" w:eastAsia="zh-CN"/>
                    </w:rPr>
                    <w:t>65</w:t>
                  </w:r>
                </w:p>
              </w:tc>
            </w:tr>
          </w:tbl>
          <w:p w14:paraId="3C7E3369">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rPr>
              <w:t>由监测结果可见：</w:t>
            </w:r>
            <w:r>
              <w:rPr>
                <w:rFonts w:hint="default" w:ascii="Times New Roman" w:hAnsi="Times New Roman" w:eastAsia="宋体" w:cs="Times New Roman"/>
                <w:color w:val="auto"/>
                <w:sz w:val="24"/>
                <w:szCs w:val="24"/>
                <w:lang w:val="en-US" w:eastAsia="zh-CN"/>
              </w:rPr>
              <w:t>项目</w:t>
            </w:r>
            <w:r>
              <w:rPr>
                <w:rFonts w:hint="default" w:ascii="Times New Roman" w:hAnsi="Times New Roman" w:eastAsia="宋体" w:cs="Times New Roman"/>
                <w:color w:val="auto"/>
                <w:sz w:val="24"/>
                <w:szCs w:val="24"/>
              </w:rPr>
              <w:t>厂界昼间噪声符合《工业企业厂界环境噪声排放标准》（GB12348-2008）</w:t>
            </w:r>
            <w:r>
              <w:rPr>
                <w:rFonts w:hint="default" w:ascii="Times New Roman" w:hAnsi="Times New Roman" w:eastAsia="宋体" w:cs="Times New Roman"/>
                <w:color w:val="auto"/>
                <w:sz w:val="24"/>
                <w:szCs w:val="24"/>
                <w:lang w:val="en-US" w:eastAsia="zh-CN"/>
              </w:rPr>
              <w:t>中3</w:t>
            </w:r>
            <w:r>
              <w:rPr>
                <w:rFonts w:hint="default" w:ascii="Times New Roman" w:hAnsi="Times New Roman" w:eastAsia="宋体" w:cs="Times New Roman"/>
                <w:color w:val="auto"/>
                <w:sz w:val="24"/>
                <w:szCs w:val="24"/>
              </w:rPr>
              <w:t>类标准</w:t>
            </w:r>
            <w:r>
              <w:rPr>
                <w:rFonts w:hint="default" w:ascii="Times New Roman" w:hAnsi="Times New Roman" w:eastAsia="宋体" w:cs="Times New Roman"/>
                <w:color w:val="auto"/>
                <w:sz w:val="24"/>
                <w:szCs w:val="24"/>
                <w:lang w:val="en-US" w:eastAsia="zh-CN"/>
              </w:rPr>
              <w:t>要求</w:t>
            </w:r>
            <w:r>
              <w:rPr>
                <w:rFonts w:hint="default" w:ascii="Times New Roman" w:hAnsi="Times New Roman" w:eastAsia="宋体" w:cs="Times New Roman"/>
                <w:color w:val="auto"/>
                <w:sz w:val="24"/>
                <w:szCs w:val="24"/>
                <w:highlight w:val="none"/>
                <w:lang w:val="en-US" w:eastAsia="zh-CN"/>
              </w:rPr>
              <w:t>。</w:t>
            </w:r>
          </w:p>
          <w:p w14:paraId="4A8229FA">
            <w:pPr>
              <w:keepNext w:val="0"/>
              <w:keepLines w:val="0"/>
              <w:pageBreakBefore w:val="0"/>
              <w:widowControl w:val="0"/>
              <w:kinsoku/>
              <w:wordWrap/>
              <w:overflowPunct/>
              <w:topLinePunct w:val="0"/>
              <w:autoSpaceDE/>
              <w:autoSpaceDN/>
              <w:bidi w:val="0"/>
              <w:adjustRightInd w:val="0"/>
              <w:snapToGrid w:val="0"/>
              <w:spacing w:line="360" w:lineRule="auto"/>
              <w:ind w:left="0" w:righ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lang w:eastAsia="zh-CN"/>
              </w:rPr>
              <w:t>）</w:t>
            </w:r>
            <w:r>
              <w:rPr>
                <w:rFonts w:hint="default" w:ascii="Times New Roman" w:hAnsi="Times New Roman" w:eastAsia="宋体" w:cs="Times New Roman"/>
                <w:b/>
                <w:bCs/>
                <w:color w:val="auto"/>
                <w:sz w:val="24"/>
              </w:rPr>
              <w:t>固废</w:t>
            </w:r>
          </w:p>
          <w:p w14:paraId="57971826">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现有项目已设置1个危废仓库（占地6m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），已根据《危险废物贮存污染控制标准》（GB18597-2023）中要求进行设置。</w:t>
            </w:r>
          </w:p>
          <w:p w14:paraId="033C3CD8">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已设置1个一般固废仓库，已按《一般工业固体废物贮存和填埋污染控制标准》（GB18599-2020）中要求设置，满足防渗漏、防雨淋、防扬尘等要求。</w:t>
            </w:r>
          </w:p>
          <w:p w14:paraId="4DEB4C7C">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现有</w:t>
            </w:r>
            <w:r>
              <w:rPr>
                <w:rFonts w:hint="default" w:ascii="Times New Roman" w:hAnsi="Times New Roman" w:eastAsia="宋体" w:cs="Times New Roman"/>
                <w:color w:val="auto"/>
                <w:sz w:val="24"/>
              </w:rPr>
              <w:t>项目固体废物利用处置方式见下表。</w:t>
            </w:r>
          </w:p>
          <w:p w14:paraId="1300A85B">
            <w:pPr>
              <w:keepNext w:val="0"/>
              <w:keepLines w:val="0"/>
              <w:pageBreakBefore w:val="0"/>
              <w:widowControl w:val="0"/>
              <w:kinsoku/>
              <w:wordWrap/>
              <w:overflowPunct/>
              <w:topLinePunct w:val="0"/>
              <w:autoSpaceDE/>
              <w:autoSpaceDN/>
              <w:bidi w:val="0"/>
              <w:adjustRightInd w:val="0"/>
              <w:snapToGrid w:val="0"/>
              <w:spacing w:before="95" w:beforeLines="30" w:line="240" w:lineRule="auto"/>
              <w:ind w:left="0" w:right="0"/>
              <w:jc w:val="center"/>
              <w:textAlignment w:val="auto"/>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表2-17现有项目固体废物产生及处置情况一览表</w:t>
            </w:r>
          </w:p>
          <w:tbl>
            <w:tblPr>
              <w:tblStyle w:val="27"/>
              <w:tblW w:w="488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79" w:type="dxa"/>
                <w:bottom w:w="0" w:type="dxa"/>
                <w:right w:w="79" w:type="dxa"/>
              </w:tblCellMar>
            </w:tblPr>
            <w:tblGrid>
              <w:gridCol w:w="2093"/>
              <w:gridCol w:w="838"/>
              <w:gridCol w:w="1306"/>
              <w:gridCol w:w="1150"/>
              <w:gridCol w:w="1209"/>
              <w:gridCol w:w="1614"/>
            </w:tblGrid>
            <w:tr w14:paraId="5B765C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684" w:hRule="atLeast"/>
                <w:jc w:val="center"/>
              </w:trPr>
              <w:tc>
                <w:tcPr>
                  <w:tcW w:w="1274" w:type="pct"/>
                  <w:tcBorders>
                    <w:tl2br w:val="nil"/>
                    <w:tr2bl w:val="nil"/>
                  </w:tcBorders>
                  <w:vAlign w:val="center"/>
                </w:tcPr>
                <w:p w14:paraId="3C93A4E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固体废物名称</w:t>
                  </w:r>
                </w:p>
              </w:tc>
              <w:tc>
                <w:tcPr>
                  <w:tcW w:w="510" w:type="pct"/>
                  <w:tcBorders>
                    <w:tl2br w:val="nil"/>
                    <w:tr2bl w:val="nil"/>
                  </w:tcBorders>
                  <w:vAlign w:val="center"/>
                </w:tcPr>
                <w:p w14:paraId="6788FF7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形态</w:t>
                  </w:r>
                </w:p>
              </w:tc>
              <w:tc>
                <w:tcPr>
                  <w:tcW w:w="795" w:type="pct"/>
                  <w:tcBorders>
                    <w:tl2br w:val="nil"/>
                    <w:tr2bl w:val="nil"/>
                  </w:tcBorders>
                  <w:vAlign w:val="center"/>
                </w:tcPr>
                <w:p w14:paraId="63ACFFF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废物</w:t>
                  </w:r>
                  <w:r>
                    <w:rPr>
                      <w:rFonts w:hint="default" w:ascii="Times New Roman" w:hAnsi="Times New Roman" w:eastAsia="宋体" w:cs="Times New Roman"/>
                      <w:b/>
                      <w:bCs/>
                      <w:color w:val="auto"/>
                      <w:szCs w:val="21"/>
                    </w:rPr>
                    <w:t>类别及代码</w:t>
                  </w:r>
                </w:p>
              </w:tc>
              <w:tc>
                <w:tcPr>
                  <w:tcW w:w="700" w:type="pct"/>
                  <w:tcBorders>
                    <w:tl2br w:val="nil"/>
                    <w:tr2bl w:val="nil"/>
                  </w:tcBorders>
                  <w:vAlign w:val="center"/>
                </w:tcPr>
                <w:p w14:paraId="51266DE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属性</w:t>
                  </w:r>
                </w:p>
              </w:tc>
              <w:tc>
                <w:tcPr>
                  <w:tcW w:w="736" w:type="pct"/>
                  <w:tcBorders>
                    <w:tl2br w:val="nil"/>
                    <w:tr2bl w:val="nil"/>
                  </w:tcBorders>
                  <w:vAlign w:val="center"/>
                </w:tcPr>
                <w:p w14:paraId="2A71D85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产生量（t/a）</w:t>
                  </w:r>
                </w:p>
              </w:tc>
              <w:tc>
                <w:tcPr>
                  <w:tcW w:w="982" w:type="pct"/>
                  <w:tcBorders>
                    <w:tl2br w:val="nil"/>
                    <w:tr2bl w:val="nil"/>
                  </w:tcBorders>
                  <w:vAlign w:val="center"/>
                </w:tcPr>
                <w:p w14:paraId="4267D0E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处理处置方式</w:t>
                  </w:r>
                </w:p>
              </w:tc>
            </w:tr>
            <w:tr w14:paraId="324F7D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17FFAF9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边角料、不合格品</w:t>
                  </w:r>
                </w:p>
              </w:tc>
              <w:tc>
                <w:tcPr>
                  <w:tcW w:w="510" w:type="pct"/>
                  <w:tcBorders>
                    <w:tl2br w:val="nil"/>
                    <w:tr2bl w:val="nil"/>
                  </w:tcBorders>
                  <w:vAlign w:val="center"/>
                </w:tcPr>
                <w:p w14:paraId="1B6AA00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11A5D483">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SW17</w:t>
                  </w:r>
                </w:p>
                <w:p w14:paraId="0C525CE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lang w:val="en-US" w:eastAsia="zh-CN"/>
                    </w:rPr>
                    <w:t>900-001-S17</w:t>
                  </w:r>
                </w:p>
              </w:tc>
              <w:tc>
                <w:tcPr>
                  <w:tcW w:w="700" w:type="pct"/>
                  <w:vMerge w:val="restart"/>
                  <w:tcBorders>
                    <w:tl2br w:val="nil"/>
                    <w:tr2bl w:val="nil"/>
                  </w:tcBorders>
                  <w:vAlign w:val="center"/>
                </w:tcPr>
                <w:p w14:paraId="16B522A4">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一般固废</w:t>
                  </w:r>
                </w:p>
              </w:tc>
              <w:tc>
                <w:tcPr>
                  <w:tcW w:w="736" w:type="pct"/>
                  <w:tcBorders>
                    <w:tl2br w:val="nil"/>
                    <w:tr2bl w:val="nil"/>
                  </w:tcBorders>
                  <w:vAlign w:val="center"/>
                </w:tcPr>
                <w:p w14:paraId="38C357E8">
                  <w:pPr>
                    <w:spacing w:line="260" w:lineRule="exact"/>
                    <w:jc w:val="center"/>
                    <w:rPr>
                      <w:rFonts w:hint="default" w:ascii="Times New Roman" w:hAnsi="Times New Roman" w:eastAsia="宋体" w:cs="Times New Roman"/>
                      <w:color w:val="auto"/>
                      <w:kern w:val="2"/>
                      <w:sz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982" w:type="pct"/>
                  <w:vMerge w:val="restart"/>
                  <w:tcBorders>
                    <w:tl2br w:val="nil"/>
                    <w:tr2bl w:val="nil"/>
                  </w:tcBorders>
                  <w:vAlign w:val="center"/>
                </w:tcPr>
                <w:p w14:paraId="42A23AD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外售综合利用</w:t>
                  </w:r>
                </w:p>
              </w:tc>
            </w:tr>
            <w:tr w14:paraId="519A1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22CC60F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焊渣</w:t>
                  </w:r>
                </w:p>
              </w:tc>
              <w:tc>
                <w:tcPr>
                  <w:tcW w:w="510" w:type="pct"/>
                  <w:tcBorders>
                    <w:tl2br w:val="nil"/>
                    <w:tr2bl w:val="nil"/>
                  </w:tcBorders>
                  <w:vAlign w:val="center"/>
                </w:tcPr>
                <w:p w14:paraId="6CE1952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168E6F84">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SW17</w:t>
                  </w:r>
                </w:p>
                <w:p w14:paraId="70C67C9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rPr>
                    <w:t>900-099-S17</w:t>
                  </w:r>
                </w:p>
              </w:tc>
              <w:tc>
                <w:tcPr>
                  <w:tcW w:w="700" w:type="pct"/>
                  <w:vMerge w:val="continue"/>
                  <w:tcBorders>
                    <w:tl2br w:val="nil"/>
                    <w:tr2bl w:val="nil"/>
                  </w:tcBorders>
                  <w:vAlign w:val="center"/>
                </w:tcPr>
                <w:p w14:paraId="3A27F1D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eastAsia="zh-CN"/>
                    </w:rPr>
                  </w:pPr>
                </w:p>
              </w:tc>
              <w:tc>
                <w:tcPr>
                  <w:tcW w:w="736" w:type="pct"/>
                  <w:tcBorders>
                    <w:tl2br w:val="nil"/>
                    <w:tr2bl w:val="nil"/>
                  </w:tcBorders>
                  <w:vAlign w:val="center"/>
                </w:tcPr>
                <w:p w14:paraId="3B53076C">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highlight w:val="none"/>
                      <w:lang w:val="en-US" w:eastAsia="zh-CN"/>
                    </w:rPr>
                    <w:t>0.05</w:t>
                  </w:r>
                </w:p>
              </w:tc>
              <w:tc>
                <w:tcPr>
                  <w:tcW w:w="982" w:type="pct"/>
                  <w:vMerge w:val="continue"/>
                  <w:tcBorders>
                    <w:tl2br w:val="nil"/>
                    <w:tr2bl w:val="nil"/>
                  </w:tcBorders>
                  <w:vAlign w:val="center"/>
                </w:tcPr>
                <w:p w14:paraId="631B652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r>
            <w:tr w14:paraId="3B8E65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453755D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收尘</w:t>
                  </w:r>
                </w:p>
              </w:tc>
              <w:tc>
                <w:tcPr>
                  <w:tcW w:w="510" w:type="pct"/>
                  <w:tcBorders>
                    <w:tl2br w:val="nil"/>
                    <w:tr2bl w:val="nil"/>
                  </w:tcBorders>
                  <w:vAlign w:val="center"/>
                </w:tcPr>
                <w:p w14:paraId="574564C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45FA0035">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SW17</w:t>
                  </w:r>
                </w:p>
                <w:p w14:paraId="462BF5F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 w:val="21"/>
                      <w:szCs w:val="21"/>
                      <w:lang w:val="en-US" w:eastAsia="zh-CN"/>
                    </w:rPr>
                    <w:t>900-001-S17</w:t>
                  </w:r>
                </w:p>
              </w:tc>
              <w:tc>
                <w:tcPr>
                  <w:tcW w:w="700" w:type="pct"/>
                  <w:vMerge w:val="continue"/>
                  <w:tcBorders>
                    <w:tl2br w:val="nil"/>
                    <w:tr2bl w:val="nil"/>
                  </w:tcBorders>
                  <w:vAlign w:val="center"/>
                </w:tcPr>
                <w:p w14:paraId="40BA4C2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yellow"/>
                    </w:rPr>
                  </w:pPr>
                </w:p>
              </w:tc>
              <w:tc>
                <w:tcPr>
                  <w:tcW w:w="736" w:type="pct"/>
                  <w:tcBorders>
                    <w:tl2br w:val="nil"/>
                    <w:tr2bl w:val="nil"/>
                  </w:tcBorders>
                  <w:vAlign w:val="center"/>
                </w:tcPr>
                <w:p w14:paraId="69F3FA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highlight w:val="none"/>
                      <w:lang w:val="en-US" w:eastAsia="zh-CN"/>
                    </w:rPr>
                    <w:t>0.67</w:t>
                  </w:r>
                </w:p>
              </w:tc>
              <w:tc>
                <w:tcPr>
                  <w:tcW w:w="982" w:type="pct"/>
                  <w:vMerge w:val="continue"/>
                  <w:tcBorders>
                    <w:tl2br w:val="nil"/>
                    <w:tr2bl w:val="nil"/>
                  </w:tcBorders>
                  <w:vAlign w:val="center"/>
                </w:tcPr>
                <w:p w14:paraId="7E754F6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p>
              </w:tc>
            </w:tr>
            <w:tr w14:paraId="67ACBC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69BF6B8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食堂隔油池油渣</w:t>
                  </w:r>
                </w:p>
              </w:tc>
              <w:tc>
                <w:tcPr>
                  <w:tcW w:w="510" w:type="pct"/>
                  <w:tcBorders>
                    <w:tl2br w:val="nil"/>
                    <w:tr2bl w:val="nil"/>
                  </w:tcBorders>
                  <w:vAlign w:val="center"/>
                </w:tcPr>
                <w:p w14:paraId="0B271F6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47F95A4D">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SW61</w:t>
                  </w:r>
                </w:p>
                <w:p w14:paraId="31275BD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 w:val="21"/>
                      <w:szCs w:val="21"/>
                      <w:lang w:val="en-US" w:eastAsia="zh-CN"/>
                    </w:rPr>
                    <w:t>900-002-S61</w:t>
                  </w:r>
                </w:p>
              </w:tc>
              <w:tc>
                <w:tcPr>
                  <w:tcW w:w="700" w:type="pct"/>
                  <w:vMerge w:val="continue"/>
                  <w:tcBorders>
                    <w:tl2br w:val="nil"/>
                    <w:tr2bl w:val="nil"/>
                  </w:tcBorders>
                  <w:vAlign w:val="center"/>
                </w:tcPr>
                <w:p w14:paraId="7244F19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yellow"/>
                    </w:rPr>
                  </w:pPr>
                </w:p>
              </w:tc>
              <w:tc>
                <w:tcPr>
                  <w:tcW w:w="736" w:type="pct"/>
                  <w:tcBorders>
                    <w:tl2br w:val="nil"/>
                    <w:tr2bl w:val="nil"/>
                  </w:tcBorders>
                  <w:vAlign w:val="center"/>
                </w:tcPr>
                <w:p w14:paraId="7F3DD020">
                  <w:pPr>
                    <w:pStyle w:val="10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highlight w:val="none"/>
                      <w:lang w:val="en-US" w:eastAsia="zh-CN"/>
                    </w:rPr>
                    <w:t>0.036</w:t>
                  </w:r>
                </w:p>
              </w:tc>
              <w:tc>
                <w:tcPr>
                  <w:tcW w:w="982" w:type="pct"/>
                  <w:vMerge w:val="continue"/>
                  <w:tcBorders>
                    <w:tl2br w:val="nil"/>
                    <w:tr2bl w:val="nil"/>
                  </w:tcBorders>
                  <w:vAlign w:val="center"/>
                </w:tcPr>
                <w:p w14:paraId="4F4972B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p>
              </w:tc>
            </w:tr>
            <w:tr w14:paraId="7B240B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346C066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废劳保用品</w:t>
                  </w:r>
                </w:p>
              </w:tc>
              <w:tc>
                <w:tcPr>
                  <w:tcW w:w="510" w:type="pct"/>
                  <w:tcBorders>
                    <w:tl2br w:val="nil"/>
                    <w:tr2bl w:val="nil"/>
                  </w:tcBorders>
                  <w:vAlign w:val="center"/>
                </w:tcPr>
                <w:p w14:paraId="46008A3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71EFEF6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HW49</w:t>
                  </w:r>
                </w:p>
                <w:p w14:paraId="12FBC7A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900-0</w:t>
                  </w:r>
                  <w:r>
                    <w:rPr>
                      <w:rFonts w:hint="default" w:ascii="Times New Roman" w:hAnsi="Times New Roman" w:eastAsia="宋体" w:cs="Times New Roman"/>
                      <w:color w:val="auto"/>
                      <w:highlight w:val="none"/>
                      <w:lang w:val="en-US" w:eastAsia="zh-CN"/>
                    </w:rPr>
                    <w:t>41</w:t>
                  </w:r>
                  <w:r>
                    <w:rPr>
                      <w:rFonts w:hint="default" w:ascii="Times New Roman" w:hAnsi="Times New Roman" w:eastAsia="宋体" w:cs="Times New Roman"/>
                      <w:color w:val="auto"/>
                      <w:highlight w:val="none"/>
                    </w:rPr>
                    <w:t>-49</w:t>
                  </w:r>
                </w:p>
              </w:tc>
              <w:tc>
                <w:tcPr>
                  <w:tcW w:w="700" w:type="pct"/>
                  <w:vMerge w:val="restart"/>
                  <w:tcBorders>
                    <w:tl2br w:val="nil"/>
                    <w:tr2bl w:val="nil"/>
                  </w:tcBorders>
                  <w:vAlign w:val="center"/>
                </w:tcPr>
                <w:p w14:paraId="203248D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yellow"/>
                    </w:rPr>
                  </w:pPr>
                  <w:r>
                    <w:rPr>
                      <w:rFonts w:hint="default" w:ascii="Times New Roman" w:hAnsi="Times New Roman" w:eastAsia="宋体" w:cs="Times New Roman"/>
                      <w:color w:val="auto"/>
                    </w:rPr>
                    <w:t>危险</w:t>
                  </w:r>
                  <w:r>
                    <w:rPr>
                      <w:rFonts w:hint="default" w:ascii="Times New Roman" w:hAnsi="Times New Roman" w:eastAsia="宋体" w:cs="Times New Roman"/>
                      <w:color w:val="auto"/>
                      <w:lang w:val="en-US" w:eastAsia="zh-CN"/>
                    </w:rPr>
                    <w:t>废物</w:t>
                  </w:r>
                </w:p>
              </w:tc>
              <w:tc>
                <w:tcPr>
                  <w:tcW w:w="736" w:type="pct"/>
                  <w:tcBorders>
                    <w:tl2br w:val="nil"/>
                    <w:tr2bl w:val="nil"/>
                  </w:tcBorders>
                  <w:vAlign w:val="center"/>
                </w:tcPr>
                <w:p w14:paraId="59FF55A6">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1</w:t>
                  </w:r>
                </w:p>
              </w:tc>
              <w:tc>
                <w:tcPr>
                  <w:tcW w:w="982" w:type="pct"/>
                  <w:vMerge w:val="restart"/>
                  <w:tcBorders>
                    <w:tl2br w:val="nil"/>
                    <w:tr2bl w:val="nil"/>
                  </w:tcBorders>
                  <w:vAlign w:val="center"/>
                </w:tcPr>
                <w:p w14:paraId="6D48B94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highlight w:val="none"/>
                    </w:rPr>
                    <w:t>委托</w:t>
                  </w:r>
                  <w:r>
                    <w:rPr>
                      <w:rFonts w:hint="default" w:ascii="Times New Roman" w:hAnsi="Times New Roman" w:eastAsia="宋体" w:cs="Times New Roman"/>
                      <w:color w:val="auto"/>
                      <w:szCs w:val="21"/>
                      <w:highlight w:val="none"/>
                      <w:lang w:val="en-US" w:eastAsia="zh-CN"/>
                    </w:rPr>
                    <w:t>资质单位</w:t>
                  </w:r>
                  <w:r>
                    <w:rPr>
                      <w:rFonts w:hint="default" w:ascii="Times New Roman" w:hAnsi="Times New Roman" w:eastAsia="宋体" w:cs="Times New Roman"/>
                      <w:color w:val="auto"/>
                      <w:szCs w:val="21"/>
                      <w:highlight w:val="none"/>
                    </w:rPr>
                    <w:t>处置</w:t>
                  </w:r>
                </w:p>
              </w:tc>
            </w:tr>
            <w:tr w14:paraId="68F42E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299667F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废润滑油</w:t>
                  </w:r>
                </w:p>
              </w:tc>
              <w:tc>
                <w:tcPr>
                  <w:tcW w:w="510" w:type="pct"/>
                  <w:tcBorders>
                    <w:tl2br w:val="nil"/>
                    <w:tr2bl w:val="nil"/>
                  </w:tcBorders>
                  <w:vAlign w:val="center"/>
                </w:tcPr>
                <w:p w14:paraId="0728BA1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液态</w:t>
                  </w:r>
                </w:p>
              </w:tc>
              <w:tc>
                <w:tcPr>
                  <w:tcW w:w="795" w:type="pct"/>
                  <w:tcBorders>
                    <w:tl2br w:val="nil"/>
                    <w:tr2bl w:val="nil"/>
                  </w:tcBorders>
                  <w:vAlign w:val="center"/>
                </w:tcPr>
                <w:p w14:paraId="656B8ED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HW</w:t>
                  </w:r>
                  <w:r>
                    <w:rPr>
                      <w:rFonts w:hint="default" w:ascii="Times New Roman" w:hAnsi="Times New Roman" w:eastAsia="宋体" w:cs="Times New Roman"/>
                      <w:color w:val="auto"/>
                      <w:lang w:val="en-US" w:eastAsia="zh-CN"/>
                    </w:rPr>
                    <w:t>08</w:t>
                  </w:r>
                </w:p>
                <w:p w14:paraId="7729FF6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rPr>
                    <w:t>900-2</w:t>
                  </w:r>
                  <w:r>
                    <w:rPr>
                      <w:rFonts w:hint="default" w:ascii="Times New Roman" w:hAnsi="Times New Roman" w:eastAsia="宋体" w:cs="Times New Roman"/>
                      <w:color w:val="auto"/>
                      <w:szCs w:val="21"/>
                      <w:lang w:val="en-US" w:eastAsia="zh-CN"/>
                    </w:rPr>
                    <w:t>14</w:t>
                  </w:r>
                  <w:r>
                    <w:rPr>
                      <w:rFonts w:hint="default" w:ascii="Times New Roman" w:hAnsi="Times New Roman" w:eastAsia="宋体" w:cs="Times New Roman"/>
                      <w:color w:val="auto"/>
                      <w:szCs w:val="21"/>
                    </w:rPr>
                    <w:t>-08</w:t>
                  </w:r>
                </w:p>
              </w:tc>
              <w:tc>
                <w:tcPr>
                  <w:tcW w:w="700" w:type="pct"/>
                  <w:vMerge w:val="continue"/>
                  <w:tcBorders>
                    <w:tl2br w:val="nil"/>
                    <w:tr2bl w:val="nil"/>
                  </w:tcBorders>
                  <w:vAlign w:val="center"/>
                </w:tcPr>
                <w:p w14:paraId="3F9232A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yellow"/>
                    </w:rPr>
                  </w:pPr>
                </w:p>
              </w:tc>
              <w:tc>
                <w:tcPr>
                  <w:tcW w:w="736" w:type="pct"/>
                  <w:tcBorders>
                    <w:tl2br w:val="nil"/>
                    <w:tr2bl w:val="nil"/>
                  </w:tcBorders>
                  <w:vAlign w:val="center"/>
                </w:tcPr>
                <w:p w14:paraId="6A18262C">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lang w:val="en-US" w:eastAsia="zh-CN"/>
                    </w:rPr>
                    <w:t>0.3</w:t>
                  </w:r>
                </w:p>
              </w:tc>
              <w:tc>
                <w:tcPr>
                  <w:tcW w:w="982" w:type="pct"/>
                  <w:vMerge w:val="continue"/>
                  <w:tcBorders>
                    <w:tl2br w:val="nil"/>
                    <w:tr2bl w:val="nil"/>
                  </w:tcBorders>
                  <w:vAlign w:val="center"/>
                </w:tcPr>
                <w:p w14:paraId="1BFCC2F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p>
              </w:tc>
            </w:tr>
            <w:tr w14:paraId="03E260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469848B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废包装桶</w:t>
                  </w:r>
                </w:p>
              </w:tc>
              <w:tc>
                <w:tcPr>
                  <w:tcW w:w="510" w:type="pct"/>
                  <w:tcBorders>
                    <w:tl2br w:val="nil"/>
                    <w:tr2bl w:val="nil"/>
                  </w:tcBorders>
                  <w:vAlign w:val="center"/>
                </w:tcPr>
                <w:p w14:paraId="6C9200F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58E0CF2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HW49</w:t>
                  </w:r>
                </w:p>
                <w:p w14:paraId="618C571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900-0</w:t>
                  </w:r>
                  <w:r>
                    <w:rPr>
                      <w:rFonts w:hint="default" w:ascii="Times New Roman" w:hAnsi="Times New Roman" w:eastAsia="宋体" w:cs="Times New Roman"/>
                      <w:color w:val="auto"/>
                      <w:highlight w:val="none"/>
                      <w:lang w:val="en-US" w:eastAsia="zh-CN"/>
                    </w:rPr>
                    <w:t>41</w:t>
                  </w:r>
                  <w:r>
                    <w:rPr>
                      <w:rFonts w:hint="default" w:ascii="Times New Roman" w:hAnsi="Times New Roman" w:eastAsia="宋体" w:cs="Times New Roman"/>
                      <w:color w:val="auto"/>
                      <w:highlight w:val="none"/>
                    </w:rPr>
                    <w:t>-49</w:t>
                  </w:r>
                </w:p>
              </w:tc>
              <w:tc>
                <w:tcPr>
                  <w:tcW w:w="700" w:type="pct"/>
                  <w:vMerge w:val="continue"/>
                  <w:tcBorders>
                    <w:tl2br w:val="nil"/>
                    <w:tr2bl w:val="nil"/>
                  </w:tcBorders>
                  <w:vAlign w:val="center"/>
                </w:tcPr>
                <w:p w14:paraId="5B53AEE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highlight w:val="yellow"/>
                    </w:rPr>
                  </w:pPr>
                </w:p>
              </w:tc>
              <w:tc>
                <w:tcPr>
                  <w:tcW w:w="736" w:type="pct"/>
                  <w:tcBorders>
                    <w:tl2br w:val="nil"/>
                    <w:tr2bl w:val="nil"/>
                  </w:tcBorders>
                  <w:vAlign w:val="center"/>
                </w:tcPr>
                <w:p w14:paraId="11348C35">
                  <w:pPr>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lang w:val="en-US" w:eastAsia="zh-CN"/>
                    </w:rPr>
                    <w:t>0.1（9只）</w:t>
                  </w:r>
                </w:p>
              </w:tc>
              <w:tc>
                <w:tcPr>
                  <w:tcW w:w="982" w:type="pct"/>
                  <w:vMerge w:val="continue"/>
                  <w:tcBorders>
                    <w:tl2br w:val="nil"/>
                    <w:tr2bl w:val="nil"/>
                  </w:tcBorders>
                  <w:vAlign w:val="center"/>
                </w:tcPr>
                <w:p w14:paraId="5175C52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p>
              </w:tc>
            </w:tr>
            <w:tr w14:paraId="007E7F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79" w:type="dxa"/>
                  <w:bottom w:w="0" w:type="dxa"/>
                  <w:right w:w="79" w:type="dxa"/>
                </w:tblCellMar>
              </w:tblPrEx>
              <w:trPr>
                <w:trHeight w:val="340" w:hRule="atLeast"/>
                <w:jc w:val="center"/>
              </w:trPr>
              <w:tc>
                <w:tcPr>
                  <w:tcW w:w="1274" w:type="pct"/>
                  <w:tcBorders>
                    <w:tl2br w:val="nil"/>
                    <w:tr2bl w:val="nil"/>
                  </w:tcBorders>
                  <w:vAlign w:val="center"/>
                </w:tcPr>
                <w:p w14:paraId="798CE3F5">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生活垃圾</w:t>
                  </w:r>
                </w:p>
              </w:tc>
              <w:tc>
                <w:tcPr>
                  <w:tcW w:w="510" w:type="pct"/>
                  <w:tcBorders>
                    <w:tl2br w:val="nil"/>
                    <w:tr2bl w:val="nil"/>
                  </w:tcBorders>
                  <w:vAlign w:val="center"/>
                </w:tcPr>
                <w:p w14:paraId="476FC1B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固态</w:t>
                  </w:r>
                </w:p>
              </w:tc>
              <w:tc>
                <w:tcPr>
                  <w:tcW w:w="795" w:type="pct"/>
                  <w:tcBorders>
                    <w:tl2br w:val="nil"/>
                    <w:tr2bl w:val="nil"/>
                  </w:tcBorders>
                  <w:vAlign w:val="center"/>
                </w:tcPr>
                <w:p w14:paraId="491B40C8">
                  <w:pPr>
                    <w:adjustRightInd w:val="0"/>
                    <w:snapToGrid w:val="0"/>
                    <w:contextualSpacing/>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SW64</w:t>
                  </w:r>
                </w:p>
                <w:p w14:paraId="43C2DA5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lang w:val="en-US" w:eastAsia="zh-CN"/>
                    </w:rPr>
                    <w:t>900-099-S64</w:t>
                  </w:r>
                </w:p>
              </w:tc>
              <w:tc>
                <w:tcPr>
                  <w:tcW w:w="700" w:type="pct"/>
                  <w:tcBorders>
                    <w:tl2br w:val="nil"/>
                    <w:tr2bl w:val="nil"/>
                  </w:tcBorders>
                  <w:vAlign w:val="center"/>
                </w:tcPr>
                <w:p w14:paraId="680C624D">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生活垃圾</w:t>
                  </w:r>
                </w:p>
              </w:tc>
              <w:tc>
                <w:tcPr>
                  <w:tcW w:w="736" w:type="pct"/>
                  <w:tcBorders>
                    <w:tl2br w:val="nil"/>
                    <w:tr2bl w:val="nil"/>
                  </w:tcBorders>
                  <w:vAlign w:val="center"/>
                </w:tcPr>
                <w:p w14:paraId="4B1EF821">
                  <w:pPr>
                    <w:spacing w:line="260" w:lineRule="exact"/>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lang w:val="en-US" w:eastAsia="zh-CN"/>
                    </w:rPr>
                    <w:t>15</w:t>
                  </w:r>
                </w:p>
              </w:tc>
              <w:tc>
                <w:tcPr>
                  <w:tcW w:w="982" w:type="pct"/>
                  <w:tcBorders>
                    <w:tl2br w:val="nil"/>
                    <w:tr2bl w:val="nil"/>
                  </w:tcBorders>
                  <w:vAlign w:val="center"/>
                </w:tcPr>
                <w:p w14:paraId="6112CA1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环卫部门</w:t>
                  </w:r>
                </w:p>
              </w:tc>
            </w:tr>
          </w:tbl>
          <w:p w14:paraId="2727484D">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lang w:val="en-US" w:eastAsia="zh-CN"/>
              </w:rPr>
              <w:t>现有项目</w:t>
            </w:r>
            <w:r>
              <w:rPr>
                <w:rFonts w:hint="default" w:ascii="Times New Roman" w:hAnsi="Times New Roman" w:eastAsia="宋体" w:cs="Times New Roman"/>
                <w:b w:val="0"/>
                <w:bCs/>
                <w:color w:val="auto"/>
                <w:sz w:val="24"/>
              </w:rPr>
              <w:t>固体废物100%处置，零排放。</w:t>
            </w:r>
          </w:p>
          <w:p w14:paraId="067A5A10">
            <w:pPr>
              <w:keepNext w:val="0"/>
              <w:keepLines w:val="0"/>
              <w:pageBreakBefore w:val="0"/>
              <w:widowControl w:val="0"/>
              <w:kinsoku/>
              <w:wordWrap/>
              <w:overflowPunct/>
              <w:topLinePunct w:val="0"/>
              <w:autoSpaceDE/>
              <w:autoSpaceDN/>
              <w:bidi w:val="0"/>
              <w:adjustRightInd w:val="0"/>
              <w:snapToGrid w:val="0"/>
              <w:spacing w:line="360" w:lineRule="auto"/>
              <w:ind w:left="0" w:right="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9、现有</w:t>
            </w:r>
            <w:r>
              <w:rPr>
                <w:rFonts w:hint="default" w:ascii="Times New Roman" w:hAnsi="Times New Roman" w:eastAsia="宋体" w:cs="Times New Roman"/>
                <w:b/>
                <w:bCs/>
                <w:color w:val="auto"/>
                <w:sz w:val="24"/>
              </w:rPr>
              <w:t>项目</w:t>
            </w:r>
            <w:r>
              <w:rPr>
                <w:rFonts w:hint="default" w:ascii="Times New Roman" w:hAnsi="Times New Roman" w:eastAsia="宋体" w:cs="Times New Roman"/>
                <w:b/>
                <w:bCs/>
                <w:color w:val="auto"/>
                <w:sz w:val="24"/>
                <w:lang w:val="en-US" w:eastAsia="zh-CN"/>
              </w:rPr>
              <w:t>污染物</w:t>
            </w:r>
            <w:r>
              <w:rPr>
                <w:rFonts w:hint="default" w:ascii="Times New Roman" w:hAnsi="Times New Roman" w:eastAsia="宋体" w:cs="Times New Roman"/>
                <w:b/>
                <w:bCs/>
                <w:color w:val="auto"/>
                <w:sz w:val="24"/>
              </w:rPr>
              <w:t>排放情况</w:t>
            </w:r>
          </w:p>
          <w:p w14:paraId="2DAA68EC">
            <w:pPr>
              <w:keepNext w:val="0"/>
              <w:keepLines w:val="0"/>
              <w:pageBreakBefore w:val="0"/>
              <w:widowControl w:val="0"/>
              <w:kinsoku/>
              <w:wordWrap/>
              <w:overflowPunct/>
              <w:topLinePunct w:val="0"/>
              <w:autoSpaceDE/>
              <w:autoSpaceDN/>
              <w:bidi w:val="0"/>
              <w:adjustRightInd w:val="0"/>
              <w:snapToGrid w:val="0"/>
              <w:spacing w:before="95" w:beforeLines="30" w:line="240" w:lineRule="auto"/>
              <w:ind w:left="0" w:right="0"/>
              <w:jc w:val="center"/>
              <w:textAlignment w:val="auto"/>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表2-18 现有项目污染物排放情况一览表（t/a）</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1123"/>
              <w:gridCol w:w="2421"/>
              <w:gridCol w:w="2175"/>
              <w:gridCol w:w="1895"/>
            </w:tblGrid>
            <w:tr w14:paraId="096FF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Align w:val="center"/>
                </w:tcPr>
                <w:p w14:paraId="2E62F1F5">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种类</w:t>
                  </w:r>
                </w:p>
              </w:tc>
              <w:tc>
                <w:tcPr>
                  <w:tcW w:w="1442" w:type="pct"/>
                  <w:vAlign w:val="center"/>
                </w:tcPr>
                <w:p w14:paraId="04BA2DE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污染物名称</w:t>
                  </w:r>
                </w:p>
              </w:tc>
              <w:tc>
                <w:tcPr>
                  <w:tcW w:w="1295" w:type="pct"/>
                  <w:vAlign w:val="center"/>
                </w:tcPr>
                <w:p w14:paraId="2FB2D2D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highlight w:val="none"/>
                    </w:rPr>
                    <w:t>环评</w:t>
                  </w:r>
                  <w:r>
                    <w:rPr>
                      <w:rFonts w:hint="default" w:ascii="Times New Roman" w:hAnsi="Times New Roman" w:eastAsia="宋体" w:cs="Times New Roman"/>
                      <w:b/>
                      <w:color w:val="auto"/>
                      <w:szCs w:val="21"/>
                      <w:highlight w:val="none"/>
                      <w:lang w:val="en-US" w:eastAsia="zh-CN"/>
                    </w:rPr>
                    <w:t>批复</w:t>
                  </w:r>
                  <w:r>
                    <w:rPr>
                      <w:rFonts w:hint="default" w:ascii="Times New Roman" w:hAnsi="Times New Roman" w:eastAsia="宋体" w:cs="Times New Roman"/>
                      <w:b/>
                      <w:color w:val="auto"/>
                      <w:szCs w:val="21"/>
                      <w:highlight w:val="none"/>
                    </w:rPr>
                    <w:t>量</w:t>
                  </w:r>
                </w:p>
              </w:tc>
              <w:tc>
                <w:tcPr>
                  <w:tcW w:w="1128" w:type="pct"/>
                  <w:vAlign w:val="center"/>
                </w:tcPr>
                <w:p w14:paraId="04F2D8E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lang w:val="en-US" w:eastAsia="zh-CN"/>
                    </w:rPr>
                    <w:t>实际排放量</w:t>
                  </w:r>
                </w:p>
              </w:tc>
            </w:tr>
            <w:tr w14:paraId="6A29E4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Merge w:val="restart"/>
                  <w:vAlign w:val="center"/>
                </w:tcPr>
                <w:p w14:paraId="6CCE8CBF">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w:t>
                  </w:r>
                </w:p>
              </w:tc>
              <w:tc>
                <w:tcPr>
                  <w:tcW w:w="1442" w:type="pct"/>
                  <w:vAlign w:val="center"/>
                </w:tcPr>
                <w:p w14:paraId="17665E6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水量</w:t>
                  </w:r>
                </w:p>
              </w:tc>
              <w:tc>
                <w:tcPr>
                  <w:tcW w:w="1295" w:type="pct"/>
                  <w:vAlign w:val="center"/>
                </w:tcPr>
                <w:p w14:paraId="46E2E9F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1128" w:type="pct"/>
                  <w:vAlign w:val="center"/>
                </w:tcPr>
                <w:p w14:paraId="27F015B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1200</w:t>
                  </w:r>
                </w:p>
              </w:tc>
            </w:tr>
            <w:tr w14:paraId="029840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Merge w:val="continue"/>
                  <w:vAlign w:val="center"/>
                </w:tcPr>
                <w:p w14:paraId="11D4D0B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421" w:type="dxa"/>
                  <w:vAlign w:val="center"/>
                </w:tcPr>
                <w:p w14:paraId="5931391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COD</w:t>
                  </w:r>
                </w:p>
              </w:tc>
              <w:tc>
                <w:tcPr>
                  <w:tcW w:w="2175" w:type="dxa"/>
                  <w:vAlign w:val="bottom"/>
                </w:tcPr>
                <w:p w14:paraId="6835404E">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0.48</w:t>
                  </w:r>
                </w:p>
              </w:tc>
              <w:tc>
                <w:tcPr>
                  <w:tcW w:w="1128" w:type="pct"/>
                  <w:vAlign w:val="center"/>
                </w:tcPr>
                <w:p w14:paraId="494957A6">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0.3606</w:t>
                  </w:r>
                </w:p>
              </w:tc>
            </w:tr>
            <w:tr w14:paraId="4BAF12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Merge w:val="continue"/>
                  <w:vAlign w:val="center"/>
                </w:tcPr>
                <w:p w14:paraId="22DC324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421" w:type="dxa"/>
                  <w:vAlign w:val="center"/>
                </w:tcPr>
                <w:p w14:paraId="4158E2B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SS</w:t>
                  </w:r>
                </w:p>
              </w:tc>
              <w:tc>
                <w:tcPr>
                  <w:tcW w:w="2175" w:type="dxa"/>
                  <w:vAlign w:val="bottom"/>
                </w:tcPr>
                <w:p w14:paraId="583584B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0.30</w:t>
                  </w:r>
                </w:p>
              </w:tc>
              <w:tc>
                <w:tcPr>
                  <w:tcW w:w="1128" w:type="pct"/>
                  <w:vAlign w:val="center"/>
                </w:tcPr>
                <w:p w14:paraId="0AADC3A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0.243</w:t>
                  </w:r>
                </w:p>
              </w:tc>
            </w:tr>
            <w:tr w14:paraId="4D3C3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1133" w:type="pct"/>
                  <w:gridSpan w:val="2"/>
                  <w:vMerge w:val="continue"/>
                  <w:vAlign w:val="center"/>
                </w:tcPr>
                <w:p w14:paraId="02E5310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421" w:type="dxa"/>
                  <w:vAlign w:val="center"/>
                </w:tcPr>
                <w:p w14:paraId="1B4F8D7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w:t>
                  </w:r>
                </w:p>
              </w:tc>
              <w:tc>
                <w:tcPr>
                  <w:tcW w:w="2175" w:type="dxa"/>
                  <w:vAlign w:val="bottom"/>
                </w:tcPr>
                <w:p w14:paraId="15B7F15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0.042</w:t>
                  </w:r>
                </w:p>
              </w:tc>
              <w:tc>
                <w:tcPr>
                  <w:tcW w:w="1128" w:type="pct"/>
                  <w:vAlign w:val="center"/>
                </w:tcPr>
                <w:p w14:paraId="492F835C">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0.0333</w:t>
                  </w:r>
                </w:p>
              </w:tc>
            </w:tr>
            <w:tr w14:paraId="41BF8C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Merge w:val="continue"/>
                  <w:vAlign w:val="center"/>
                </w:tcPr>
                <w:p w14:paraId="43932692">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421" w:type="dxa"/>
                  <w:vAlign w:val="center"/>
                </w:tcPr>
                <w:p w14:paraId="0092C067">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TP</w:t>
                  </w:r>
                </w:p>
              </w:tc>
              <w:tc>
                <w:tcPr>
                  <w:tcW w:w="2175" w:type="dxa"/>
                  <w:vAlign w:val="bottom"/>
                </w:tcPr>
                <w:p w14:paraId="63830A49">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0.004</w:t>
                  </w:r>
                </w:p>
              </w:tc>
              <w:tc>
                <w:tcPr>
                  <w:tcW w:w="1128" w:type="pct"/>
                  <w:vAlign w:val="center"/>
                </w:tcPr>
                <w:p w14:paraId="28D67211">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0.003</w:t>
                  </w:r>
                </w:p>
              </w:tc>
            </w:tr>
            <w:tr w14:paraId="29562B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3" w:type="pct"/>
                  <w:gridSpan w:val="2"/>
                  <w:vMerge w:val="continue"/>
                  <w:vAlign w:val="center"/>
                </w:tcPr>
                <w:p w14:paraId="4C1E4AB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p>
              </w:tc>
              <w:tc>
                <w:tcPr>
                  <w:tcW w:w="2421" w:type="dxa"/>
                  <w:vAlign w:val="center"/>
                </w:tcPr>
                <w:p w14:paraId="38162F1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动植物油</w:t>
                  </w:r>
                </w:p>
              </w:tc>
              <w:tc>
                <w:tcPr>
                  <w:tcW w:w="2175" w:type="dxa"/>
                  <w:vAlign w:val="bottom"/>
                </w:tcPr>
                <w:p w14:paraId="361BEABB">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0.072</w:t>
                  </w:r>
                </w:p>
              </w:tc>
              <w:tc>
                <w:tcPr>
                  <w:tcW w:w="1128" w:type="pct"/>
                  <w:vAlign w:val="center"/>
                </w:tcPr>
                <w:p w14:paraId="05A0E293">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0.0054</w:t>
                  </w:r>
                </w:p>
              </w:tc>
            </w:tr>
            <w:tr w14:paraId="20DEE5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vMerge w:val="restart"/>
                  <w:vAlign w:val="center"/>
                </w:tcPr>
                <w:p w14:paraId="018409C4">
                  <w:pPr>
                    <w:keepNext w:val="0"/>
                    <w:keepLines w:val="0"/>
                    <w:pageBreakBefore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废气</w:t>
                  </w:r>
                </w:p>
              </w:tc>
              <w:tc>
                <w:tcPr>
                  <w:tcW w:w="669" w:type="pct"/>
                  <w:vAlign w:val="center"/>
                </w:tcPr>
                <w:p w14:paraId="5A020E81">
                  <w:pPr>
                    <w:keepNext w:val="0"/>
                    <w:keepLines w:val="0"/>
                    <w:pageBreakBefore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有组织</w:t>
                  </w:r>
                </w:p>
              </w:tc>
              <w:tc>
                <w:tcPr>
                  <w:tcW w:w="1442" w:type="pct"/>
                  <w:vAlign w:val="center"/>
                </w:tcPr>
                <w:p w14:paraId="46754DF8">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食堂油烟</w:t>
                  </w:r>
                </w:p>
              </w:tc>
              <w:tc>
                <w:tcPr>
                  <w:tcW w:w="1295" w:type="pct"/>
                  <w:vAlign w:val="center"/>
                </w:tcPr>
                <w:p w14:paraId="65A5729A">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0.004</w:t>
                  </w:r>
                </w:p>
              </w:tc>
              <w:tc>
                <w:tcPr>
                  <w:tcW w:w="1128" w:type="pct"/>
                  <w:vAlign w:val="center"/>
                </w:tcPr>
                <w:p w14:paraId="292900E0">
                  <w:pPr>
                    <w:keepNext w:val="0"/>
                    <w:keepLines w:val="0"/>
                    <w:pageBreakBefore w:val="0"/>
                    <w:kinsoku/>
                    <w:wordWrap/>
                    <w:overflowPunct/>
                    <w:topLinePunct w:val="0"/>
                    <w:bidi w:val="0"/>
                    <w:adjustRightInd w:val="0"/>
                    <w:snapToGrid w:val="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0.0012</w:t>
                  </w:r>
                </w:p>
              </w:tc>
            </w:tr>
            <w:tr w14:paraId="3962D5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4" w:type="pct"/>
                  <w:vMerge w:val="continue"/>
                  <w:vAlign w:val="center"/>
                </w:tcPr>
                <w:p w14:paraId="368D516F">
                  <w:pPr>
                    <w:keepNext w:val="0"/>
                    <w:keepLines w:val="0"/>
                    <w:pageBreakBefore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Cs w:val="21"/>
                    </w:rPr>
                  </w:pPr>
                </w:p>
              </w:tc>
              <w:tc>
                <w:tcPr>
                  <w:tcW w:w="669" w:type="pct"/>
                  <w:vAlign w:val="center"/>
                </w:tcPr>
                <w:p w14:paraId="2A6F373A">
                  <w:pPr>
                    <w:keepNext w:val="0"/>
                    <w:keepLines w:val="0"/>
                    <w:pageBreakBefore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无组织</w:t>
                  </w:r>
                </w:p>
              </w:tc>
              <w:tc>
                <w:tcPr>
                  <w:tcW w:w="1442" w:type="pct"/>
                  <w:vAlign w:val="center"/>
                </w:tcPr>
                <w:p w14:paraId="0655596F">
                  <w:pPr>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kern w:val="0"/>
                      <w:szCs w:val="21"/>
                      <w:lang w:eastAsia="zh-CN"/>
                    </w:rPr>
                  </w:pPr>
                  <w:r>
                    <w:rPr>
                      <w:rFonts w:hint="default" w:ascii="Times New Roman" w:hAnsi="Times New Roman" w:eastAsia="宋体" w:cs="Times New Roman"/>
                      <w:color w:val="auto"/>
                      <w:kern w:val="0"/>
                      <w:szCs w:val="21"/>
                      <w:lang w:val="en-US" w:eastAsia="zh-CN"/>
                    </w:rPr>
                    <w:t>颗粒物</w:t>
                  </w:r>
                </w:p>
              </w:tc>
              <w:tc>
                <w:tcPr>
                  <w:tcW w:w="1295" w:type="pct"/>
                  <w:vAlign w:val="center"/>
                </w:tcPr>
                <w:p w14:paraId="33CA2C7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szCs w:val="21"/>
                      <w:highlight w:val="none"/>
                      <w:lang w:val="en-US" w:eastAsia="zh-CN"/>
                    </w:rPr>
                    <w:t>0.09</w:t>
                  </w:r>
                </w:p>
              </w:tc>
              <w:tc>
                <w:tcPr>
                  <w:tcW w:w="1128" w:type="pct"/>
                  <w:vAlign w:val="center"/>
                </w:tcPr>
                <w:p w14:paraId="6F33F30C">
                  <w:pPr>
                    <w:keepNext w:val="0"/>
                    <w:keepLines w:val="0"/>
                    <w:pageBreakBefore w:val="0"/>
                    <w:widowControl/>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r>
          </w:tbl>
          <w:p w14:paraId="1D92D4AF">
            <w:pPr>
              <w:keepNext w:val="0"/>
              <w:keepLines w:val="0"/>
              <w:pageBreakBefore w:val="0"/>
              <w:kinsoku/>
              <w:wordWrap/>
              <w:overflowPunct/>
              <w:topLinePunct w:val="0"/>
              <w:autoSpaceDE/>
              <w:autoSpaceDN/>
              <w:bidi w:val="0"/>
              <w:adjustRightInd w:val="0"/>
              <w:snapToGrid w:val="0"/>
              <w:spacing w:line="240" w:lineRule="auto"/>
              <w:ind w:left="0" w:right="0"/>
              <w:textAlignment w:val="auto"/>
              <w:rPr>
                <w:rFonts w:hint="default" w:ascii="Times New Roman" w:hAnsi="Times New Roman" w:eastAsia="宋体" w:cs="Times New Roman"/>
                <w:b w:val="0"/>
                <w:bCs w:val="0"/>
                <w:color w:val="auto"/>
                <w:sz w:val="21"/>
                <w:szCs w:val="21"/>
                <w:lang w:val="en-US" w:eastAsia="zh-CN"/>
              </w:rPr>
            </w:pPr>
          </w:p>
          <w:p w14:paraId="05460563">
            <w:pPr>
              <w:keepNext w:val="0"/>
              <w:keepLines w:val="0"/>
              <w:pageBreakBefore w:val="0"/>
              <w:widowControl w:val="0"/>
              <w:kinsoku/>
              <w:wordWrap/>
              <w:overflowPunct/>
              <w:topLinePunct w:val="0"/>
              <w:autoSpaceDE/>
              <w:autoSpaceDN/>
              <w:bidi w:val="0"/>
              <w:adjustRightInd w:val="0"/>
              <w:snapToGrid w:val="0"/>
              <w:spacing w:line="360" w:lineRule="auto"/>
              <w:ind w:left="0" w:right="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二</w:t>
            </w:r>
            <w:r>
              <w:rPr>
                <w:rFonts w:hint="default" w:ascii="Times New Roman" w:hAnsi="Times New Roman" w:eastAsia="宋体" w:cs="Times New Roman"/>
                <w:b/>
                <w:bCs/>
                <w:color w:val="auto"/>
                <w:sz w:val="24"/>
              </w:rPr>
              <w:t>、现有项目存在的主要问题及</w:t>
            </w:r>
            <w:r>
              <w:rPr>
                <w:rFonts w:hint="default" w:ascii="Times New Roman" w:hAnsi="Times New Roman" w:eastAsia="宋体" w:cs="Times New Roman"/>
                <w:b/>
                <w:color w:val="auto"/>
                <w:sz w:val="24"/>
                <w:lang w:val="en-US" w:eastAsia="zh-CN"/>
              </w:rPr>
              <w:t>整改</w:t>
            </w:r>
            <w:r>
              <w:rPr>
                <w:rFonts w:hint="default" w:ascii="Times New Roman" w:hAnsi="Times New Roman" w:eastAsia="宋体" w:cs="Times New Roman"/>
                <w:b/>
                <w:color w:val="auto"/>
                <w:sz w:val="24"/>
              </w:rPr>
              <w:t>措施</w:t>
            </w:r>
          </w:p>
          <w:p w14:paraId="73CCBCE8">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b w:val="0"/>
                <w:bCs w:val="0"/>
                <w:color w:val="auto"/>
                <w:sz w:val="24"/>
                <w:lang w:val="en-US" w:eastAsia="zh-CN"/>
              </w:rPr>
            </w:pPr>
            <w:r>
              <w:rPr>
                <w:rFonts w:hint="default" w:ascii="Times New Roman" w:hAnsi="Times New Roman" w:eastAsia="宋体" w:cs="Times New Roman"/>
                <w:b w:val="0"/>
                <w:bCs/>
                <w:color w:val="auto"/>
                <w:sz w:val="24"/>
                <w:lang w:val="en-US" w:eastAsia="zh-CN"/>
              </w:rPr>
              <w:t>1、</w:t>
            </w:r>
            <w:r>
              <w:rPr>
                <w:rFonts w:hint="default" w:ascii="Times New Roman" w:hAnsi="Times New Roman" w:eastAsia="宋体" w:cs="Times New Roman"/>
                <w:b w:val="0"/>
                <w:bCs w:val="0"/>
                <w:color w:val="auto"/>
                <w:sz w:val="24"/>
              </w:rPr>
              <w:t>现有项目存在的主要问题</w:t>
            </w:r>
          </w:p>
          <w:p w14:paraId="51DA90B4">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（1）现有项目危废库标识标牌未根据《危险废物识别标志设置技术规范》（HJ 1276-2022）中要求进行更新。</w:t>
            </w:r>
          </w:p>
          <w:p w14:paraId="1EF9354B">
            <w:pPr>
              <w:pStyle w:val="104"/>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（2）现有项目未设置事故应急池，未定期开展突发环境事故应急演练。</w:t>
            </w:r>
          </w:p>
          <w:p w14:paraId="71E63362">
            <w:pPr>
              <w:pStyle w:val="7"/>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整改措施</w:t>
            </w:r>
          </w:p>
          <w:p w14:paraId="3709D89A">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 xml:space="preserve">   （1）危废库标识标牌根据《危险废物识别标志设置技术规范》（HJ 1276-2022）中要求进行更新。</w:t>
            </w:r>
          </w:p>
          <w:p w14:paraId="748835B9">
            <w:pPr>
              <w:pStyle w:val="104"/>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（2）新建事故应急池，定期开展突发环境事故应急演练。</w:t>
            </w:r>
          </w:p>
          <w:p w14:paraId="164A580B">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textAlignment w:val="auto"/>
              <w:rPr>
                <w:rFonts w:hint="default" w:ascii="Times New Roman" w:hAnsi="Times New Roman" w:eastAsia="宋体" w:cs="Times New Roman"/>
                <w:color w:val="auto"/>
                <w:sz w:val="24"/>
                <w:szCs w:val="24"/>
                <w:lang w:val="en-US" w:eastAsia="zh-CN"/>
              </w:rPr>
            </w:pPr>
          </w:p>
          <w:p w14:paraId="61B20751">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textAlignment w:val="auto"/>
              <w:rPr>
                <w:rFonts w:hint="default" w:ascii="Times New Roman" w:hAnsi="Times New Roman" w:eastAsia="宋体" w:cs="Times New Roman"/>
                <w:b w:val="0"/>
                <w:bCs/>
                <w:color w:val="auto"/>
                <w:sz w:val="24"/>
                <w:lang w:val="en-US" w:eastAsia="zh-CN"/>
              </w:rPr>
            </w:pPr>
          </w:p>
          <w:p w14:paraId="04E4CE21">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textAlignment w:val="auto"/>
              <w:rPr>
                <w:rFonts w:hint="default" w:ascii="Times New Roman" w:hAnsi="Times New Roman" w:eastAsia="宋体" w:cs="Times New Roman"/>
                <w:b w:val="0"/>
                <w:bCs/>
                <w:color w:val="auto"/>
                <w:sz w:val="24"/>
                <w:lang w:val="en-US" w:eastAsia="zh-CN"/>
              </w:rPr>
            </w:pPr>
          </w:p>
        </w:tc>
      </w:tr>
    </w:tbl>
    <w:p w14:paraId="434F5172">
      <w:pPr>
        <w:pStyle w:val="22"/>
        <w:keepNext w:val="0"/>
        <w:keepLines w:val="0"/>
        <w:pageBreakBefore/>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宋体" w:cs="Times New Roman"/>
          <w:b/>
          <w:bCs/>
          <w:snapToGrid w:val="0"/>
          <w:color w:val="auto"/>
          <w:sz w:val="30"/>
          <w:szCs w:val="30"/>
        </w:rPr>
      </w:pPr>
      <w:bookmarkStart w:id="3" w:name="_Toc17832"/>
      <w:r>
        <w:rPr>
          <w:rFonts w:hint="default" w:ascii="Times New Roman" w:hAnsi="Times New Roman" w:eastAsia="宋体" w:cs="Times New Roman"/>
          <w:b/>
          <w:bCs/>
          <w:snapToGrid w:val="0"/>
          <w:color w:val="auto"/>
          <w:sz w:val="30"/>
          <w:szCs w:val="30"/>
        </w:rPr>
        <w:t>三、区域环境质量现状、环境保护目标及评价标准</w:t>
      </w:r>
      <w:bookmarkEnd w:id="3"/>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8228"/>
      </w:tblGrid>
      <w:tr w14:paraId="2150E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2" w:type="dxa"/>
            <w:vAlign w:val="center"/>
          </w:tcPr>
          <w:p w14:paraId="1CDA4DFB">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区域</w:t>
            </w:r>
          </w:p>
          <w:p w14:paraId="08336CBD">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w:t>
            </w:r>
          </w:p>
          <w:p w14:paraId="7B6D0F9A">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质量</w:t>
            </w:r>
          </w:p>
          <w:p w14:paraId="549D9B1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现状</w:t>
            </w:r>
          </w:p>
        </w:tc>
        <w:tc>
          <w:tcPr>
            <w:tcW w:w="8228" w:type="dxa"/>
            <w:vAlign w:val="center"/>
          </w:tcPr>
          <w:p w14:paraId="13F4FE3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1、环境空气质量现状</w:t>
            </w:r>
          </w:p>
          <w:p w14:paraId="283D199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（1）区域达标判定</w:t>
            </w:r>
          </w:p>
          <w:p w14:paraId="098528E0">
            <w:pPr>
              <w:snapToGrid w:val="0"/>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根据《</w:t>
            </w:r>
            <w:r>
              <w:rPr>
                <w:rFonts w:hint="default" w:ascii="Times New Roman" w:hAnsi="Times New Roman" w:eastAsia="宋体" w:cs="Times New Roman"/>
                <w:bCs/>
                <w:color w:val="auto"/>
                <w:sz w:val="24"/>
                <w:lang w:eastAsia="zh-CN"/>
              </w:rPr>
              <w:t>2023年常州市生态环境状况公报</w:t>
            </w:r>
            <w:r>
              <w:rPr>
                <w:rFonts w:hint="default" w:ascii="Times New Roman" w:hAnsi="Times New Roman" w:eastAsia="宋体" w:cs="Times New Roman"/>
                <w:color w:val="auto"/>
                <w:sz w:val="24"/>
              </w:rPr>
              <w:t>》中相关内容，常州市环境质量现状见下表。</w:t>
            </w:r>
          </w:p>
          <w:p w14:paraId="2F8B8AE6">
            <w:pPr>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 xml:space="preserve">表3-1 </w:t>
            </w:r>
            <w:r>
              <w:rPr>
                <w:rFonts w:hint="default" w:ascii="Times New Roman" w:hAnsi="Times New Roman" w:eastAsia="宋体" w:cs="Times New Roman"/>
                <w:b/>
                <w:bCs/>
                <w:color w:val="auto"/>
                <w:szCs w:val="21"/>
              </w:rPr>
              <w:t xml:space="preserve">项目所在区域大气环境质量现状评价表  </w:t>
            </w:r>
            <w:r>
              <w:rPr>
                <w:rFonts w:hint="default" w:ascii="Times New Roman" w:hAnsi="Times New Roman" w:eastAsia="宋体" w:cs="Times New Roman"/>
                <w:b/>
                <w:color w:val="auto"/>
                <w:szCs w:val="21"/>
              </w:rPr>
              <w:t>单位：μg/m</w:t>
            </w:r>
            <w:r>
              <w:rPr>
                <w:rFonts w:hint="default" w:ascii="Times New Roman" w:hAnsi="Times New Roman" w:eastAsia="宋体" w:cs="Times New Roman"/>
                <w:b/>
                <w:color w:val="auto"/>
                <w:szCs w:val="21"/>
                <w:vertAlign w:val="superscript"/>
              </w:rPr>
              <w:t>3</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99"/>
              <w:gridCol w:w="2111"/>
              <w:gridCol w:w="1322"/>
              <w:gridCol w:w="1576"/>
              <w:gridCol w:w="968"/>
              <w:gridCol w:w="1136"/>
            </w:tblGrid>
            <w:tr w14:paraId="1DAEA653">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tcBorders>
                    <w:tl2br w:val="nil"/>
                    <w:tr2bl w:val="nil"/>
                  </w:tcBorders>
                  <w:noWrap w:val="0"/>
                  <w:vAlign w:val="center"/>
                </w:tcPr>
                <w:p w14:paraId="6FB8D5A0">
                  <w:pPr>
                    <w:adjustRightInd w:val="0"/>
                    <w:snapToGrid w:val="0"/>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污染物</w:t>
                  </w:r>
                </w:p>
              </w:tc>
              <w:tc>
                <w:tcPr>
                  <w:tcW w:w="1317" w:type="pct"/>
                  <w:tcBorders>
                    <w:tl2br w:val="nil"/>
                    <w:tr2bl w:val="nil"/>
                  </w:tcBorders>
                  <w:noWrap w:val="0"/>
                  <w:vAlign w:val="center"/>
                </w:tcPr>
                <w:p w14:paraId="5A8198BA">
                  <w:pPr>
                    <w:adjustRightInd w:val="0"/>
                    <w:snapToGrid w:val="0"/>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年平均指标</w:t>
                  </w:r>
                </w:p>
              </w:tc>
              <w:tc>
                <w:tcPr>
                  <w:tcW w:w="825" w:type="pct"/>
                  <w:tcBorders>
                    <w:tl2br w:val="nil"/>
                    <w:tr2bl w:val="nil"/>
                  </w:tcBorders>
                  <w:noWrap w:val="0"/>
                  <w:vAlign w:val="center"/>
                </w:tcPr>
                <w:p w14:paraId="0C3182D0">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现状浓度μg/m</w:t>
                  </w:r>
                  <w:r>
                    <w:rPr>
                      <w:rFonts w:hint="default" w:ascii="Times New Roman" w:hAnsi="Times New Roman" w:eastAsia="宋体" w:cs="Times New Roman"/>
                      <w:b/>
                      <w:color w:val="auto"/>
                      <w:sz w:val="21"/>
                      <w:szCs w:val="21"/>
                      <w:highlight w:val="none"/>
                      <w:vertAlign w:val="superscript"/>
                    </w:rPr>
                    <w:t>3</w:t>
                  </w:r>
                </w:p>
              </w:tc>
              <w:tc>
                <w:tcPr>
                  <w:tcW w:w="983" w:type="pct"/>
                  <w:tcBorders>
                    <w:tl2br w:val="nil"/>
                    <w:tr2bl w:val="nil"/>
                  </w:tcBorders>
                  <w:noWrap w:val="0"/>
                  <w:vAlign w:val="center"/>
                </w:tcPr>
                <w:p w14:paraId="714F8AB8">
                  <w:pPr>
                    <w:adjustRightInd w:val="0"/>
                    <w:snapToGrid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标准限值μg/m</w:t>
                  </w:r>
                  <w:r>
                    <w:rPr>
                      <w:rFonts w:hint="default" w:ascii="Times New Roman" w:hAnsi="Times New Roman" w:eastAsia="宋体" w:cs="Times New Roman"/>
                      <w:b/>
                      <w:color w:val="auto"/>
                      <w:sz w:val="21"/>
                      <w:szCs w:val="21"/>
                      <w:highlight w:val="none"/>
                      <w:vertAlign w:val="superscript"/>
                    </w:rPr>
                    <w:t>3</w:t>
                  </w:r>
                </w:p>
              </w:tc>
              <w:tc>
                <w:tcPr>
                  <w:tcW w:w="604" w:type="pct"/>
                  <w:tcBorders>
                    <w:tl2br w:val="nil"/>
                    <w:tr2bl w:val="nil"/>
                  </w:tcBorders>
                  <w:noWrap w:val="0"/>
                  <w:vAlign w:val="center"/>
                </w:tcPr>
                <w:p w14:paraId="5E9A102A">
                  <w:pPr>
                    <w:adjustRightInd w:val="0"/>
                    <w:snapToGrid w:val="0"/>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lang w:val="en-US" w:eastAsia="zh-CN"/>
                    </w:rPr>
                    <w:t>达标率</w:t>
                  </w:r>
                  <w:r>
                    <w:rPr>
                      <w:rFonts w:hint="default" w:ascii="Times New Roman" w:hAnsi="Times New Roman" w:eastAsia="宋体" w:cs="Times New Roman"/>
                      <w:b/>
                      <w:color w:val="auto"/>
                      <w:kern w:val="0"/>
                      <w:sz w:val="21"/>
                      <w:szCs w:val="21"/>
                      <w:highlight w:val="none"/>
                    </w:rPr>
                    <w:t>%</w:t>
                  </w:r>
                </w:p>
              </w:tc>
              <w:tc>
                <w:tcPr>
                  <w:tcW w:w="708" w:type="pct"/>
                  <w:tcBorders>
                    <w:tl2br w:val="nil"/>
                    <w:tr2bl w:val="nil"/>
                  </w:tcBorders>
                  <w:noWrap w:val="0"/>
                  <w:vAlign w:val="center"/>
                </w:tcPr>
                <w:p w14:paraId="79A116D9">
                  <w:pPr>
                    <w:adjustRightInd w:val="0"/>
                    <w:snapToGrid w:val="0"/>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达标情况</w:t>
                  </w:r>
                </w:p>
              </w:tc>
            </w:tr>
            <w:tr w14:paraId="7A91A79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restart"/>
                  <w:tcBorders>
                    <w:tl2br w:val="nil"/>
                    <w:tr2bl w:val="nil"/>
                  </w:tcBorders>
                  <w:noWrap w:val="0"/>
                  <w:vAlign w:val="center"/>
                </w:tcPr>
                <w:p w14:paraId="315752E5">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PM</w:t>
                  </w:r>
                  <w:r>
                    <w:rPr>
                      <w:rFonts w:hint="default" w:ascii="Times New Roman" w:hAnsi="Times New Roman" w:eastAsia="宋体" w:cs="Times New Roman"/>
                      <w:color w:val="auto"/>
                      <w:kern w:val="0"/>
                      <w:sz w:val="21"/>
                      <w:szCs w:val="21"/>
                      <w:highlight w:val="none"/>
                      <w:vertAlign w:val="subscript"/>
                    </w:rPr>
                    <w:t>2.5</w:t>
                  </w:r>
                </w:p>
              </w:tc>
              <w:tc>
                <w:tcPr>
                  <w:tcW w:w="1317" w:type="pct"/>
                  <w:tcBorders>
                    <w:tl2br w:val="nil"/>
                    <w:tr2bl w:val="nil"/>
                  </w:tcBorders>
                  <w:noWrap w:val="0"/>
                  <w:vAlign w:val="center"/>
                </w:tcPr>
                <w:p w14:paraId="6A147452">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年平均质量浓度</w:t>
                  </w:r>
                </w:p>
              </w:tc>
              <w:tc>
                <w:tcPr>
                  <w:tcW w:w="825" w:type="pct"/>
                  <w:tcBorders>
                    <w:tl2br w:val="nil"/>
                    <w:tr2bl w:val="nil"/>
                  </w:tcBorders>
                  <w:noWrap w:val="0"/>
                  <w:vAlign w:val="center"/>
                </w:tcPr>
                <w:p w14:paraId="25B13557">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34</w:t>
                  </w:r>
                </w:p>
              </w:tc>
              <w:tc>
                <w:tcPr>
                  <w:tcW w:w="983" w:type="pct"/>
                  <w:tcBorders>
                    <w:tl2br w:val="nil"/>
                    <w:tr2bl w:val="nil"/>
                  </w:tcBorders>
                  <w:noWrap w:val="0"/>
                  <w:vAlign w:val="center"/>
                </w:tcPr>
                <w:p w14:paraId="3AB83D1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35</w:t>
                  </w:r>
                </w:p>
              </w:tc>
              <w:tc>
                <w:tcPr>
                  <w:tcW w:w="604" w:type="pct"/>
                  <w:tcBorders>
                    <w:tl2br w:val="nil"/>
                    <w:tr2bl w:val="nil"/>
                  </w:tcBorders>
                  <w:noWrap w:val="0"/>
                  <w:vAlign w:val="center"/>
                </w:tcPr>
                <w:p w14:paraId="00A71432">
                  <w:pPr>
                    <w:widowControl/>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708" w:type="pct"/>
                  <w:vMerge w:val="restart"/>
                  <w:tcBorders>
                    <w:tl2br w:val="nil"/>
                    <w:tr2bl w:val="nil"/>
                  </w:tcBorders>
                  <w:noWrap w:val="0"/>
                  <w:vAlign w:val="center"/>
                </w:tcPr>
                <w:p w14:paraId="24596513">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不</w:t>
                  </w:r>
                  <w:r>
                    <w:rPr>
                      <w:rFonts w:hint="default" w:ascii="Times New Roman" w:hAnsi="Times New Roman" w:eastAsia="宋体" w:cs="Times New Roman"/>
                      <w:color w:val="auto"/>
                      <w:kern w:val="0"/>
                      <w:sz w:val="21"/>
                      <w:szCs w:val="21"/>
                      <w:highlight w:val="none"/>
                    </w:rPr>
                    <w:t>达标</w:t>
                  </w:r>
                </w:p>
              </w:tc>
            </w:tr>
            <w:tr w14:paraId="089FE6A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continue"/>
                  <w:tcBorders>
                    <w:tl2br w:val="nil"/>
                    <w:tr2bl w:val="nil"/>
                  </w:tcBorders>
                  <w:noWrap w:val="0"/>
                  <w:vAlign w:val="center"/>
                </w:tcPr>
                <w:p w14:paraId="339E032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1317" w:type="pct"/>
                  <w:tcBorders>
                    <w:tl2br w:val="nil"/>
                    <w:tr2bl w:val="nil"/>
                  </w:tcBorders>
                  <w:noWrap w:val="0"/>
                  <w:vAlign w:val="center"/>
                </w:tcPr>
                <w:p w14:paraId="0B628E56">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日平均浓度</w:t>
                  </w:r>
                </w:p>
              </w:tc>
              <w:tc>
                <w:tcPr>
                  <w:tcW w:w="825" w:type="pct"/>
                  <w:tcBorders>
                    <w:tl2br w:val="nil"/>
                    <w:tr2bl w:val="nil"/>
                  </w:tcBorders>
                  <w:noWrap w:val="0"/>
                  <w:vAlign w:val="center"/>
                </w:tcPr>
                <w:p w14:paraId="6C12723D">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6-151</w:t>
                  </w:r>
                </w:p>
              </w:tc>
              <w:tc>
                <w:tcPr>
                  <w:tcW w:w="983" w:type="pct"/>
                  <w:tcBorders>
                    <w:tl2br w:val="nil"/>
                    <w:tr2bl w:val="nil"/>
                  </w:tcBorders>
                  <w:noWrap w:val="0"/>
                  <w:vAlign w:val="center"/>
                </w:tcPr>
                <w:p w14:paraId="165FECDE">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75</w:t>
                  </w:r>
                </w:p>
              </w:tc>
              <w:tc>
                <w:tcPr>
                  <w:tcW w:w="604" w:type="pct"/>
                  <w:tcBorders>
                    <w:tl2br w:val="nil"/>
                    <w:tr2bl w:val="nil"/>
                  </w:tcBorders>
                  <w:noWrap w:val="0"/>
                  <w:vAlign w:val="center"/>
                </w:tcPr>
                <w:p w14:paraId="32E4FC75">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93.6</w:t>
                  </w:r>
                </w:p>
              </w:tc>
              <w:tc>
                <w:tcPr>
                  <w:tcW w:w="708" w:type="pct"/>
                  <w:vMerge w:val="continue"/>
                  <w:tcBorders>
                    <w:tl2br w:val="nil"/>
                    <w:tr2bl w:val="nil"/>
                  </w:tcBorders>
                  <w:noWrap w:val="0"/>
                  <w:vAlign w:val="center"/>
                </w:tcPr>
                <w:p w14:paraId="63B1149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r>
            <w:tr w14:paraId="2611B35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restart"/>
                  <w:tcBorders>
                    <w:tl2br w:val="nil"/>
                    <w:tr2bl w:val="nil"/>
                  </w:tcBorders>
                  <w:noWrap w:val="0"/>
                  <w:vAlign w:val="center"/>
                </w:tcPr>
                <w:p w14:paraId="5EF249E3">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PM</w:t>
                  </w:r>
                  <w:r>
                    <w:rPr>
                      <w:rFonts w:hint="default" w:ascii="Times New Roman" w:hAnsi="Times New Roman" w:eastAsia="宋体" w:cs="Times New Roman"/>
                      <w:color w:val="auto"/>
                      <w:kern w:val="0"/>
                      <w:sz w:val="21"/>
                      <w:szCs w:val="21"/>
                      <w:highlight w:val="none"/>
                      <w:vertAlign w:val="subscript"/>
                    </w:rPr>
                    <w:t>10</w:t>
                  </w:r>
                </w:p>
              </w:tc>
              <w:tc>
                <w:tcPr>
                  <w:tcW w:w="1317" w:type="pct"/>
                  <w:tcBorders>
                    <w:tl2br w:val="nil"/>
                    <w:tr2bl w:val="nil"/>
                  </w:tcBorders>
                  <w:noWrap w:val="0"/>
                  <w:vAlign w:val="center"/>
                </w:tcPr>
                <w:p w14:paraId="20AEE35C">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年平均质量浓度</w:t>
                  </w:r>
                </w:p>
              </w:tc>
              <w:tc>
                <w:tcPr>
                  <w:tcW w:w="825" w:type="pct"/>
                  <w:tcBorders>
                    <w:tl2br w:val="nil"/>
                    <w:tr2bl w:val="nil"/>
                  </w:tcBorders>
                  <w:noWrap w:val="0"/>
                  <w:vAlign w:val="center"/>
                </w:tcPr>
                <w:p w14:paraId="13DB5B2C">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57</w:t>
                  </w:r>
                </w:p>
              </w:tc>
              <w:tc>
                <w:tcPr>
                  <w:tcW w:w="983" w:type="pct"/>
                  <w:tcBorders>
                    <w:tl2br w:val="nil"/>
                    <w:tr2bl w:val="nil"/>
                  </w:tcBorders>
                  <w:noWrap w:val="0"/>
                  <w:vAlign w:val="center"/>
                </w:tcPr>
                <w:p w14:paraId="35179F23">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w:t>
                  </w:r>
                </w:p>
              </w:tc>
              <w:tc>
                <w:tcPr>
                  <w:tcW w:w="604" w:type="pct"/>
                  <w:tcBorders>
                    <w:tl2br w:val="nil"/>
                    <w:tr2bl w:val="nil"/>
                  </w:tcBorders>
                  <w:noWrap w:val="0"/>
                  <w:vAlign w:val="center"/>
                </w:tcPr>
                <w:p w14:paraId="28836908">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100</w:t>
                  </w:r>
                </w:p>
              </w:tc>
              <w:tc>
                <w:tcPr>
                  <w:tcW w:w="708" w:type="pct"/>
                  <w:vMerge w:val="restart"/>
                  <w:tcBorders>
                    <w:tl2br w:val="nil"/>
                    <w:tr2bl w:val="nil"/>
                  </w:tcBorders>
                  <w:noWrap w:val="0"/>
                  <w:vAlign w:val="center"/>
                </w:tcPr>
                <w:p w14:paraId="450DBDD0">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79583F46">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continue"/>
                  <w:tcBorders>
                    <w:tl2br w:val="nil"/>
                    <w:tr2bl w:val="nil"/>
                  </w:tcBorders>
                  <w:noWrap w:val="0"/>
                  <w:vAlign w:val="center"/>
                </w:tcPr>
                <w:p w14:paraId="3DB1338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1317" w:type="pct"/>
                  <w:tcBorders>
                    <w:tl2br w:val="nil"/>
                    <w:tr2bl w:val="nil"/>
                  </w:tcBorders>
                  <w:noWrap w:val="0"/>
                  <w:vAlign w:val="center"/>
                </w:tcPr>
                <w:p w14:paraId="0AEC99FF">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日平均浓度</w:t>
                  </w:r>
                </w:p>
              </w:tc>
              <w:tc>
                <w:tcPr>
                  <w:tcW w:w="825" w:type="pct"/>
                  <w:tcBorders>
                    <w:tl2br w:val="nil"/>
                    <w:tr2bl w:val="nil"/>
                  </w:tcBorders>
                  <w:noWrap w:val="0"/>
                  <w:vAlign w:val="center"/>
                </w:tcPr>
                <w:p w14:paraId="43BC79C1">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12-188</w:t>
                  </w:r>
                </w:p>
              </w:tc>
              <w:tc>
                <w:tcPr>
                  <w:tcW w:w="983" w:type="pct"/>
                  <w:tcBorders>
                    <w:tl2br w:val="nil"/>
                    <w:tr2bl w:val="nil"/>
                  </w:tcBorders>
                  <w:noWrap w:val="0"/>
                  <w:vAlign w:val="center"/>
                </w:tcPr>
                <w:p w14:paraId="5AF10D0A">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150</w:t>
                  </w:r>
                </w:p>
              </w:tc>
              <w:tc>
                <w:tcPr>
                  <w:tcW w:w="604" w:type="pct"/>
                  <w:tcBorders>
                    <w:tl2br w:val="nil"/>
                    <w:tr2bl w:val="nil"/>
                  </w:tcBorders>
                  <w:noWrap w:val="0"/>
                  <w:vAlign w:val="center"/>
                </w:tcPr>
                <w:p w14:paraId="1D585CD3">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98.8</w:t>
                  </w:r>
                </w:p>
              </w:tc>
              <w:tc>
                <w:tcPr>
                  <w:tcW w:w="708" w:type="pct"/>
                  <w:vMerge w:val="continue"/>
                  <w:tcBorders>
                    <w:tl2br w:val="nil"/>
                    <w:tr2bl w:val="nil"/>
                  </w:tcBorders>
                  <w:noWrap w:val="0"/>
                  <w:vAlign w:val="center"/>
                </w:tcPr>
                <w:p w14:paraId="7576A1D6">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r>
            <w:tr w14:paraId="008B053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restart"/>
                  <w:tcBorders>
                    <w:tl2br w:val="nil"/>
                    <w:tr2bl w:val="nil"/>
                  </w:tcBorders>
                  <w:noWrap w:val="0"/>
                  <w:vAlign w:val="center"/>
                </w:tcPr>
                <w:p w14:paraId="62604098">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p>
              </w:tc>
              <w:tc>
                <w:tcPr>
                  <w:tcW w:w="1317" w:type="pct"/>
                  <w:tcBorders>
                    <w:tl2br w:val="nil"/>
                    <w:tr2bl w:val="nil"/>
                  </w:tcBorders>
                  <w:noWrap w:val="0"/>
                  <w:vAlign w:val="center"/>
                </w:tcPr>
                <w:p w14:paraId="4C6E5039">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年平均质量浓度</w:t>
                  </w:r>
                </w:p>
              </w:tc>
              <w:tc>
                <w:tcPr>
                  <w:tcW w:w="825" w:type="pct"/>
                  <w:tcBorders>
                    <w:tl2br w:val="nil"/>
                    <w:tr2bl w:val="nil"/>
                  </w:tcBorders>
                  <w:noWrap w:val="0"/>
                  <w:vAlign w:val="center"/>
                </w:tcPr>
                <w:p w14:paraId="4B9C4C6C">
                  <w:pPr>
                    <w:adjustRightInd w:val="0"/>
                    <w:snapToGrid w:val="0"/>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8</w:t>
                  </w:r>
                </w:p>
              </w:tc>
              <w:tc>
                <w:tcPr>
                  <w:tcW w:w="983" w:type="pct"/>
                  <w:tcBorders>
                    <w:tl2br w:val="nil"/>
                    <w:tr2bl w:val="nil"/>
                  </w:tcBorders>
                  <w:noWrap w:val="0"/>
                  <w:vAlign w:val="center"/>
                </w:tcPr>
                <w:p w14:paraId="27DBEE2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60</w:t>
                  </w:r>
                </w:p>
              </w:tc>
              <w:tc>
                <w:tcPr>
                  <w:tcW w:w="604" w:type="pct"/>
                  <w:tcBorders>
                    <w:tl2br w:val="nil"/>
                    <w:tr2bl w:val="nil"/>
                  </w:tcBorders>
                  <w:noWrap w:val="0"/>
                  <w:vAlign w:val="center"/>
                </w:tcPr>
                <w:p w14:paraId="61985534">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100</w:t>
                  </w:r>
                </w:p>
              </w:tc>
              <w:tc>
                <w:tcPr>
                  <w:tcW w:w="708" w:type="pct"/>
                  <w:vMerge w:val="restart"/>
                  <w:tcBorders>
                    <w:tl2br w:val="nil"/>
                    <w:tr2bl w:val="nil"/>
                  </w:tcBorders>
                  <w:noWrap w:val="0"/>
                  <w:vAlign w:val="center"/>
                </w:tcPr>
                <w:p w14:paraId="46CB35B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373D0087">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continue"/>
                  <w:tcBorders>
                    <w:tl2br w:val="nil"/>
                    <w:tr2bl w:val="nil"/>
                  </w:tcBorders>
                  <w:noWrap w:val="0"/>
                  <w:vAlign w:val="center"/>
                </w:tcPr>
                <w:p w14:paraId="2B3EEE4E">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1317" w:type="pct"/>
                  <w:tcBorders>
                    <w:tl2br w:val="nil"/>
                    <w:tr2bl w:val="nil"/>
                  </w:tcBorders>
                  <w:noWrap w:val="0"/>
                  <w:vAlign w:val="center"/>
                </w:tcPr>
                <w:p w14:paraId="6CEE4BE6">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日平均浓度</w:t>
                  </w:r>
                </w:p>
              </w:tc>
              <w:tc>
                <w:tcPr>
                  <w:tcW w:w="825" w:type="pct"/>
                  <w:tcBorders>
                    <w:tl2br w:val="nil"/>
                    <w:tr2bl w:val="nil"/>
                  </w:tcBorders>
                  <w:noWrap w:val="0"/>
                  <w:vAlign w:val="center"/>
                </w:tcPr>
                <w:p w14:paraId="7C32013A">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4-17</w:t>
                  </w:r>
                </w:p>
              </w:tc>
              <w:tc>
                <w:tcPr>
                  <w:tcW w:w="983" w:type="pct"/>
                  <w:tcBorders>
                    <w:tl2br w:val="nil"/>
                    <w:tr2bl w:val="nil"/>
                  </w:tcBorders>
                  <w:noWrap w:val="0"/>
                  <w:vAlign w:val="center"/>
                </w:tcPr>
                <w:p w14:paraId="19A4BD11">
                  <w:pPr>
                    <w:keepNext w:val="0"/>
                    <w:keepLines w:val="0"/>
                    <w:suppressLineNumbers w:val="0"/>
                    <w:snapToGrid w:val="0"/>
                    <w:spacing w:before="0" w:beforeAutospacing="0" w:after="0" w:afterAutospacing="0" w:line="240" w:lineRule="auto"/>
                    <w:ind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150</w:t>
                  </w:r>
                </w:p>
              </w:tc>
              <w:tc>
                <w:tcPr>
                  <w:tcW w:w="604" w:type="pct"/>
                  <w:tcBorders>
                    <w:tl2br w:val="nil"/>
                    <w:tr2bl w:val="nil"/>
                  </w:tcBorders>
                  <w:noWrap w:val="0"/>
                  <w:vAlign w:val="center"/>
                </w:tcPr>
                <w:p w14:paraId="649754F8">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100</w:t>
                  </w:r>
                </w:p>
              </w:tc>
              <w:tc>
                <w:tcPr>
                  <w:tcW w:w="708" w:type="pct"/>
                  <w:vMerge w:val="continue"/>
                  <w:tcBorders>
                    <w:tl2br w:val="nil"/>
                    <w:tr2bl w:val="nil"/>
                  </w:tcBorders>
                  <w:noWrap w:val="0"/>
                  <w:vAlign w:val="center"/>
                </w:tcPr>
                <w:p w14:paraId="544D510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r>
            <w:tr w14:paraId="5F80A6C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restart"/>
                  <w:tcBorders>
                    <w:tl2br w:val="nil"/>
                    <w:tr2bl w:val="nil"/>
                  </w:tcBorders>
                  <w:noWrap w:val="0"/>
                  <w:vAlign w:val="center"/>
                </w:tcPr>
                <w:p w14:paraId="68452B39">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NO</w:t>
                  </w:r>
                  <w:r>
                    <w:rPr>
                      <w:rFonts w:hint="default" w:ascii="Times New Roman" w:hAnsi="Times New Roman" w:eastAsia="宋体" w:cs="Times New Roman"/>
                      <w:color w:val="auto"/>
                      <w:kern w:val="0"/>
                      <w:sz w:val="21"/>
                      <w:szCs w:val="21"/>
                      <w:highlight w:val="none"/>
                      <w:vertAlign w:val="subscript"/>
                    </w:rPr>
                    <w:t>2</w:t>
                  </w:r>
                </w:p>
              </w:tc>
              <w:tc>
                <w:tcPr>
                  <w:tcW w:w="1317" w:type="pct"/>
                  <w:tcBorders>
                    <w:tl2br w:val="nil"/>
                    <w:tr2bl w:val="nil"/>
                  </w:tcBorders>
                  <w:noWrap w:val="0"/>
                  <w:vAlign w:val="center"/>
                </w:tcPr>
                <w:p w14:paraId="084FA933">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年平均质量浓度</w:t>
                  </w:r>
                </w:p>
              </w:tc>
              <w:tc>
                <w:tcPr>
                  <w:tcW w:w="825" w:type="pct"/>
                  <w:tcBorders>
                    <w:tl2br w:val="nil"/>
                    <w:tr2bl w:val="nil"/>
                  </w:tcBorders>
                  <w:noWrap w:val="0"/>
                  <w:vAlign w:val="center"/>
                </w:tcPr>
                <w:p w14:paraId="220948C9">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30</w:t>
                  </w:r>
                </w:p>
              </w:tc>
              <w:tc>
                <w:tcPr>
                  <w:tcW w:w="983" w:type="pct"/>
                  <w:tcBorders>
                    <w:tl2br w:val="nil"/>
                    <w:tr2bl w:val="nil"/>
                  </w:tcBorders>
                  <w:noWrap w:val="0"/>
                  <w:vAlign w:val="center"/>
                </w:tcPr>
                <w:p w14:paraId="64DBA9C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w:t>
                  </w:r>
                </w:p>
              </w:tc>
              <w:tc>
                <w:tcPr>
                  <w:tcW w:w="604" w:type="pct"/>
                  <w:tcBorders>
                    <w:tl2br w:val="nil"/>
                    <w:tr2bl w:val="nil"/>
                  </w:tcBorders>
                  <w:noWrap w:val="0"/>
                  <w:vAlign w:val="center"/>
                </w:tcPr>
                <w:p w14:paraId="023DB8C8">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100</w:t>
                  </w:r>
                </w:p>
              </w:tc>
              <w:tc>
                <w:tcPr>
                  <w:tcW w:w="708" w:type="pct"/>
                  <w:vMerge w:val="restart"/>
                  <w:tcBorders>
                    <w:tl2br w:val="nil"/>
                    <w:tr2bl w:val="nil"/>
                  </w:tcBorders>
                  <w:noWrap w:val="0"/>
                  <w:vAlign w:val="center"/>
                </w:tcPr>
                <w:p w14:paraId="0F38A277">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1983705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vMerge w:val="continue"/>
                  <w:tcBorders>
                    <w:tl2br w:val="nil"/>
                    <w:tr2bl w:val="nil"/>
                  </w:tcBorders>
                  <w:noWrap w:val="0"/>
                  <w:vAlign w:val="center"/>
                </w:tcPr>
                <w:p w14:paraId="1CCDE6C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c>
                <w:tcPr>
                  <w:tcW w:w="1317" w:type="pct"/>
                  <w:tcBorders>
                    <w:tl2br w:val="nil"/>
                    <w:tr2bl w:val="nil"/>
                  </w:tcBorders>
                  <w:noWrap w:val="0"/>
                  <w:vAlign w:val="center"/>
                </w:tcPr>
                <w:p w14:paraId="4823A018">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日平均浓度</w:t>
                  </w:r>
                </w:p>
              </w:tc>
              <w:tc>
                <w:tcPr>
                  <w:tcW w:w="825" w:type="pct"/>
                  <w:tcBorders>
                    <w:tl2br w:val="nil"/>
                    <w:tr2bl w:val="nil"/>
                  </w:tcBorders>
                  <w:noWrap w:val="0"/>
                  <w:vAlign w:val="center"/>
                </w:tcPr>
                <w:p w14:paraId="472E3AE6">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6-106</w:t>
                  </w:r>
                </w:p>
              </w:tc>
              <w:tc>
                <w:tcPr>
                  <w:tcW w:w="983" w:type="pct"/>
                  <w:tcBorders>
                    <w:tl2br w:val="nil"/>
                    <w:tr2bl w:val="nil"/>
                  </w:tcBorders>
                  <w:noWrap w:val="0"/>
                  <w:vAlign w:val="center"/>
                </w:tcPr>
                <w:p w14:paraId="1C5A63A7">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80</w:t>
                  </w:r>
                </w:p>
              </w:tc>
              <w:tc>
                <w:tcPr>
                  <w:tcW w:w="604" w:type="pct"/>
                  <w:tcBorders>
                    <w:tl2br w:val="nil"/>
                    <w:tr2bl w:val="nil"/>
                  </w:tcBorders>
                  <w:noWrap w:val="0"/>
                  <w:vAlign w:val="center"/>
                </w:tcPr>
                <w:p w14:paraId="4E409DEC">
                  <w:pPr>
                    <w:keepNext w:val="0"/>
                    <w:keepLines w:val="0"/>
                    <w:suppressLineNumbers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98.1</w:t>
                  </w:r>
                </w:p>
              </w:tc>
              <w:tc>
                <w:tcPr>
                  <w:tcW w:w="708" w:type="pct"/>
                  <w:vMerge w:val="continue"/>
                  <w:tcBorders>
                    <w:tl2br w:val="nil"/>
                    <w:tr2bl w:val="nil"/>
                  </w:tcBorders>
                  <w:noWrap w:val="0"/>
                  <w:vAlign w:val="center"/>
                </w:tcPr>
                <w:p w14:paraId="00C4DD16">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p>
              </w:tc>
            </w:tr>
            <w:tr w14:paraId="14B7788A">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tcBorders>
                    <w:tl2br w:val="nil"/>
                    <w:tr2bl w:val="nil"/>
                  </w:tcBorders>
                  <w:noWrap w:val="0"/>
                  <w:vAlign w:val="center"/>
                </w:tcPr>
                <w:p w14:paraId="48014C6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w:t>
                  </w:r>
                </w:p>
              </w:tc>
              <w:tc>
                <w:tcPr>
                  <w:tcW w:w="1317" w:type="pct"/>
                  <w:tcBorders>
                    <w:tl2br w:val="nil"/>
                    <w:tr2bl w:val="nil"/>
                  </w:tcBorders>
                  <w:noWrap w:val="0"/>
                  <w:vAlign w:val="center"/>
                </w:tcPr>
                <w:p w14:paraId="2DC6412F">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日均值的第95百分位数</w:t>
                  </w:r>
                </w:p>
              </w:tc>
              <w:tc>
                <w:tcPr>
                  <w:tcW w:w="825" w:type="pct"/>
                  <w:tcBorders>
                    <w:tl2br w:val="nil"/>
                    <w:tr2bl w:val="nil"/>
                  </w:tcBorders>
                  <w:noWrap w:val="0"/>
                  <w:vAlign w:val="center"/>
                </w:tcPr>
                <w:p w14:paraId="3DF72DAF">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1100</w:t>
                  </w:r>
                </w:p>
              </w:tc>
              <w:tc>
                <w:tcPr>
                  <w:tcW w:w="983" w:type="pct"/>
                  <w:tcBorders>
                    <w:tl2br w:val="nil"/>
                    <w:tr2bl w:val="nil"/>
                  </w:tcBorders>
                  <w:noWrap w:val="0"/>
                  <w:vAlign w:val="center"/>
                </w:tcPr>
                <w:p w14:paraId="6F2114A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4000</w:t>
                  </w:r>
                </w:p>
              </w:tc>
              <w:tc>
                <w:tcPr>
                  <w:tcW w:w="604" w:type="pct"/>
                  <w:tcBorders>
                    <w:tl2br w:val="nil"/>
                    <w:tr2bl w:val="nil"/>
                  </w:tcBorders>
                  <w:noWrap w:val="0"/>
                  <w:vAlign w:val="center"/>
                </w:tcPr>
                <w:p w14:paraId="1ED0644E">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100</w:t>
                  </w:r>
                </w:p>
              </w:tc>
              <w:tc>
                <w:tcPr>
                  <w:tcW w:w="708" w:type="pct"/>
                  <w:tcBorders>
                    <w:tl2br w:val="nil"/>
                    <w:tr2bl w:val="nil"/>
                  </w:tcBorders>
                  <w:noWrap w:val="0"/>
                  <w:vAlign w:val="center"/>
                </w:tcPr>
                <w:p w14:paraId="573BB42D">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2EEB746B">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61" w:type="pct"/>
                  <w:tcBorders>
                    <w:tl2br w:val="nil"/>
                    <w:tr2bl w:val="nil"/>
                  </w:tcBorders>
                  <w:noWrap w:val="0"/>
                  <w:vAlign w:val="center"/>
                </w:tcPr>
                <w:p w14:paraId="6AF31B68">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O</w:t>
                  </w:r>
                  <w:r>
                    <w:rPr>
                      <w:rFonts w:hint="default" w:ascii="Times New Roman" w:hAnsi="Times New Roman" w:eastAsia="宋体" w:cs="Times New Roman"/>
                      <w:color w:val="auto"/>
                      <w:kern w:val="0"/>
                      <w:sz w:val="21"/>
                      <w:szCs w:val="21"/>
                      <w:highlight w:val="none"/>
                      <w:vertAlign w:val="subscript"/>
                    </w:rPr>
                    <w:t>3</w:t>
                  </w:r>
                </w:p>
              </w:tc>
              <w:tc>
                <w:tcPr>
                  <w:tcW w:w="1317" w:type="pct"/>
                  <w:tcBorders>
                    <w:tl2br w:val="nil"/>
                    <w:tr2bl w:val="nil"/>
                  </w:tcBorders>
                  <w:noWrap w:val="0"/>
                  <w:vAlign w:val="center"/>
                </w:tcPr>
                <w:p w14:paraId="0218B875">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日最大8小时滑动平均值的第90百分位数</w:t>
                  </w:r>
                </w:p>
              </w:tc>
              <w:tc>
                <w:tcPr>
                  <w:tcW w:w="825" w:type="pct"/>
                  <w:tcBorders>
                    <w:tl2br w:val="nil"/>
                    <w:tr2bl w:val="nil"/>
                  </w:tcBorders>
                  <w:noWrap w:val="0"/>
                  <w:vAlign w:val="center"/>
                </w:tcPr>
                <w:p w14:paraId="2EF30A9D">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174</w:t>
                  </w:r>
                </w:p>
              </w:tc>
              <w:tc>
                <w:tcPr>
                  <w:tcW w:w="983" w:type="pct"/>
                  <w:tcBorders>
                    <w:tl2br w:val="nil"/>
                    <w:tr2bl w:val="nil"/>
                  </w:tcBorders>
                  <w:noWrap w:val="0"/>
                  <w:vAlign w:val="center"/>
                </w:tcPr>
                <w:p w14:paraId="3FF7FC21">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160</w:t>
                  </w:r>
                </w:p>
              </w:tc>
              <w:tc>
                <w:tcPr>
                  <w:tcW w:w="604" w:type="pct"/>
                  <w:tcBorders>
                    <w:tl2br w:val="nil"/>
                    <w:tr2bl w:val="nil"/>
                  </w:tcBorders>
                  <w:noWrap w:val="0"/>
                  <w:vAlign w:val="center"/>
                </w:tcPr>
                <w:p w14:paraId="2CFDF3B9">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85.5</w:t>
                  </w:r>
                </w:p>
              </w:tc>
              <w:tc>
                <w:tcPr>
                  <w:tcW w:w="708" w:type="pct"/>
                  <w:tcBorders>
                    <w:tl2br w:val="nil"/>
                    <w:tr2bl w:val="nil"/>
                  </w:tcBorders>
                  <w:noWrap w:val="0"/>
                  <w:vAlign w:val="center"/>
                </w:tcPr>
                <w:p w14:paraId="56B3FF0C">
                  <w:pPr>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不达标</w:t>
                  </w:r>
                </w:p>
              </w:tc>
            </w:tr>
          </w:tbl>
          <w:p w14:paraId="2F4147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依据《环境空气质量标准》（GB3095-2012）、《环境空气质量评价技术规范（试行）》（HJ663-2013），202</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年常州市环境空气中SO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、CO、PM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达标，PM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超标；根据《环境空气质量评价技术规范（试行）》（HJ663-2013），SO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、NO</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、CO和O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，6项污染物全部达标即为城市环境空气质量达标，故常州市目前属于环境空气质量不达标区。</w:t>
            </w:r>
          </w:p>
          <w:p w14:paraId="0A4A4D37">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（2）大气环境质量改善方案</w:t>
            </w:r>
          </w:p>
          <w:p w14:paraId="364A531D">
            <w:pPr>
              <w:autoSpaceDE w:val="0"/>
              <w:autoSpaceDN w:val="0"/>
              <w:adjustRightIn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为加快改善环境空气质量，常州市人民政府发布了</w:t>
            </w:r>
            <w:r>
              <w:rPr>
                <w:rFonts w:hint="default" w:ascii="Times New Roman" w:hAnsi="Times New Roman" w:eastAsia="宋体" w:cs="Times New Roman"/>
                <w:b w:val="0"/>
                <w:bCs w:val="0"/>
                <w:color w:val="auto"/>
                <w:kern w:val="44"/>
                <w:sz w:val="24"/>
                <w:szCs w:val="24"/>
                <w:lang w:val="en-US" w:eastAsia="zh-CN" w:bidi="ar-SA"/>
              </w:rPr>
              <w:t>《常州市空气质量持续改善行动计划实施方案》（常政发〔2024〕51号）</w:t>
            </w:r>
            <w:r>
              <w:rPr>
                <w:rFonts w:hint="default" w:ascii="Times New Roman" w:hAnsi="Times New Roman" w:eastAsia="宋体" w:cs="Times New Roman"/>
                <w:color w:val="auto"/>
                <w:sz w:val="24"/>
                <w:szCs w:val="24"/>
              </w:rPr>
              <w:t>，进一步提出如下大气污染</w:t>
            </w:r>
            <w:r>
              <w:rPr>
                <w:rFonts w:hint="default" w:ascii="Times New Roman" w:hAnsi="Times New Roman" w:eastAsia="宋体" w:cs="Times New Roman"/>
                <w:color w:val="auto"/>
                <w:sz w:val="24"/>
                <w:szCs w:val="24"/>
                <w:shd w:val="clear" w:fill="auto"/>
              </w:rPr>
              <w:t>防治</w:t>
            </w:r>
            <w:r>
              <w:rPr>
                <w:rFonts w:hint="default" w:ascii="Times New Roman" w:hAnsi="Times New Roman" w:eastAsia="宋体" w:cs="Times New Roman"/>
                <w:color w:val="auto"/>
                <w:sz w:val="24"/>
                <w:szCs w:val="24"/>
              </w:rPr>
              <w:t>工作计划：</w:t>
            </w:r>
          </w:p>
          <w:p w14:paraId="5D1453C8">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主要目标是：到2025年，全市PM</w:t>
            </w:r>
            <w:r>
              <w:rPr>
                <w:rFonts w:hint="default" w:ascii="Times New Roman" w:hAnsi="Times New Roman" w:eastAsia="宋体" w:cs="Times New Roman"/>
                <w:b w:val="0"/>
                <w:bCs w:val="0"/>
                <w:color w:val="auto"/>
                <w:kern w:val="44"/>
                <w:sz w:val="24"/>
                <w:szCs w:val="24"/>
                <w:vertAlign w:val="subscript"/>
                <w:lang w:val="en-US" w:eastAsia="zh-CN" w:bidi="ar-SA"/>
              </w:rPr>
              <w:t>2.5</w:t>
            </w:r>
            <w:r>
              <w:rPr>
                <w:rFonts w:hint="default" w:ascii="Times New Roman" w:hAnsi="Times New Roman" w:eastAsia="宋体" w:cs="Times New Roman"/>
                <w:b w:val="0"/>
                <w:bCs w:val="0"/>
                <w:color w:val="auto"/>
                <w:kern w:val="44"/>
                <w:sz w:val="24"/>
                <w:szCs w:val="24"/>
                <w:lang w:val="en-US" w:eastAsia="zh-CN" w:bidi="ar-SA"/>
              </w:rPr>
              <w:t>浓度总体达标，PM</w:t>
            </w:r>
            <w:r>
              <w:rPr>
                <w:rFonts w:hint="default" w:ascii="Times New Roman" w:hAnsi="Times New Roman" w:eastAsia="宋体" w:cs="Times New Roman"/>
                <w:b w:val="0"/>
                <w:bCs w:val="0"/>
                <w:color w:val="auto"/>
                <w:kern w:val="44"/>
                <w:sz w:val="24"/>
                <w:szCs w:val="24"/>
                <w:vertAlign w:val="subscript"/>
                <w:lang w:val="en-US" w:eastAsia="zh-CN" w:bidi="ar-SA"/>
              </w:rPr>
              <w:t>2.5</w:t>
            </w:r>
            <w:r>
              <w:rPr>
                <w:rFonts w:hint="default" w:ascii="Times New Roman" w:hAnsi="Times New Roman" w:eastAsia="宋体" w:cs="Times New Roman"/>
                <w:b w:val="0"/>
                <w:bCs w:val="0"/>
                <w:color w:val="auto"/>
                <w:kern w:val="44"/>
                <w:sz w:val="24"/>
                <w:szCs w:val="24"/>
                <w:lang w:val="en-US" w:eastAsia="zh-CN" w:bidi="ar-SA"/>
              </w:rPr>
              <w:t>浓度比2020年下降10%，基本消除重度及以上污染天气，空气质量持续改善；氮氧化物和VOCs排放总量比2020年分别下降10%以上，完成省下达的减排目标。</w:t>
            </w:r>
          </w:p>
          <w:p w14:paraId="75BE3A2F">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重点任务：</w:t>
            </w:r>
          </w:p>
          <w:p w14:paraId="2C3C093B">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一）坚决遏制“两高”项目盲目发展。按照江苏省“两高”项目分类管理工作要求，严格执行国家、省有关钢铁（炼钢、炼铁）、焦化、电解铝、水泥（熟料）、平板玻璃（不含光伏压延玻璃）和炼化（纳入国家产业规划除外）等行业产业政策标准。到2025年，短流程炼钢产能占比力争达20%以上。</w:t>
            </w:r>
          </w:p>
          <w:p w14:paraId="3CFBA89F">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（二）加快退出重点行业落后产能。落实《产业结构调整指导目录》，依法依规逐步退出限制类涉气行业工艺和装备、逐步淘汰步进式烧结机和球团竖炉以及半封闭式硅锰合金、镍铁、高碳铬铁、高碳锰铁电炉。</w:t>
            </w:r>
          </w:p>
          <w:p w14:paraId="6FEA8AD4">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三）推进产业集群、园区绿色转型升级。中小型传统制造企业集中的辖市（区）均要制定涉气产业集群发展规划，严格项目审批，严防污染下乡。针对现有产业集群制定专项整治方案，依法淘汰关停一批、搬迁入园一批、就地改造一批、做优做强一批。</w:t>
            </w:r>
          </w:p>
          <w:p w14:paraId="3155E447">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四）优化含VOCs原辅材料和产品结构。严格控制生产和使用高VOCs含量涂料、油墨、胶粘剂、清洗剂等建设项目。加大工业涂装、包装印刷和电子行业清洁原料替代力度。鼓励和推进汽车4S店、大型汽修厂实施水性涂料替代。</w:t>
            </w:r>
          </w:p>
          <w:p w14:paraId="6B5EE2DF">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五）大力发展新能源和清洁能源。加快推进光伏发电项目建设和公共机构光伏应用，提升全市公共机构光伏应用水平和示范表率功能，因地制宜发展风力发电，统筹发展生物质能，推广建设“光储充检换”一体化充电示范项目，通过光伏优先消纳、余量存入储能、充满之后上网以及储能夜充日放，实现存储就地消纳。到2025年，新能源发电装机规模达到430万千瓦，公共机构新建建筑可安装光伏屋顶面积力争实现光伏覆盖率达到50%。</w:t>
            </w:r>
          </w:p>
          <w:p w14:paraId="3F07865C">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六）严格合理控制煤炭消费总量。原则上不再新增自备燃煤机组，支持自备燃煤机组实施清洁能源替代。未达到能耗强度降低基本目标进度要求的地区，在节能审查等环节对高耗能项目缓批限批。在保障能源安全供应的前提下，继续实施煤炭消费总量控制，鼓励发电向高效、清洁机组倾斜，到2025年全市煤炭消费量较2020年下降5%左右。</w:t>
            </w:r>
          </w:p>
          <w:p w14:paraId="758DC2D8">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七）推进燃煤锅炉关停整合和工业炉窑清洁能源替代。充分发挥30万千瓦及以上热电联产电厂的供热能力，对其供热半径30公里范围内的燃煤锅炉和落后燃煤小热电机组（含自备电厂）进行关停或整合。到2025年，淘汰35蒸t/小时及以下燃煤锅炉，基本淘汰茶水炉、经营性炉灶、储粮烘干设备、农产品加工等燃煤设施。不再新增燃料类煤气发生炉，新改扩建加热炉、热处理炉、干燥炉、熔化炉原则上采用清洁低碳能源。</w:t>
            </w:r>
          </w:p>
          <w:p w14:paraId="44A9E654">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八）推进近零碳园区和近零碳工厂试点建设。重点选择绿色产业园区、外贸出口相对集中的园区、“危污乱散低”综合治理“绿岛”园区、科创产业园区等园区类型和市级及以上绿色工厂，推进近零碳园区、近零碳工厂试点。以近零碳园区为主阵地，同步开展近零碳工厂培育和新型智能微电网、虚拟电厂等新能源应用场景推广试点。鼓励企业参与绿电、绿证交易，打造高比例可再生能源消纳示范区，推广综合能源服务，推进能源梯级利用、余热余压回收、绿色供冷供热，推动园区内源网荷储深度融合。</w:t>
            </w:r>
          </w:p>
          <w:p w14:paraId="6A104F14">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（九）持续优化货物运输结构。到2025年，水路、铁路货运量比2020年分别增长12%和10%左右，铁路集装箱多式联运量年均增长10%以上。全市采取公铁联运等“外集内配”物流方式。</w:t>
            </w:r>
          </w:p>
          <w:p w14:paraId="216E2E30">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实施绿色车轮计划。公共领域新增或更新公交、出租、城市物流配送、轻型环卫等车辆中，新能源汽车或者清洁能源汽车比例不低于80%。加快提升新能源汽车配套基础设施服务保障能力，新建住宅小区停车位立足新能源汽车安全特性100%预留充换电设施接入条件，老旧小区改造应因地制宜同步进行充换电设施改造，积极探索私桩共享模式。制定新能源汽车停车收费优惠政策，落实住宅小区新能源汽车充电电价优惠政策，对新能源汽车实行停车、充电收费优惠。力争提前一年在2024年底前基本淘汰国三及以下排放标准柴油货车。</w:t>
            </w:r>
          </w:p>
          <w:p w14:paraId="3ADDF2C3">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一）强化非道路移动源综合治理。到2025年，基本淘汰第一阶段及以下排放标准的非道路移动机械，鼓励新增或更新的3t以下叉车基本实现新能源化；民航机场桥电使用率达95%以上。大力提高岸电使用率，到2025年，主要港口和排放控制区内靠港船舶的岸电使用电量较2020年翻一番。</w:t>
            </w:r>
          </w:p>
          <w:p w14:paraId="17FC9E02">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二）实施扬尘精细化治理。积极实施“清洁城市行动”。全面取消全市范围内四级道路，进一步提升一、二级道路的比重，重点区域周边道路全部提升为一级道路作业标准。对于部分无法用大型车辆进行作业的区域，要配备一定数量的小型机械化冲洗车、洗扫车，实行人机结合的保洁模式，做到“机械保面、人工保点”。推进5000平方米及以上建筑工地安装视频监控并接入监管平台。鼓励推广使用新能源渣土运输车辆。推广装配式施工，推进“全电工地”试点。</w:t>
            </w:r>
          </w:p>
          <w:p w14:paraId="70221530">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（十三）推进矿山生态环境综合整治。新建矿山原则上要同步建设专用廊道或采用其他清洁运输方式。对限期整改仍不达标的矿山，根据安全生产、水土保持、生态环境等要求依法关闭或停止生产。</w:t>
            </w:r>
          </w:p>
          <w:p w14:paraId="24D72751">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（十四）加强秸秆禁烧和综合利用。到2025年，全市农作物秸秆综合利用率稳定达95%以上。禁止露天焚烧秸秆。综合运用卫星遥感、高清视频监控、无人机等手段，提高秸秆焚烧火点监测及巡查精准度。</w:t>
            </w:r>
          </w:p>
          <w:p w14:paraId="2D77BFCF">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五）强化VOCs全流程、全环节综合治理。鼓励储罐使用低泄漏的呼吸阀、紧急泄压阀，定期开展密封性检测。重点工业园区建立分环节、分物种管控清单，实施高排放关键活性物种“指纹化”监测监控和靶向治理。到2025年，重点工业园区VOCs浓度力争比2021年下降20%。</w:t>
            </w:r>
          </w:p>
          <w:p w14:paraId="246B76BC">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六）实施重点行业超低排放与深度治理。有序推进铸造、垃圾焚烧发电、玻璃、有色、石灰、矿棉等行业深度治理。持续推进煤电机组深度脱硝改造，力争2024年底前完成单机10万千瓦及以上煤电机组深度脱硝改造任务。到2025年底，全市水泥企业基本完成超低排放改造。实施重点行业绩效等级提升行动。</w:t>
            </w:r>
          </w:p>
          <w:p w14:paraId="6EF3CAEE">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七）推进餐饮油烟、恶臭异味专项整治。加强部门联动，因地制宜解决人民群众反映集中的油烟和恶臭扰民问题。严格居民楼附近餐饮服务单位布局管理。拟开设餐饮服务单位的建筑应设计建设专用烟道。建立重点园区“嗅辨+监测”异味溯源机制。</w:t>
            </w:r>
          </w:p>
          <w:p w14:paraId="44475728">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八）推动大气氨污染防控。推广氮肥机械深施和低蛋白日粮技术。到2025年，全市主要农作物化肥施用量较2020年削减3%，畜禽粪污综合利用率稳定在95%左右。加强氮肥、纯碱等行业大气氨排放治理。强化工业源烟气脱硫脱硝氨逃逸防控。</w:t>
            </w:r>
          </w:p>
          <w:p w14:paraId="56639C3D">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（十九）开展区域联防联控和城市空气质量达标管理。积极推进大气污染联防联控机制建设。空气质量未达标的地区编制实施大气环境质量限期达标规划，明确达标路线图及重点任务，并向社会公开。</w:t>
            </w:r>
          </w:p>
          <w:p w14:paraId="799293AC">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提升重污染天气应对能力。建立健全市、县两级重污染天气应急预案体系，进一步明确各级政府部门责任分工。结合排污许可制度，确保应急减排清单覆盖所有涉气企业。按照区域预警提示信息，依法依规与同一区域内的城市同步采取应急响应措施。</w:t>
            </w:r>
          </w:p>
          <w:p w14:paraId="799EF9DB">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一）强化大气监测和执法监管。加强机场、港口、铁路货场、物流园区、工业园区、产业集群、公路等大气环境监测。依法拓展非现场监管手段应用，探索超标识别、取证和执法的数字化监管模式，强化执法效能评估。</w:t>
            </w:r>
          </w:p>
          <w:p w14:paraId="19C55FEB">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（二十二）加强决策科技支撑。持续开展PM2.5和臭氧协同控制科技攻关。推进致臭物质识别、恶臭污染评估和溯源技术方法研究。到2025年，完成排放清单编制并实现逐年更新。推进“一地一策”驻点跟踪研究。</w:t>
            </w:r>
          </w:p>
          <w:p w14:paraId="4818B406">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三）强化标准引领。推动落实大气污染物排放最新标准，重点行业逐步配套技术指南和工程技术规范，研究制定精细化治理方案。在生产、销售、进口、使用等环节严格执行VOCs含量限值标准。进口非道路移动机械和发动机应达到我国现行新生产设备排放标准。</w:t>
            </w:r>
          </w:p>
          <w:p w14:paraId="44F599A3">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四）完善生态环境资金投入机制。综合运用经济、技术等手段推动老旧车辆退出。按照市场化方式加大传统产业及集群升级、工业污染治理、铁路专用线建设、新能源铁路装备推广等领域信贷融资支持力度。</w:t>
            </w:r>
          </w:p>
          <w:p w14:paraId="291452CC">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五）加强组织领导。坚持和加强党对大气污染防治工作的全面领导。各级政府对本行政区域内空气质量负总责，组织制定本地实施方案。市各有关部门要协同配合落实任务分工，出台政策时统筹考虑空气质量持续改善需求。</w:t>
            </w:r>
          </w:p>
          <w:p w14:paraId="70159EAB">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六）严格监督考核。将空气质量改善目标完成情况作为深入打好污染防治攻坚战成效考核的重要内容。对超额完成目标的地区给予激励；对未完成目标的地区，从资金分配、项目审批、荣誉表彰、责任追究等方面实施惩戒；对问题突出的地区，视情组织开展约谈督查。</w:t>
            </w:r>
          </w:p>
          <w:p w14:paraId="05E1A857">
            <w:pPr>
              <w:autoSpaceDE w:val="0"/>
              <w:autoSpaceDN w:val="0"/>
              <w:adjustRightInd w:val="0"/>
              <w:spacing w:line="360" w:lineRule="auto"/>
              <w:ind w:firstLine="480" w:firstLineChars="200"/>
              <w:rPr>
                <w:rFonts w:hint="default" w:ascii="Times New Roman" w:hAnsi="Times New Roman" w:eastAsia="宋体" w:cs="Times New Roman"/>
                <w:b w:val="0"/>
                <w:bCs w:val="0"/>
                <w:color w:val="auto"/>
                <w:kern w:val="44"/>
                <w:sz w:val="24"/>
                <w:szCs w:val="24"/>
                <w:lang w:val="en-US" w:eastAsia="zh-CN" w:bidi="ar-SA"/>
              </w:rPr>
            </w:pPr>
            <w:r>
              <w:rPr>
                <w:rFonts w:hint="default" w:ascii="Times New Roman" w:hAnsi="Times New Roman" w:eastAsia="宋体" w:cs="Times New Roman"/>
                <w:b w:val="0"/>
                <w:bCs w:val="0"/>
                <w:color w:val="auto"/>
                <w:kern w:val="44"/>
                <w:sz w:val="24"/>
                <w:szCs w:val="24"/>
                <w:lang w:val="en-US" w:eastAsia="zh-CN" w:bidi="ar-SA"/>
              </w:rPr>
              <w:t>（二十七）推进全民行动。落实《江苏省生态文明教育促进办法》，加强舆论引导和监督，普及大气环境与健康知识。政府带头开展绿色采购，推进使用新能源车辆，全面使用低（无）VOCs含量产品。强化公民环境意识，推动形成简约适度、绿色低碳、文明健康的生活方式，共同改善空气质量。</w:t>
            </w:r>
          </w:p>
          <w:p w14:paraId="112231E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通过上述工作的不断推进实施，本项目所在</w:t>
            </w:r>
            <w:r>
              <w:rPr>
                <w:rFonts w:hint="default" w:ascii="Times New Roman" w:hAnsi="Times New Roman" w:eastAsia="宋体" w:cs="Times New Roman"/>
                <w:color w:val="auto"/>
                <w:sz w:val="24"/>
                <w:szCs w:val="24"/>
                <w:lang w:val="en-US" w:eastAsia="zh-CN"/>
              </w:rPr>
              <w:t>区域</w:t>
            </w:r>
            <w:r>
              <w:rPr>
                <w:rFonts w:hint="default" w:ascii="Times New Roman" w:hAnsi="Times New Roman" w:eastAsia="宋体" w:cs="Times New Roman"/>
                <w:color w:val="auto"/>
                <w:sz w:val="24"/>
                <w:szCs w:val="24"/>
              </w:rPr>
              <w:t>空气环境质量将得到持续改善。</w:t>
            </w:r>
          </w:p>
          <w:p w14:paraId="55E4B456">
            <w:pPr>
              <w:adjustRightInd w:val="0"/>
              <w:snapToGrid w:val="0"/>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（3）其他污染物环境质量现状评价</w:t>
            </w:r>
          </w:p>
          <w:p w14:paraId="023AA578">
            <w:pPr>
              <w:adjustRightInd w:val="0"/>
              <w:snapToGrid w:val="0"/>
              <w:spacing w:line="360" w:lineRule="auto"/>
              <w:ind w:firstLine="480" w:firstLineChars="200"/>
              <w:rPr>
                <w:rFonts w:hint="default" w:cs="Times New Roman"/>
                <w:bCs/>
                <w:color w:val="auto"/>
                <w:sz w:val="24"/>
                <w:lang w:val="en-US" w:eastAsia="zh-CN"/>
              </w:rPr>
            </w:pPr>
            <w:r>
              <w:rPr>
                <w:rFonts w:hint="default" w:ascii="Times New Roman" w:hAnsi="Times New Roman" w:eastAsia="宋体" w:cs="Times New Roman"/>
                <w:bCs/>
                <w:color w:val="auto"/>
                <w:sz w:val="24"/>
              </w:rPr>
              <w:t>本项目特征因子（非甲烷总</w:t>
            </w:r>
            <w:r>
              <w:rPr>
                <w:rFonts w:hint="default" w:cs="Times New Roman"/>
                <w:bCs/>
                <w:color w:val="auto"/>
                <w:sz w:val="24"/>
                <w:lang w:val="en-US" w:eastAsia="zh-CN"/>
              </w:rPr>
              <w:t>烃）</w:t>
            </w:r>
            <w:r>
              <w:rPr>
                <w:rFonts w:hint="eastAsia" w:cs="Times New Roman"/>
                <w:bCs/>
                <w:color w:val="auto"/>
                <w:sz w:val="24"/>
                <w:lang w:val="en-US" w:eastAsia="zh-CN"/>
              </w:rPr>
              <w:t>委托江苏云居检测技术有限公司对项目所在地环境进行实测，监测点位为“</w:t>
            </w:r>
            <w:r>
              <w:rPr>
                <w:rFonts w:hint="default" w:cs="Times New Roman"/>
                <w:bCs/>
                <w:color w:val="auto"/>
                <w:sz w:val="24"/>
                <w:lang w:val="en-US" w:eastAsia="zh-CN"/>
              </w:rPr>
              <w:t>珑庭花园</w:t>
            </w:r>
            <w:r>
              <w:rPr>
                <w:rFonts w:hint="eastAsia" w:cs="Times New Roman"/>
                <w:bCs/>
                <w:color w:val="auto"/>
                <w:sz w:val="24"/>
                <w:lang w:val="en-US" w:eastAsia="zh-CN"/>
              </w:rPr>
              <w:t>”，监测时间为2025年1月7日</w:t>
            </w:r>
            <w:r>
              <w:rPr>
                <w:rFonts w:hint="default" w:cs="Times New Roman"/>
                <w:bCs/>
                <w:color w:val="auto"/>
                <w:sz w:val="24"/>
                <w:lang w:val="en-US" w:eastAsia="zh-CN"/>
              </w:rPr>
              <w:t>~</w:t>
            </w:r>
            <w:r>
              <w:rPr>
                <w:rFonts w:hint="eastAsia" w:cs="Times New Roman"/>
                <w:bCs/>
                <w:color w:val="auto"/>
                <w:sz w:val="24"/>
                <w:lang w:val="en-US" w:eastAsia="zh-CN"/>
              </w:rPr>
              <w:t>2025年1月9日</w:t>
            </w:r>
            <w:r>
              <w:rPr>
                <w:rFonts w:hint="default" w:cs="Times New Roman"/>
                <w:bCs/>
                <w:color w:val="auto"/>
                <w:sz w:val="24"/>
                <w:lang w:val="en-US" w:eastAsia="zh-CN"/>
              </w:rPr>
              <w:t>。监测点位基本信息见表3-2，监测结果见表3-3。</w:t>
            </w:r>
          </w:p>
          <w:p w14:paraId="50DA144B">
            <w:pPr>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表3-2 其他污染物补充监测点位基本信息表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98"/>
              <w:gridCol w:w="2439"/>
              <w:gridCol w:w="1782"/>
              <w:gridCol w:w="1990"/>
            </w:tblGrid>
            <w:tr w14:paraId="0C3BBFE2">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340" w:hRule="atLeast"/>
                <w:jc w:val="center"/>
              </w:trPr>
              <w:tc>
                <w:tcPr>
                  <w:tcW w:w="1122" w:type="pct"/>
                  <w:noWrap w:val="0"/>
                  <w:vAlign w:val="center"/>
                </w:tcPr>
                <w:p w14:paraId="538C470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监测点名称</w:t>
                  </w:r>
                </w:p>
              </w:tc>
              <w:tc>
                <w:tcPr>
                  <w:tcW w:w="1522" w:type="pct"/>
                  <w:noWrap w:val="0"/>
                  <w:vAlign w:val="center"/>
                </w:tcPr>
                <w:p w14:paraId="18BA5F9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监测点坐标/°</w:t>
                  </w:r>
                </w:p>
              </w:tc>
              <w:tc>
                <w:tcPr>
                  <w:tcW w:w="1112" w:type="pct"/>
                  <w:noWrap w:val="0"/>
                  <w:vAlign w:val="center"/>
                </w:tcPr>
                <w:p w14:paraId="4F92EDC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监测因子</w:t>
                  </w:r>
                </w:p>
              </w:tc>
              <w:tc>
                <w:tcPr>
                  <w:tcW w:w="1242" w:type="pct"/>
                  <w:noWrap w:val="0"/>
                  <w:vAlign w:val="center"/>
                </w:tcPr>
                <w:p w14:paraId="3DF0938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监测时段</w:t>
                  </w:r>
                </w:p>
              </w:tc>
            </w:tr>
            <w:tr w14:paraId="4C4B7D3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1122" w:type="pct"/>
                  <w:noWrap w:val="0"/>
                  <w:vAlign w:val="center"/>
                </w:tcPr>
                <w:p w14:paraId="21D4AD7A">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珑庭花园</w:t>
                  </w:r>
                </w:p>
              </w:tc>
              <w:tc>
                <w:tcPr>
                  <w:tcW w:w="1522" w:type="pct"/>
                  <w:noWrap w:val="0"/>
                  <w:vAlign w:val="center"/>
                </w:tcPr>
                <w:p w14:paraId="4A1D8939">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119.643816，31.754955</w:t>
                  </w:r>
                </w:p>
              </w:tc>
              <w:tc>
                <w:tcPr>
                  <w:tcW w:w="1112" w:type="pct"/>
                  <w:noWrap w:val="0"/>
                  <w:vAlign w:val="center"/>
                </w:tcPr>
                <w:p w14:paraId="6F476917">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非甲烷总烃</w:t>
                  </w:r>
                </w:p>
              </w:tc>
              <w:tc>
                <w:tcPr>
                  <w:tcW w:w="1242" w:type="pct"/>
                  <w:noWrap w:val="0"/>
                  <w:vAlign w:val="center"/>
                </w:tcPr>
                <w:p w14:paraId="235699CD">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202</w:t>
                  </w:r>
                  <w:r>
                    <w:rPr>
                      <w:rFonts w:hint="eastAsia" w:cs="Times New Roman"/>
                      <w:bCs/>
                      <w:color w:val="auto"/>
                      <w:szCs w:val="21"/>
                      <w:lang w:val="en-US" w:eastAsia="zh-CN"/>
                    </w:rPr>
                    <w:t>5</w:t>
                  </w:r>
                  <w:r>
                    <w:rPr>
                      <w:rFonts w:hint="default" w:ascii="Times New Roman" w:hAnsi="Times New Roman" w:eastAsia="宋体" w:cs="Times New Roman"/>
                      <w:bCs/>
                      <w:color w:val="auto"/>
                      <w:szCs w:val="21"/>
                    </w:rPr>
                    <w:t>.</w:t>
                  </w:r>
                  <w:r>
                    <w:rPr>
                      <w:rFonts w:hint="eastAsia" w:cs="Times New Roman"/>
                      <w:bCs/>
                      <w:color w:val="auto"/>
                      <w:szCs w:val="21"/>
                      <w:lang w:val="en-US" w:eastAsia="zh-CN"/>
                    </w:rPr>
                    <w:t>1</w:t>
                  </w:r>
                  <w:r>
                    <w:rPr>
                      <w:rFonts w:hint="default" w:ascii="Times New Roman" w:hAnsi="Times New Roman" w:eastAsia="宋体" w:cs="Times New Roman"/>
                      <w:bCs/>
                      <w:color w:val="auto"/>
                      <w:szCs w:val="21"/>
                    </w:rPr>
                    <w:t>.</w:t>
                  </w:r>
                  <w:r>
                    <w:rPr>
                      <w:rFonts w:hint="eastAsia" w:cs="Times New Roman"/>
                      <w:bCs/>
                      <w:color w:val="auto"/>
                      <w:szCs w:val="21"/>
                      <w:lang w:val="en-US" w:eastAsia="zh-CN"/>
                    </w:rPr>
                    <w:t>7</w:t>
                  </w:r>
                  <w:r>
                    <w:rPr>
                      <w:rFonts w:hint="default" w:ascii="Times New Roman" w:hAnsi="Times New Roman" w:eastAsia="宋体" w:cs="Times New Roman"/>
                      <w:bCs/>
                      <w:color w:val="auto"/>
                      <w:szCs w:val="21"/>
                    </w:rPr>
                    <w:t>~</w:t>
                  </w:r>
                  <w:r>
                    <w:rPr>
                      <w:rFonts w:hint="eastAsia" w:cs="Times New Roman"/>
                      <w:bCs/>
                      <w:color w:val="auto"/>
                      <w:szCs w:val="21"/>
                      <w:lang w:val="en-US" w:eastAsia="zh-CN"/>
                    </w:rPr>
                    <w:t>1</w:t>
                  </w:r>
                  <w:r>
                    <w:rPr>
                      <w:rFonts w:hint="default" w:ascii="Times New Roman" w:hAnsi="Times New Roman" w:eastAsia="宋体" w:cs="Times New Roman"/>
                      <w:bCs/>
                      <w:color w:val="auto"/>
                      <w:szCs w:val="21"/>
                    </w:rPr>
                    <w:t>.9</w:t>
                  </w:r>
                </w:p>
              </w:tc>
            </w:tr>
          </w:tbl>
          <w:p w14:paraId="50B195CE">
            <w:pPr>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表3-3 其他污染物环境质量现状监测结果表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93"/>
              <w:gridCol w:w="1427"/>
              <w:gridCol w:w="869"/>
              <w:gridCol w:w="781"/>
              <w:gridCol w:w="1055"/>
              <w:gridCol w:w="1300"/>
              <w:gridCol w:w="967"/>
              <w:gridCol w:w="717"/>
            </w:tblGrid>
            <w:tr w14:paraId="4BB51291">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545" w:hRule="atLeast"/>
                <w:jc w:val="center"/>
              </w:trPr>
              <w:tc>
                <w:tcPr>
                  <w:tcW w:w="558" w:type="pct"/>
                  <w:noWrap w:val="0"/>
                  <w:vAlign w:val="center"/>
                </w:tcPr>
                <w:p w14:paraId="18F8A96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w:t>
                  </w:r>
                </w:p>
                <w:p w14:paraId="5BB1F64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890" w:type="pct"/>
                  <w:noWrap w:val="0"/>
                  <w:vAlign w:val="center"/>
                </w:tcPr>
                <w:p w14:paraId="38C70CD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监测点坐标/°</w:t>
                  </w:r>
                </w:p>
              </w:tc>
              <w:tc>
                <w:tcPr>
                  <w:tcW w:w="542" w:type="pct"/>
                  <w:noWrap w:val="0"/>
                  <w:vAlign w:val="center"/>
                </w:tcPr>
                <w:p w14:paraId="7E84222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w:t>
                  </w:r>
                </w:p>
              </w:tc>
              <w:tc>
                <w:tcPr>
                  <w:tcW w:w="487" w:type="pct"/>
                  <w:noWrap w:val="0"/>
                  <w:vAlign w:val="center"/>
                </w:tcPr>
                <w:p w14:paraId="20EE949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平均时间</w:t>
                  </w:r>
                </w:p>
              </w:tc>
              <w:tc>
                <w:tcPr>
                  <w:tcW w:w="658" w:type="pct"/>
                  <w:tcBorders>
                    <w:right w:val="single" w:color="auto" w:sz="4" w:space="0"/>
                  </w:tcBorders>
                  <w:noWrap w:val="0"/>
                  <w:vAlign w:val="center"/>
                </w:tcPr>
                <w:p w14:paraId="63E35E1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评价标准</w:t>
                  </w:r>
                </w:p>
                <w:p w14:paraId="63811C62">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w:t>
                  </w:r>
                  <w:r>
                    <w:rPr>
                      <w:rFonts w:hint="default" w:ascii="Times New Roman" w:hAnsi="Times New Roman" w:eastAsia="宋体" w:cs="Times New Roman"/>
                      <w:color w:val="auto"/>
                      <w:szCs w:val="21"/>
                    </w:rPr>
                    <w:t>μg</w:t>
                  </w:r>
                  <w:r>
                    <w:rPr>
                      <w:rFonts w:hint="default" w:ascii="Times New Roman" w:hAnsi="Times New Roman" w:eastAsia="宋体" w:cs="Times New Roman"/>
                      <w:bCs/>
                      <w:color w:val="auto"/>
                      <w:szCs w:val="21"/>
                    </w:rPr>
                    <w:t>/m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w:t>
                  </w:r>
                </w:p>
              </w:tc>
              <w:tc>
                <w:tcPr>
                  <w:tcW w:w="811" w:type="pct"/>
                  <w:tcBorders>
                    <w:left w:val="single" w:color="auto" w:sz="4" w:space="0"/>
                    <w:right w:val="single" w:color="auto" w:sz="4" w:space="0"/>
                  </w:tcBorders>
                  <w:noWrap w:val="0"/>
                  <w:vAlign w:val="center"/>
                </w:tcPr>
                <w:p w14:paraId="202C8AA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监测浓度范围</w:t>
                  </w:r>
                </w:p>
                <w:p w14:paraId="3EE0680D">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w:t>
                  </w:r>
                  <w:r>
                    <w:rPr>
                      <w:rFonts w:hint="default" w:ascii="Times New Roman" w:hAnsi="Times New Roman" w:eastAsia="宋体" w:cs="Times New Roman"/>
                      <w:color w:val="auto"/>
                      <w:szCs w:val="21"/>
                    </w:rPr>
                    <w:t>μg</w:t>
                  </w:r>
                  <w:r>
                    <w:rPr>
                      <w:rFonts w:hint="default" w:ascii="Times New Roman" w:hAnsi="Times New Roman" w:eastAsia="宋体" w:cs="Times New Roman"/>
                      <w:bCs/>
                      <w:color w:val="auto"/>
                      <w:szCs w:val="21"/>
                    </w:rPr>
                    <w:t>/m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w:t>
                  </w:r>
                </w:p>
              </w:tc>
              <w:tc>
                <w:tcPr>
                  <w:tcW w:w="603" w:type="pct"/>
                  <w:tcBorders>
                    <w:right w:val="single" w:color="auto" w:sz="4" w:space="0"/>
                  </w:tcBorders>
                  <w:noWrap w:val="0"/>
                  <w:vAlign w:val="center"/>
                </w:tcPr>
                <w:p w14:paraId="658C27F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超标率/%</w:t>
                  </w:r>
                </w:p>
              </w:tc>
              <w:tc>
                <w:tcPr>
                  <w:tcW w:w="447" w:type="pct"/>
                  <w:tcBorders>
                    <w:left w:val="single" w:color="auto" w:sz="4" w:space="0"/>
                  </w:tcBorders>
                  <w:noWrap w:val="0"/>
                  <w:vAlign w:val="center"/>
                </w:tcPr>
                <w:p w14:paraId="5155CEF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p w14:paraId="042409A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情况</w:t>
                  </w:r>
                </w:p>
              </w:tc>
            </w:tr>
            <w:tr w14:paraId="3E896ED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545" w:hRule="atLeast"/>
                <w:jc w:val="center"/>
              </w:trPr>
              <w:tc>
                <w:tcPr>
                  <w:tcW w:w="558" w:type="pct"/>
                  <w:noWrap w:val="0"/>
                  <w:vAlign w:val="center"/>
                </w:tcPr>
                <w:p w14:paraId="7E939C48">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珑庭花园</w:t>
                  </w:r>
                </w:p>
              </w:tc>
              <w:tc>
                <w:tcPr>
                  <w:tcW w:w="890" w:type="pct"/>
                  <w:noWrap w:val="0"/>
                  <w:vAlign w:val="center"/>
                </w:tcPr>
                <w:p w14:paraId="495625BF">
                  <w:pPr>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119.643816，31.754955</w:t>
                  </w:r>
                </w:p>
              </w:tc>
              <w:tc>
                <w:tcPr>
                  <w:tcW w:w="542" w:type="pct"/>
                  <w:noWrap w:val="0"/>
                  <w:vAlign w:val="center"/>
                </w:tcPr>
                <w:p w14:paraId="4C63EA7A">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非甲烷总烃</w:t>
                  </w:r>
                </w:p>
              </w:tc>
              <w:tc>
                <w:tcPr>
                  <w:tcW w:w="487" w:type="pct"/>
                  <w:noWrap w:val="0"/>
                  <w:vAlign w:val="center"/>
                </w:tcPr>
                <w:p w14:paraId="5287CA69">
                  <w:pPr>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1h</w:t>
                  </w:r>
                </w:p>
              </w:tc>
              <w:tc>
                <w:tcPr>
                  <w:tcW w:w="658" w:type="pct"/>
                  <w:tcBorders>
                    <w:right w:val="single" w:color="auto" w:sz="4" w:space="0"/>
                  </w:tcBorders>
                  <w:noWrap w:val="0"/>
                  <w:vAlign w:val="center"/>
                </w:tcPr>
                <w:p w14:paraId="623EEFA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2000</w:t>
                  </w:r>
                </w:p>
              </w:tc>
              <w:tc>
                <w:tcPr>
                  <w:tcW w:w="811" w:type="pct"/>
                  <w:tcBorders>
                    <w:left w:val="single" w:color="auto" w:sz="4" w:space="0"/>
                    <w:right w:val="single" w:color="auto" w:sz="4" w:space="0"/>
                  </w:tcBorders>
                  <w:noWrap w:val="0"/>
                  <w:vAlign w:val="center"/>
                </w:tcPr>
                <w:p w14:paraId="4955B374">
                  <w:pPr>
                    <w:adjustRightInd w:val="0"/>
                    <w:snapToGrid w:val="0"/>
                    <w:jc w:val="center"/>
                    <w:rPr>
                      <w:rFonts w:hint="default" w:ascii="Times New Roman" w:hAnsi="Times New Roman" w:eastAsia="宋体" w:cs="Times New Roman"/>
                      <w:color w:val="auto"/>
                      <w:szCs w:val="21"/>
                    </w:rPr>
                  </w:pPr>
                  <w:r>
                    <w:rPr>
                      <w:rFonts w:hint="eastAsia" w:cs="Times New Roman"/>
                      <w:color w:val="auto"/>
                      <w:szCs w:val="21"/>
                      <w:lang w:val="en-US" w:eastAsia="zh-CN"/>
                    </w:rPr>
                    <w:t>73</w:t>
                  </w:r>
                  <w:r>
                    <w:rPr>
                      <w:rFonts w:hint="default" w:ascii="Times New Roman" w:hAnsi="Times New Roman" w:eastAsia="宋体" w:cs="Times New Roman"/>
                      <w:color w:val="auto"/>
                      <w:szCs w:val="21"/>
                    </w:rPr>
                    <w:t>0</w:t>
                  </w:r>
                  <w:r>
                    <w:rPr>
                      <w:rFonts w:hint="default" w:ascii="Times New Roman" w:hAnsi="Times New Roman" w:eastAsia="宋体" w:cs="Times New Roman"/>
                      <w:bCs/>
                      <w:color w:val="auto"/>
                      <w:szCs w:val="21"/>
                    </w:rPr>
                    <w:t>~</w:t>
                  </w:r>
                  <w:r>
                    <w:rPr>
                      <w:rFonts w:hint="eastAsia" w:cs="Times New Roman"/>
                      <w:bCs/>
                      <w:color w:val="auto"/>
                      <w:szCs w:val="21"/>
                      <w:lang w:val="en-US" w:eastAsia="zh-CN"/>
                    </w:rPr>
                    <w:t>90</w:t>
                  </w:r>
                  <w:r>
                    <w:rPr>
                      <w:rFonts w:hint="default" w:ascii="Times New Roman" w:hAnsi="Times New Roman" w:eastAsia="宋体" w:cs="Times New Roman"/>
                      <w:bCs/>
                      <w:color w:val="auto"/>
                      <w:szCs w:val="21"/>
                    </w:rPr>
                    <w:t>0</w:t>
                  </w:r>
                </w:p>
              </w:tc>
              <w:tc>
                <w:tcPr>
                  <w:tcW w:w="603" w:type="pct"/>
                  <w:tcBorders>
                    <w:right w:val="single" w:color="auto" w:sz="4" w:space="0"/>
                  </w:tcBorders>
                  <w:noWrap w:val="0"/>
                  <w:vAlign w:val="center"/>
                </w:tcPr>
                <w:p w14:paraId="400151F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w:t>
                  </w:r>
                </w:p>
              </w:tc>
              <w:tc>
                <w:tcPr>
                  <w:tcW w:w="447" w:type="pct"/>
                  <w:tcBorders>
                    <w:left w:val="single" w:color="auto" w:sz="4" w:space="0"/>
                  </w:tcBorders>
                  <w:noWrap w:val="0"/>
                  <w:vAlign w:val="center"/>
                </w:tcPr>
                <w:p w14:paraId="64D4956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w:t>
                  </w:r>
                </w:p>
              </w:tc>
            </w:tr>
          </w:tbl>
          <w:p w14:paraId="5A7186E5">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rPr>
              <w:t>由上表可知，监测期间项目所在地非甲烷总烃监测浓度符合相应环境标准限值。</w:t>
            </w:r>
          </w:p>
          <w:p w14:paraId="69112CE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2、地表水现状</w:t>
            </w:r>
          </w:p>
          <w:p w14:paraId="4245CD64">
            <w:pPr>
              <w:pStyle w:val="21"/>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（1）区域地表水环境质量达标现状</w:t>
            </w:r>
          </w:p>
          <w:p w14:paraId="2E46143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根据《202</w:t>
            </w:r>
            <w:r>
              <w:rPr>
                <w:rFonts w:hint="default" w:ascii="Times New Roman" w:hAnsi="Times New Roman" w:eastAsia="宋体" w:cs="Times New Roman"/>
                <w:bCs/>
                <w:color w:val="auto"/>
                <w:sz w:val="24"/>
                <w:szCs w:val="24"/>
                <w:lang w:val="en-US" w:eastAsia="zh-CN"/>
              </w:rPr>
              <w:t>3</w:t>
            </w:r>
            <w:r>
              <w:rPr>
                <w:rFonts w:hint="default" w:ascii="Times New Roman" w:hAnsi="Times New Roman" w:eastAsia="宋体" w:cs="Times New Roman"/>
                <w:bCs/>
                <w:color w:val="auto"/>
                <w:sz w:val="24"/>
                <w:szCs w:val="24"/>
              </w:rPr>
              <w:t>年常州市生态环境状况公报》，</w:t>
            </w:r>
            <w:r>
              <w:rPr>
                <w:rFonts w:hint="default" w:ascii="Times New Roman" w:hAnsi="Times New Roman" w:eastAsia="宋体" w:cs="Times New Roman"/>
                <w:bCs/>
                <w:color w:val="auto"/>
                <w:sz w:val="24"/>
                <w:szCs w:val="24"/>
                <w:lang w:val="zh-TW"/>
              </w:rPr>
              <w:t>国考、省考断面水质达到或好于</w:t>
            </w:r>
            <w:r>
              <w:rPr>
                <w:rFonts w:hint="default" w:ascii="Times New Roman" w:hAnsi="Times New Roman" w:eastAsia="宋体" w:cs="Times New Roman"/>
                <w:bCs/>
                <w:color w:val="auto"/>
                <w:sz w:val="24"/>
                <w:szCs w:val="24"/>
              </w:rPr>
              <w:t>Ⅲ</w:t>
            </w:r>
            <w:r>
              <w:rPr>
                <w:rFonts w:hint="default" w:ascii="Times New Roman" w:hAnsi="Times New Roman" w:eastAsia="宋体" w:cs="Times New Roman"/>
                <w:bCs/>
                <w:color w:val="auto"/>
                <w:sz w:val="24"/>
                <w:szCs w:val="24"/>
                <w:lang w:val="zh-TW"/>
              </w:rPr>
              <w:t>类比例超额完成省定考核要求</w:t>
            </w:r>
            <w:r>
              <w:rPr>
                <w:rFonts w:hint="default" w:ascii="Times New Roman" w:hAnsi="Times New Roman" w:eastAsia="宋体" w:cs="Times New Roman"/>
                <w:bCs/>
                <w:color w:val="auto"/>
                <w:sz w:val="24"/>
                <w:szCs w:val="24"/>
                <w:lang w:val="zh-TW" w:eastAsia="zh-CN"/>
              </w:rPr>
              <w:t>，</w:t>
            </w:r>
            <w:r>
              <w:rPr>
                <w:rFonts w:hint="default" w:ascii="Times New Roman" w:hAnsi="Times New Roman" w:eastAsia="宋体" w:cs="Times New Roman"/>
                <w:bCs/>
                <w:color w:val="auto"/>
                <w:sz w:val="24"/>
                <w:szCs w:val="24"/>
                <w:lang w:val="zh-TW"/>
              </w:rPr>
              <w:t>太湖常州水域连续16年实现安全度夏。长江干流</w:t>
            </w:r>
            <w:r>
              <w:rPr>
                <w:rFonts w:hint="default" w:ascii="Times New Roman" w:hAnsi="Times New Roman" w:eastAsia="宋体" w:cs="Times New Roman"/>
                <w:bCs/>
                <w:color w:val="auto"/>
                <w:sz w:val="24"/>
                <w:szCs w:val="24"/>
                <w:lang w:val="zh-TW" w:eastAsia="zh-CN"/>
              </w:rPr>
              <w:t>（</w:t>
            </w:r>
            <w:r>
              <w:rPr>
                <w:rFonts w:hint="default" w:ascii="Times New Roman" w:hAnsi="Times New Roman" w:eastAsia="宋体" w:cs="Times New Roman"/>
                <w:bCs/>
                <w:color w:val="auto"/>
                <w:sz w:val="24"/>
                <w:szCs w:val="24"/>
                <w:lang w:val="zh-TW"/>
              </w:rPr>
              <w:t>常州段</w:t>
            </w:r>
            <w:r>
              <w:rPr>
                <w:rFonts w:hint="default" w:ascii="Times New Roman" w:hAnsi="Times New Roman" w:eastAsia="宋体" w:cs="Times New Roman"/>
                <w:bCs/>
                <w:color w:val="auto"/>
                <w:sz w:val="24"/>
                <w:szCs w:val="24"/>
                <w:lang w:val="zh-TW" w:eastAsia="zh-CN"/>
              </w:rPr>
              <w:t>）</w:t>
            </w:r>
            <w:r>
              <w:rPr>
                <w:rFonts w:hint="default" w:ascii="Times New Roman" w:hAnsi="Times New Roman" w:eastAsia="宋体" w:cs="Times New Roman"/>
                <w:bCs/>
                <w:color w:val="auto"/>
                <w:sz w:val="24"/>
                <w:szCs w:val="24"/>
                <w:lang w:val="zh-TW"/>
              </w:rPr>
              <w:t>水质连续6年稳定Ⅱ类水平</w:t>
            </w:r>
            <w:r>
              <w:rPr>
                <w:rFonts w:hint="default" w:ascii="Times New Roman" w:hAnsi="Times New Roman" w:eastAsia="宋体" w:cs="Times New Roman"/>
                <w:bCs/>
                <w:color w:val="auto"/>
                <w:sz w:val="24"/>
                <w:szCs w:val="24"/>
                <w:lang w:val="zh-TW" w:eastAsia="zh-CN"/>
              </w:rPr>
              <w:t>，</w:t>
            </w:r>
            <w:r>
              <w:rPr>
                <w:rFonts w:hint="default" w:ascii="Times New Roman" w:hAnsi="Times New Roman" w:eastAsia="宋体" w:cs="Times New Roman"/>
                <w:bCs/>
                <w:color w:val="auto"/>
                <w:sz w:val="24"/>
                <w:szCs w:val="24"/>
                <w:lang w:val="zh-TW"/>
              </w:rPr>
              <w:t>主要入湖河道、集中式饮用水源地水质达到省定考核目标</w:t>
            </w:r>
            <w:r>
              <w:rPr>
                <w:rFonts w:hint="default" w:ascii="Times New Roman" w:hAnsi="Times New Roman" w:eastAsia="宋体" w:cs="Times New Roman"/>
                <w:bCs/>
                <w:color w:val="auto"/>
                <w:sz w:val="24"/>
                <w:szCs w:val="24"/>
                <w:lang w:eastAsia="zh-CN"/>
              </w:rPr>
              <w:t>。</w:t>
            </w:r>
          </w:p>
          <w:p w14:paraId="2EC303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饮用水水源地水质：常州市城市饮用水以集中供水为主，根据《江苏省2023年水生态环境保护工作计划》(苏水治办(202311号)，2023年全市5个县级及以上城市集中式饮用水水源地(含备用)，取水总量为5.11亿t,全年各次监测均达标。</w:t>
            </w:r>
          </w:p>
          <w:p w14:paraId="343C65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国省考断面：2023年，常州市纳入“十四五”国家地表水环境质量考核的20个断面中，年均水质达到或好于《地表水环境质量标准》(GB3838-2002)</w:t>
            </w:r>
            <w:r>
              <w:rPr>
                <w:rFonts w:hint="default" w:ascii="Times New Roman" w:hAnsi="Times New Roman" w:eastAsia="宋体" w:cs="Times New Roman"/>
                <w:bCs/>
                <w:color w:val="auto"/>
                <w:sz w:val="24"/>
                <w:szCs w:val="24"/>
              </w:rPr>
              <w:t>Ⅲ</w:t>
            </w:r>
            <w:r>
              <w:rPr>
                <w:rFonts w:hint="default" w:ascii="Times New Roman" w:hAnsi="Times New Roman" w:eastAsia="宋体" w:cs="Times New Roman"/>
                <w:bCs/>
                <w:color w:val="auto"/>
                <w:sz w:val="24"/>
                <w:szCs w:val="24"/>
                <w:lang w:val="en-US" w:eastAsia="zh-CN"/>
              </w:rPr>
              <w:t>类标准的断面比例为85%，无劣V类断面。纳入江苏省“十四五”水环境质量目标考核51个断面，年均水质达到或好于</w:t>
            </w:r>
            <w:r>
              <w:rPr>
                <w:rFonts w:hint="default" w:ascii="Times New Roman" w:hAnsi="Times New Roman" w:eastAsia="宋体" w:cs="Times New Roman"/>
                <w:bCs/>
                <w:color w:val="auto"/>
                <w:sz w:val="24"/>
                <w:szCs w:val="24"/>
              </w:rPr>
              <w:t>Ⅲ</w:t>
            </w:r>
            <w:r>
              <w:rPr>
                <w:rFonts w:hint="default" w:ascii="Times New Roman" w:hAnsi="Times New Roman" w:eastAsia="宋体" w:cs="Times New Roman"/>
                <w:bCs/>
                <w:color w:val="auto"/>
                <w:sz w:val="24"/>
                <w:szCs w:val="24"/>
                <w:lang w:val="en-US" w:eastAsia="zh-CN"/>
              </w:rPr>
              <w:t>类的比例为94.1%，无劣V类断面。</w:t>
            </w:r>
          </w:p>
          <w:p w14:paraId="1B8AB0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太湖及入太河流：2023年，我市太湖湖心区断面自太湖治理以来首次达到地表水湖库</w:t>
            </w:r>
            <w:r>
              <w:rPr>
                <w:rFonts w:hint="default" w:ascii="Times New Roman" w:hAnsi="Times New Roman" w:eastAsia="宋体" w:cs="Times New Roman"/>
                <w:bCs/>
                <w:color w:val="auto"/>
                <w:sz w:val="24"/>
                <w:szCs w:val="24"/>
              </w:rPr>
              <w:t>Ⅲ</w:t>
            </w:r>
            <w:r>
              <w:rPr>
                <w:rFonts w:hint="default" w:ascii="Times New Roman" w:hAnsi="Times New Roman" w:eastAsia="宋体" w:cs="Times New Roman"/>
                <w:bCs/>
                <w:color w:val="auto"/>
                <w:sz w:val="24"/>
                <w:szCs w:val="24"/>
                <w:lang w:val="en-US" w:eastAsia="zh-CN"/>
              </w:rPr>
              <w:t>类标准，其中总磷0.05mg/L，同比下降21.9%，高锰酸盐指数和氨氮分别达到</w:t>
            </w:r>
            <w:r>
              <w:rPr>
                <w:rFonts w:hint="default" w:ascii="Times New Roman" w:hAnsi="Times New Roman" w:eastAsia="宋体" w:cs="Times New Roman"/>
                <w:bCs/>
                <w:color w:val="auto"/>
                <w:sz w:val="24"/>
                <w:szCs w:val="24"/>
                <w:lang w:val="zh-TW"/>
              </w:rPr>
              <w:t>Ⅱ</w:t>
            </w:r>
            <w:r>
              <w:rPr>
                <w:rFonts w:hint="default" w:ascii="Times New Roman" w:hAnsi="Times New Roman" w:eastAsia="宋体" w:cs="Times New Roman"/>
                <w:bCs/>
                <w:color w:val="auto"/>
                <w:sz w:val="24"/>
                <w:szCs w:val="24"/>
                <w:lang w:val="en-US" w:eastAsia="zh-CN"/>
              </w:rPr>
              <w:t>类和Ⅰ类标准。太湖西部区断面总磷0.074mg/L，同比下降16.9%，高锰酸盐指数和氨氮分别达到</w:t>
            </w:r>
            <w:r>
              <w:rPr>
                <w:rFonts w:hint="default" w:ascii="Times New Roman" w:hAnsi="Times New Roman" w:eastAsia="宋体" w:cs="Times New Roman"/>
                <w:bCs/>
                <w:color w:val="auto"/>
                <w:sz w:val="24"/>
                <w:szCs w:val="24"/>
                <w:lang w:val="zh-TW"/>
              </w:rPr>
              <w:t>Ⅱ</w:t>
            </w:r>
            <w:r>
              <w:rPr>
                <w:rFonts w:hint="default" w:ascii="Times New Roman" w:hAnsi="Times New Roman" w:eastAsia="宋体" w:cs="Times New Roman"/>
                <w:bCs/>
                <w:color w:val="auto"/>
                <w:sz w:val="24"/>
                <w:szCs w:val="24"/>
                <w:lang w:val="en-US" w:eastAsia="zh-CN"/>
              </w:rPr>
              <w:t>类和Ⅰ类标准。武进港、漕桥河、太滆运河等3条主要入湖河道氮磷达到省定约束性考核目标。</w:t>
            </w:r>
          </w:p>
          <w:p w14:paraId="5DFE483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3、声环境质量现状</w:t>
            </w:r>
          </w:p>
          <w:p w14:paraId="6D1D1C54">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kern w:val="2"/>
                <w:sz w:val="24"/>
                <w:szCs w:val="24"/>
                <w:highlight w:val="none"/>
                <w:lang w:val="en-US" w:eastAsia="zh-CN" w:bidi="ar-SA"/>
              </w:rPr>
              <w:t>本项目厂界外周边50米范围内不存在声环境保护目标。</w:t>
            </w:r>
          </w:p>
          <w:p w14:paraId="1FA7538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4、生态环境现状</w:t>
            </w:r>
          </w:p>
          <w:p w14:paraId="693F2F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Cs/>
                <w:color w:val="auto"/>
                <w:sz w:val="24"/>
              </w:rPr>
              <w:t>本项目不新增建设用地，用地范围内无生态环境保护目标。根据《建设项目环境影响报告表编制技术指南（污染影响类）》（试行），无需开展生态环境现状调查。</w:t>
            </w:r>
          </w:p>
          <w:p w14:paraId="44EB983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5、地下水</w:t>
            </w:r>
            <w:r>
              <w:rPr>
                <w:rFonts w:hint="default" w:ascii="Times New Roman" w:hAnsi="Times New Roman" w:eastAsia="宋体" w:cs="Times New Roman"/>
                <w:b/>
                <w:color w:val="auto"/>
                <w:sz w:val="24"/>
                <w:lang w:val="en-US" w:eastAsia="zh-CN"/>
              </w:rPr>
              <w:t>、</w:t>
            </w:r>
            <w:r>
              <w:rPr>
                <w:rFonts w:hint="default" w:ascii="Times New Roman" w:hAnsi="Times New Roman" w:eastAsia="宋体" w:cs="Times New Roman"/>
                <w:b/>
                <w:color w:val="auto"/>
                <w:sz w:val="24"/>
              </w:rPr>
              <w:t>土壤环境质量现状</w:t>
            </w:r>
          </w:p>
          <w:p w14:paraId="7DA25A4E">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rPr>
              <w:t>对照《建设项目环境影响报告表编制技术指南（污染影响类）（试行）》，建设单位在落实分区防控的情况下，可阻断土壤、地下水环境污染途径，故不开展土壤、地下水环境质量现状调查。</w:t>
            </w:r>
          </w:p>
          <w:p w14:paraId="5FA2CA9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6</w:t>
            </w:r>
            <w:r>
              <w:rPr>
                <w:rFonts w:hint="default" w:ascii="Times New Roman" w:hAnsi="Times New Roman" w:eastAsia="宋体" w:cs="Times New Roman"/>
                <w:b/>
                <w:color w:val="auto"/>
                <w:sz w:val="24"/>
              </w:rPr>
              <w:t>、辐射</w:t>
            </w:r>
          </w:p>
          <w:p w14:paraId="42C9718F">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本项目不属于广播电台、差转台、电视塔台、卫星地球上行站、雷达等电磁辐射类项目。</w:t>
            </w:r>
          </w:p>
          <w:p w14:paraId="29397F96">
            <w:pPr>
              <w:tabs>
                <w:tab w:val="left" w:pos="630"/>
              </w:tabs>
              <w:adjustRightInd w:val="0"/>
              <w:snapToGrid w:val="0"/>
              <w:spacing w:line="500" w:lineRule="exact"/>
              <w:ind w:firstLine="480" w:firstLineChars="200"/>
              <w:rPr>
                <w:rFonts w:hint="default" w:ascii="Times New Roman" w:hAnsi="Times New Roman" w:eastAsia="宋体" w:cs="Times New Roman"/>
                <w:bCs/>
                <w:color w:val="auto"/>
                <w:sz w:val="24"/>
              </w:rPr>
            </w:pPr>
          </w:p>
          <w:p w14:paraId="1E86B3B0">
            <w:pPr>
              <w:tabs>
                <w:tab w:val="left" w:pos="630"/>
              </w:tabs>
              <w:adjustRightInd w:val="0"/>
              <w:snapToGrid w:val="0"/>
              <w:spacing w:line="500" w:lineRule="exact"/>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br w:type="textWrapping"/>
            </w:r>
            <w:r>
              <w:rPr>
                <w:rFonts w:hint="default" w:ascii="Times New Roman" w:hAnsi="Times New Roman" w:eastAsia="宋体" w:cs="Times New Roman"/>
                <w:bCs/>
                <w:color w:val="auto"/>
                <w:sz w:val="24"/>
              </w:rPr>
              <w:br w:type="textWrapping"/>
            </w:r>
          </w:p>
        </w:tc>
      </w:tr>
      <w:tr w14:paraId="05F1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9" w:hRule="atLeast"/>
          <w:jc w:val="center"/>
        </w:trPr>
        <w:tc>
          <w:tcPr>
            <w:tcW w:w="832" w:type="dxa"/>
            <w:vAlign w:val="center"/>
          </w:tcPr>
          <w:p w14:paraId="4292EBC2">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环境</w:t>
            </w:r>
          </w:p>
          <w:p w14:paraId="50842620">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保护</w:t>
            </w:r>
          </w:p>
          <w:p w14:paraId="52A6BCDB">
            <w:pPr>
              <w:adjustRightInd w:val="0"/>
              <w:snapToGrid w:val="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rPr>
              <w:t>目标</w:t>
            </w:r>
          </w:p>
        </w:tc>
        <w:tc>
          <w:tcPr>
            <w:tcW w:w="8228" w:type="dxa"/>
            <w:vAlign w:val="top"/>
          </w:tcPr>
          <w:p w14:paraId="0611A1AA">
            <w:pPr>
              <w:adjustRightInd w:val="0"/>
              <w:snapToGrid w:val="0"/>
              <w:spacing w:line="500" w:lineRule="exact"/>
              <w:ind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1、大气环境</w:t>
            </w:r>
          </w:p>
          <w:p w14:paraId="2041C0CA">
            <w:pPr>
              <w:pStyle w:val="95"/>
              <w:rPr>
                <w:rFonts w:hint="default" w:ascii="Times New Roman" w:hAnsi="Times New Roman" w:eastAsia="宋体" w:cs="Times New Roman"/>
                <w:color w:val="auto"/>
              </w:rPr>
            </w:pPr>
            <w:r>
              <w:rPr>
                <w:rFonts w:hint="default" w:ascii="Times New Roman" w:hAnsi="Times New Roman" w:eastAsia="宋体" w:cs="Times New Roman"/>
                <w:color w:val="auto"/>
              </w:rPr>
              <w:t>表3-</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 xml:space="preserve"> 主要</w:t>
            </w:r>
            <w:r>
              <w:rPr>
                <w:rFonts w:hint="default" w:ascii="Times New Roman" w:hAnsi="Times New Roman" w:eastAsia="宋体" w:cs="Times New Roman"/>
                <w:color w:val="auto"/>
                <w:lang w:eastAsia="zh-CN"/>
              </w:rPr>
              <w:t>大气</w:t>
            </w:r>
            <w:r>
              <w:rPr>
                <w:rFonts w:hint="default" w:ascii="Times New Roman" w:hAnsi="Times New Roman" w:eastAsia="宋体" w:cs="Times New Roman"/>
                <w:color w:val="auto"/>
              </w:rPr>
              <w:t>环境保护目标一览表</w:t>
            </w:r>
          </w:p>
          <w:tbl>
            <w:tblPr>
              <w:tblStyle w:val="27"/>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206"/>
              <w:gridCol w:w="1109"/>
              <w:gridCol w:w="737"/>
              <w:gridCol w:w="683"/>
              <w:gridCol w:w="1838"/>
              <w:gridCol w:w="767"/>
              <w:gridCol w:w="958"/>
            </w:tblGrid>
            <w:tr w14:paraId="471B6E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4" w:type="dxa"/>
                  <w:vMerge w:val="restart"/>
                  <w:noWrap w:val="0"/>
                  <w:vAlign w:val="center"/>
                </w:tcPr>
                <w:p w14:paraId="1FA13E57">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保护对象名称</w:t>
                  </w:r>
                </w:p>
              </w:tc>
              <w:tc>
                <w:tcPr>
                  <w:tcW w:w="2315" w:type="dxa"/>
                  <w:gridSpan w:val="2"/>
                  <w:noWrap w:val="0"/>
                  <w:vAlign w:val="center"/>
                </w:tcPr>
                <w:p w14:paraId="2EBAC4DA">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坐标</w:t>
                  </w:r>
                </w:p>
              </w:tc>
              <w:tc>
                <w:tcPr>
                  <w:tcW w:w="737" w:type="dxa"/>
                  <w:vMerge w:val="restart"/>
                  <w:noWrap w:val="0"/>
                  <w:vAlign w:val="center"/>
                </w:tcPr>
                <w:p w14:paraId="1D8663E0">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保护内容</w:t>
                  </w:r>
                </w:p>
              </w:tc>
              <w:tc>
                <w:tcPr>
                  <w:tcW w:w="683" w:type="dxa"/>
                  <w:vMerge w:val="restart"/>
                  <w:noWrap w:val="0"/>
                  <w:vAlign w:val="center"/>
                </w:tcPr>
                <w:p w14:paraId="55D890C1">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保护对象</w:t>
                  </w:r>
                </w:p>
              </w:tc>
              <w:tc>
                <w:tcPr>
                  <w:tcW w:w="1838" w:type="dxa"/>
                  <w:vMerge w:val="restart"/>
                  <w:noWrap w:val="0"/>
                  <w:vAlign w:val="center"/>
                </w:tcPr>
                <w:p w14:paraId="4369259E">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环境功能区</w:t>
                  </w:r>
                </w:p>
              </w:tc>
              <w:tc>
                <w:tcPr>
                  <w:tcW w:w="767" w:type="dxa"/>
                  <w:vMerge w:val="restart"/>
                  <w:noWrap w:val="0"/>
                  <w:vAlign w:val="center"/>
                </w:tcPr>
                <w:p w14:paraId="4208DE1C">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相对厂址方位</w:t>
                  </w:r>
                </w:p>
              </w:tc>
              <w:tc>
                <w:tcPr>
                  <w:tcW w:w="958" w:type="dxa"/>
                  <w:vMerge w:val="restart"/>
                  <w:noWrap w:val="0"/>
                  <w:vAlign w:val="center"/>
                </w:tcPr>
                <w:p w14:paraId="30D04776">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相对厂界距离（m）</w:t>
                  </w:r>
                </w:p>
              </w:tc>
            </w:tr>
            <w:tr w14:paraId="3DE337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4" w:type="dxa"/>
                  <w:vMerge w:val="continue"/>
                  <w:noWrap w:val="0"/>
                  <w:vAlign w:val="center"/>
                </w:tcPr>
                <w:p w14:paraId="08C2B830">
                  <w:pPr>
                    <w:jc w:val="center"/>
                    <w:rPr>
                      <w:rFonts w:hint="default" w:ascii="Times New Roman" w:hAnsi="Times New Roman" w:eastAsia="宋体" w:cs="Times New Roman"/>
                      <w:b/>
                      <w:bCs/>
                      <w:color w:val="auto"/>
                      <w:sz w:val="21"/>
                      <w:szCs w:val="21"/>
                    </w:rPr>
                  </w:pPr>
                </w:p>
              </w:tc>
              <w:tc>
                <w:tcPr>
                  <w:tcW w:w="1206" w:type="dxa"/>
                  <w:noWrap w:val="0"/>
                  <w:vAlign w:val="center"/>
                </w:tcPr>
                <w:p w14:paraId="230483BF">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w:t>
                  </w:r>
                </w:p>
              </w:tc>
              <w:tc>
                <w:tcPr>
                  <w:tcW w:w="1109" w:type="dxa"/>
                  <w:noWrap w:val="0"/>
                  <w:vAlign w:val="center"/>
                </w:tcPr>
                <w:p w14:paraId="1146BB05">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w:t>
                  </w:r>
                </w:p>
              </w:tc>
              <w:tc>
                <w:tcPr>
                  <w:tcW w:w="737" w:type="dxa"/>
                  <w:vMerge w:val="continue"/>
                  <w:noWrap w:val="0"/>
                  <w:vAlign w:val="center"/>
                </w:tcPr>
                <w:p w14:paraId="0BF4E990">
                  <w:pPr>
                    <w:jc w:val="center"/>
                    <w:rPr>
                      <w:rFonts w:hint="default" w:ascii="Times New Roman" w:hAnsi="Times New Roman" w:eastAsia="宋体" w:cs="Times New Roman"/>
                      <w:b/>
                      <w:bCs/>
                      <w:color w:val="auto"/>
                      <w:sz w:val="21"/>
                      <w:szCs w:val="21"/>
                    </w:rPr>
                  </w:pPr>
                </w:p>
              </w:tc>
              <w:tc>
                <w:tcPr>
                  <w:tcW w:w="683" w:type="dxa"/>
                  <w:vMerge w:val="continue"/>
                  <w:noWrap w:val="0"/>
                  <w:vAlign w:val="center"/>
                </w:tcPr>
                <w:p w14:paraId="2D36346C">
                  <w:pPr>
                    <w:jc w:val="center"/>
                    <w:rPr>
                      <w:rFonts w:hint="default" w:ascii="Times New Roman" w:hAnsi="Times New Roman" w:eastAsia="宋体" w:cs="Times New Roman"/>
                      <w:b/>
                      <w:bCs/>
                      <w:color w:val="auto"/>
                      <w:sz w:val="21"/>
                      <w:szCs w:val="21"/>
                    </w:rPr>
                  </w:pPr>
                </w:p>
              </w:tc>
              <w:tc>
                <w:tcPr>
                  <w:tcW w:w="1838" w:type="dxa"/>
                  <w:vMerge w:val="continue"/>
                  <w:noWrap w:val="0"/>
                  <w:vAlign w:val="center"/>
                </w:tcPr>
                <w:p w14:paraId="662E57BE">
                  <w:pPr>
                    <w:jc w:val="center"/>
                    <w:rPr>
                      <w:rFonts w:hint="default" w:ascii="Times New Roman" w:hAnsi="Times New Roman" w:eastAsia="宋体" w:cs="Times New Roman"/>
                      <w:b/>
                      <w:bCs/>
                      <w:color w:val="auto"/>
                      <w:sz w:val="21"/>
                      <w:szCs w:val="21"/>
                    </w:rPr>
                  </w:pPr>
                </w:p>
              </w:tc>
              <w:tc>
                <w:tcPr>
                  <w:tcW w:w="767" w:type="dxa"/>
                  <w:vMerge w:val="continue"/>
                  <w:noWrap w:val="0"/>
                  <w:vAlign w:val="center"/>
                </w:tcPr>
                <w:p w14:paraId="1C828589">
                  <w:pPr>
                    <w:jc w:val="center"/>
                    <w:rPr>
                      <w:rFonts w:hint="default" w:ascii="Times New Roman" w:hAnsi="Times New Roman" w:eastAsia="宋体" w:cs="Times New Roman"/>
                      <w:b/>
                      <w:bCs/>
                      <w:color w:val="auto"/>
                      <w:sz w:val="21"/>
                      <w:szCs w:val="21"/>
                    </w:rPr>
                  </w:pPr>
                </w:p>
              </w:tc>
              <w:tc>
                <w:tcPr>
                  <w:tcW w:w="958" w:type="dxa"/>
                  <w:vMerge w:val="continue"/>
                  <w:noWrap w:val="0"/>
                  <w:vAlign w:val="center"/>
                </w:tcPr>
                <w:p w14:paraId="72EBFF30">
                  <w:pPr>
                    <w:jc w:val="center"/>
                    <w:rPr>
                      <w:rFonts w:hint="default" w:ascii="Times New Roman" w:hAnsi="Times New Roman" w:eastAsia="宋体" w:cs="Times New Roman"/>
                      <w:b/>
                      <w:bCs/>
                      <w:color w:val="auto"/>
                      <w:sz w:val="21"/>
                      <w:szCs w:val="21"/>
                    </w:rPr>
                  </w:pPr>
                </w:p>
              </w:tc>
            </w:tr>
            <w:tr w14:paraId="2D231A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4" w:type="dxa"/>
                  <w:noWrap w:val="0"/>
                  <w:vAlign w:val="center"/>
                </w:tcPr>
                <w:p w14:paraId="10437472">
                  <w:pPr>
                    <w:tabs>
                      <w:tab w:val="left" w:pos="1021"/>
                    </w:tabs>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蓝岭公寓</w:t>
                  </w:r>
                </w:p>
              </w:tc>
              <w:tc>
                <w:tcPr>
                  <w:tcW w:w="1206" w:type="dxa"/>
                  <w:noWrap w:val="0"/>
                  <w:vAlign w:val="center"/>
                </w:tcPr>
                <w:p w14:paraId="1B77825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Cs w:val="21"/>
                    </w:rPr>
                    <w:t>119.6</w:t>
                  </w:r>
                  <w:r>
                    <w:rPr>
                      <w:rFonts w:hint="default" w:ascii="Times New Roman" w:hAnsi="Times New Roman" w:eastAsia="宋体" w:cs="Times New Roman"/>
                      <w:bCs/>
                      <w:color w:val="auto"/>
                      <w:szCs w:val="21"/>
                      <w:lang w:val="en-US" w:eastAsia="zh-CN"/>
                    </w:rPr>
                    <w:t>51941</w:t>
                  </w:r>
                </w:p>
              </w:tc>
              <w:tc>
                <w:tcPr>
                  <w:tcW w:w="1109" w:type="dxa"/>
                  <w:noWrap w:val="0"/>
                  <w:vAlign w:val="center"/>
                </w:tcPr>
                <w:p w14:paraId="3C1350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Cs w:val="21"/>
                    </w:rPr>
                    <w:t>31.75</w:t>
                  </w:r>
                  <w:r>
                    <w:rPr>
                      <w:rFonts w:hint="default" w:ascii="Times New Roman" w:hAnsi="Times New Roman" w:eastAsia="宋体" w:cs="Times New Roman"/>
                      <w:bCs/>
                      <w:color w:val="auto"/>
                      <w:szCs w:val="21"/>
                      <w:lang w:val="en-US" w:eastAsia="zh-CN"/>
                    </w:rPr>
                    <w:t>4317</w:t>
                  </w:r>
                </w:p>
              </w:tc>
              <w:tc>
                <w:tcPr>
                  <w:tcW w:w="737" w:type="dxa"/>
                  <w:noWrap w:val="0"/>
                  <w:vAlign w:val="center"/>
                </w:tcPr>
                <w:p w14:paraId="5139637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人群</w:t>
                  </w:r>
                </w:p>
              </w:tc>
              <w:tc>
                <w:tcPr>
                  <w:tcW w:w="683" w:type="dxa"/>
                  <w:noWrap w:val="0"/>
                  <w:vAlign w:val="center"/>
                </w:tcPr>
                <w:p w14:paraId="11FC637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居民区</w:t>
                  </w:r>
                </w:p>
              </w:tc>
              <w:tc>
                <w:tcPr>
                  <w:tcW w:w="1838" w:type="dxa"/>
                  <w:vMerge w:val="restart"/>
                  <w:noWrap w:val="0"/>
                  <w:vAlign w:val="center"/>
                </w:tcPr>
                <w:p w14:paraId="26D0C32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《环境空气质量标准》（GB3095-2012）中二类区</w:t>
                  </w:r>
                </w:p>
              </w:tc>
              <w:tc>
                <w:tcPr>
                  <w:tcW w:w="767" w:type="dxa"/>
                  <w:noWrap w:val="0"/>
                  <w:vAlign w:val="center"/>
                </w:tcPr>
                <w:p w14:paraId="66717102">
                  <w:pPr>
                    <w:tabs>
                      <w:tab w:val="left" w:pos="1021"/>
                    </w:tabs>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WNW</w:t>
                  </w:r>
                </w:p>
              </w:tc>
              <w:tc>
                <w:tcPr>
                  <w:tcW w:w="958" w:type="dxa"/>
                  <w:noWrap w:val="0"/>
                  <w:vAlign w:val="center"/>
                </w:tcPr>
                <w:p w14:paraId="37B57713">
                  <w:pPr>
                    <w:tabs>
                      <w:tab w:val="left" w:pos="1021"/>
                    </w:tabs>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350</w:t>
                  </w:r>
                </w:p>
              </w:tc>
            </w:tr>
            <w:tr w14:paraId="1539DB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14" w:type="dxa"/>
                  <w:noWrap w:val="0"/>
                  <w:vAlign w:val="center"/>
                </w:tcPr>
                <w:p w14:paraId="599AFBD6">
                  <w:pPr>
                    <w:tabs>
                      <w:tab w:val="left" w:pos="1021"/>
                    </w:tabs>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上塘庙</w:t>
                  </w:r>
                </w:p>
              </w:tc>
              <w:tc>
                <w:tcPr>
                  <w:tcW w:w="1206" w:type="dxa"/>
                  <w:noWrap w:val="0"/>
                  <w:vAlign w:val="center"/>
                </w:tcPr>
                <w:p w14:paraId="07E418E1">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Cs w:val="21"/>
                    </w:rPr>
                    <w:t>119.6</w:t>
                  </w:r>
                  <w:r>
                    <w:rPr>
                      <w:rFonts w:hint="default" w:ascii="Times New Roman" w:hAnsi="Times New Roman" w:eastAsia="宋体" w:cs="Times New Roman"/>
                      <w:bCs/>
                      <w:color w:val="auto"/>
                      <w:szCs w:val="21"/>
                      <w:lang w:val="en-US" w:eastAsia="zh-CN"/>
                    </w:rPr>
                    <w:t>56101</w:t>
                  </w:r>
                </w:p>
              </w:tc>
              <w:tc>
                <w:tcPr>
                  <w:tcW w:w="1109" w:type="dxa"/>
                  <w:noWrap w:val="0"/>
                  <w:vAlign w:val="center"/>
                </w:tcPr>
                <w:p w14:paraId="0F1E7947">
                  <w:pPr>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Cs w:val="21"/>
                    </w:rPr>
                    <w:t>31.75</w:t>
                  </w:r>
                  <w:r>
                    <w:rPr>
                      <w:rFonts w:hint="default" w:ascii="Times New Roman" w:hAnsi="Times New Roman" w:eastAsia="宋体" w:cs="Times New Roman"/>
                      <w:bCs/>
                      <w:color w:val="auto"/>
                      <w:szCs w:val="21"/>
                      <w:lang w:val="en-US" w:eastAsia="zh-CN"/>
                    </w:rPr>
                    <w:t>1720</w:t>
                  </w:r>
                </w:p>
              </w:tc>
              <w:tc>
                <w:tcPr>
                  <w:tcW w:w="737" w:type="dxa"/>
                  <w:noWrap w:val="0"/>
                  <w:vAlign w:val="center"/>
                </w:tcPr>
                <w:p w14:paraId="5235AF6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人群</w:t>
                  </w:r>
                </w:p>
              </w:tc>
              <w:tc>
                <w:tcPr>
                  <w:tcW w:w="683" w:type="dxa"/>
                  <w:noWrap w:val="0"/>
                  <w:vAlign w:val="center"/>
                </w:tcPr>
                <w:p w14:paraId="5FFC90B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文化区</w:t>
                  </w:r>
                </w:p>
              </w:tc>
              <w:tc>
                <w:tcPr>
                  <w:tcW w:w="1838" w:type="dxa"/>
                  <w:vMerge w:val="continue"/>
                  <w:noWrap w:val="0"/>
                  <w:vAlign w:val="center"/>
                </w:tcPr>
                <w:p w14:paraId="47C582B1">
                  <w:pPr>
                    <w:jc w:val="center"/>
                    <w:rPr>
                      <w:rFonts w:hint="default" w:ascii="Times New Roman" w:hAnsi="Times New Roman" w:eastAsia="宋体" w:cs="Times New Roman"/>
                      <w:color w:val="auto"/>
                      <w:sz w:val="21"/>
                      <w:szCs w:val="21"/>
                    </w:rPr>
                  </w:pPr>
                </w:p>
              </w:tc>
              <w:tc>
                <w:tcPr>
                  <w:tcW w:w="767" w:type="dxa"/>
                  <w:noWrap w:val="0"/>
                  <w:vAlign w:val="center"/>
                </w:tcPr>
                <w:p w14:paraId="77D0F1D9">
                  <w:pPr>
                    <w:tabs>
                      <w:tab w:val="left" w:pos="1021"/>
                    </w:tabs>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SSW</w:t>
                  </w:r>
                </w:p>
              </w:tc>
              <w:tc>
                <w:tcPr>
                  <w:tcW w:w="958" w:type="dxa"/>
                  <w:noWrap w:val="0"/>
                  <w:vAlign w:val="center"/>
                </w:tcPr>
                <w:p w14:paraId="79B7871E">
                  <w:pPr>
                    <w:tabs>
                      <w:tab w:val="left" w:pos="1021"/>
                    </w:tabs>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120</w:t>
                  </w:r>
                </w:p>
              </w:tc>
            </w:tr>
          </w:tbl>
          <w:p w14:paraId="41FFF420">
            <w:pPr>
              <w:adjustRightInd w:val="0"/>
              <w:snapToGrid w:val="0"/>
              <w:spacing w:line="500" w:lineRule="exact"/>
              <w:ind w:firstLine="480" w:firstLineChars="200"/>
              <w:jc w:val="both"/>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2、声环境</w:t>
            </w:r>
          </w:p>
          <w:p w14:paraId="1DB8689B">
            <w:pPr>
              <w:adjustRightInd w:val="0"/>
              <w:snapToGrid w:val="0"/>
              <w:spacing w:line="500" w:lineRule="exact"/>
              <w:ind w:firstLine="480" w:firstLineChars="200"/>
              <w:jc w:val="both"/>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本项目厂界外50m范围内不存在声环境保护目标。</w:t>
            </w:r>
          </w:p>
          <w:p w14:paraId="296B223A">
            <w:pPr>
              <w:adjustRightInd w:val="0"/>
              <w:snapToGrid w:val="0"/>
              <w:spacing w:line="500" w:lineRule="exact"/>
              <w:ind w:firstLine="480" w:firstLineChars="200"/>
              <w:jc w:val="both"/>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3、地下水环境</w:t>
            </w:r>
          </w:p>
          <w:p w14:paraId="02265252">
            <w:pPr>
              <w:adjustRightInd w:val="0"/>
              <w:snapToGrid w:val="0"/>
              <w:spacing w:line="500" w:lineRule="exact"/>
              <w:ind w:firstLine="480" w:firstLineChars="200"/>
              <w:jc w:val="both"/>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厂界外500m范围内无地下水集中式饮用水水源和热水、矿泉水、温泉等特殊地下水资源。</w:t>
            </w:r>
          </w:p>
          <w:p w14:paraId="17FF06EF">
            <w:pPr>
              <w:adjustRightInd w:val="0"/>
              <w:snapToGrid w:val="0"/>
              <w:spacing w:line="500" w:lineRule="exact"/>
              <w:ind w:firstLine="480" w:firstLineChars="200"/>
              <w:jc w:val="both"/>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4、生态环境</w:t>
            </w:r>
          </w:p>
          <w:p w14:paraId="79D3EA36">
            <w:pPr>
              <w:adjustRightInd w:val="0"/>
              <w:snapToGrid w:val="0"/>
              <w:spacing w:line="500" w:lineRule="exact"/>
              <w:ind w:firstLine="480" w:firstLineChars="200"/>
              <w:jc w:val="both"/>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 w:val="24"/>
              </w:rPr>
              <w:t>本项目位于产业园区内，且不新增用地，用地范围内无生态环境保护目标。</w:t>
            </w:r>
          </w:p>
        </w:tc>
      </w:tr>
    </w:tbl>
    <w:p w14:paraId="55901C42">
      <w:pPr>
        <w:adjustRightInd w:val="0"/>
        <w:snapToGrid w:val="0"/>
        <w:jc w:val="center"/>
        <w:rPr>
          <w:rFonts w:hint="default" w:ascii="Times New Roman" w:hAnsi="Times New Roman" w:eastAsia="宋体" w:cs="Times New Roman"/>
          <w:color w:val="auto"/>
          <w:kern w:val="0"/>
          <w:sz w:val="24"/>
        </w:rPr>
        <w:sectPr>
          <w:footerReference r:id="rId4" w:type="default"/>
          <w:pgSz w:w="11906" w:h="16838"/>
          <w:pgMar w:top="1417" w:right="1417" w:bottom="1417" w:left="1417" w:header="851" w:footer="1134" w:gutter="0"/>
          <w:pgBorders>
            <w:top w:val="none" w:sz="0" w:space="0"/>
            <w:left w:val="none" w:sz="0" w:space="0"/>
            <w:bottom w:val="none" w:sz="0" w:space="0"/>
            <w:right w:val="none" w:sz="0" w:space="0"/>
          </w:pgBorders>
          <w:cols w:space="720" w:num="1"/>
          <w:docGrid w:linePitch="312" w:charSpace="0"/>
        </w:sectPr>
      </w:pPr>
    </w:p>
    <w:tbl>
      <w:tblPr>
        <w:tblStyle w:val="27"/>
        <w:tblW w:w="89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8152"/>
      </w:tblGrid>
      <w:tr w14:paraId="748E1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4" w:hRule="atLeast"/>
          <w:jc w:val="center"/>
        </w:trPr>
        <w:tc>
          <w:tcPr>
            <w:tcW w:w="832" w:type="dxa"/>
            <w:tcMar>
              <w:left w:w="28" w:type="dxa"/>
              <w:right w:w="28" w:type="dxa"/>
            </w:tcMar>
            <w:vAlign w:val="center"/>
          </w:tcPr>
          <w:p w14:paraId="5E0FE707">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污染</w:t>
            </w:r>
          </w:p>
          <w:p w14:paraId="0CEC9F2F">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物排</w:t>
            </w:r>
          </w:p>
          <w:p w14:paraId="38D8CF07">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放控</w:t>
            </w:r>
          </w:p>
          <w:p w14:paraId="6CBBBCE9">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制标</w:t>
            </w:r>
          </w:p>
          <w:p w14:paraId="39C0B3A9">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准</w:t>
            </w:r>
          </w:p>
        </w:tc>
        <w:tc>
          <w:tcPr>
            <w:tcW w:w="8152" w:type="dxa"/>
            <w:vAlign w:val="center"/>
          </w:tcPr>
          <w:p w14:paraId="21254C79">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1、废气</w:t>
            </w:r>
          </w:p>
          <w:p w14:paraId="459EA1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szCs w:val="24"/>
                <w:lang w:val="en-US" w:eastAsia="zh-CN"/>
              </w:rPr>
              <w:t>项目有组织废气非甲烷总烃、苯系物排放执行《印刷工业大气污染物排放标准》（DB32／4438-2022）表1中的标准，有组织废气甲苯</w:t>
            </w:r>
            <w:r>
              <w:rPr>
                <w:rFonts w:hint="default" w:ascii="Times New Roman" w:hAnsi="Times New Roman" w:eastAsia="宋体" w:cs="Times New Roman"/>
                <w:bCs/>
                <w:color w:val="auto"/>
                <w:sz w:val="24"/>
                <w:szCs w:val="24"/>
                <w:lang w:eastAsia="zh-CN"/>
              </w:rPr>
              <w:t>排放执行《江苏省大气污染物综合排放标准》(DB32/4041-2021)表</w:t>
            </w:r>
            <w:r>
              <w:rPr>
                <w:rFonts w:hint="default"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lang w:eastAsia="zh-CN"/>
              </w:rPr>
              <w:t>中标准，无</w:t>
            </w:r>
            <w:r>
              <w:rPr>
                <w:rFonts w:hint="default" w:ascii="Times New Roman" w:hAnsi="Times New Roman" w:eastAsia="宋体" w:cs="Times New Roman"/>
                <w:color w:val="auto"/>
                <w:sz w:val="24"/>
                <w:szCs w:val="24"/>
                <w:lang w:val="en-US" w:eastAsia="zh-CN"/>
              </w:rPr>
              <w:t>组织废气非甲烷总烃、甲苯、苯系物</w:t>
            </w:r>
            <w:r>
              <w:rPr>
                <w:rFonts w:hint="default" w:ascii="Times New Roman" w:hAnsi="Times New Roman" w:eastAsia="宋体" w:cs="Times New Roman"/>
                <w:bCs/>
                <w:color w:val="auto"/>
                <w:sz w:val="24"/>
                <w:szCs w:val="24"/>
                <w:lang w:eastAsia="zh-CN"/>
              </w:rPr>
              <w:t>排放执行《江苏省大气污染物综合排放标准》(DB32/4041-2021)表3中标准</w:t>
            </w:r>
            <w:r>
              <w:rPr>
                <w:rFonts w:hint="default" w:ascii="Times New Roman" w:hAnsi="Times New Roman" w:eastAsia="宋体" w:cs="Times New Roman"/>
                <w:color w:val="auto"/>
                <w:sz w:val="24"/>
                <w:szCs w:val="24"/>
                <w:lang w:val="en-US" w:eastAsia="zh-CN"/>
              </w:rPr>
              <w:t>。</w:t>
            </w:r>
          </w:p>
          <w:p w14:paraId="6A616357">
            <w:pPr>
              <w:keepNext w:val="0"/>
              <w:keepLines w:val="0"/>
              <w:pageBreakBefore w:val="0"/>
              <w:widowControl w:val="0"/>
              <w:kinsoku/>
              <w:wordWrap/>
              <w:overflowPunct/>
              <w:topLinePunct w:val="0"/>
              <w:autoSpaceDE/>
              <w:autoSpaceDN/>
              <w:bidi w:val="0"/>
              <w:adjustRightInd w:val="0"/>
              <w:snapToGrid w:val="0"/>
              <w:spacing w:before="95" w:beforeLines="30"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表3-5 大气污染物有组织排放标准</w:t>
            </w:r>
          </w:p>
          <w:tbl>
            <w:tblPr>
              <w:tblStyle w:val="27"/>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46"/>
              <w:gridCol w:w="2396"/>
              <w:gridCol w:w="2160"/>
              <w:gridCol w:w="2131"/>
            </w:tblGrid>
            <w:tr w14:paraId="77749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03" w:hRule="atLeast"/>
              </w:trPr>
              <w:tc>
                <w:tcPr>
                  <w:tcW w:w="785" w:type="pct"/>
                  <w:noWrap w:val="0"/>
                  <w:vAlign w:val="center"/>
                </w:tcPr>
                <w:p w14:paraId="124B959F">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1510" w:type="pct"/>
                  <w:noWrap w:val="0"/>
                  <w:vAlign w:val="center"/>
                </w:tcPr>
                <w:p w14:paraId="1E7711C8">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最高允许排放浓度</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kern w:val="0"/>
                      <w:sz w:val="21"/>
                      <w:szCs w:val="21"/>
                      <w:lang w:bidi="ar"/>
                    </w:rPr>
                    <w:t>）</w:t>
                  </w:r>
                </w:p>
              </w:tc>
              <w:tc>
                <w:tcPr>
                  <w:tcW w:w="1361" w:type="pct"/>
                  <w:noWrap w:val="0"/>
                  <w:vAlign w:val="center"/>
                </w:tcPr>
                <w:p w14:paraId="37AE5C3E">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最高允许排放</w:t>
                  </w:r>
                  <w:r>
                    <w:rPr>
                      <w:rFonts w:hint="default" w:ascii="Times New Roman" w:hAnsi="Times New Roman" w:eastAsia="宋体" w:cs="Times New Roman"/>
                      <w:color w:val="auto"/>
                      <w:sz w:val="21"/>
                      <w:szCs w:val="21"/>
                      <w:lang w:val="en-US" w:eastAsia="zh-CN"/>
                    </w:rPr>
                    <w:t>速率</w:t>
                  </w:r>
                  <w:r>
                    <w:rPr>
                      <w:rFonts w:hint="default" w:ascii="Times New Roman" w:hAnsi="Times New Roman" w:eastAsia="宋体" w:cs="Times New Roman"/>
                      <w:color w:val="auto"/>
                      <w:kern w:val="0"/>
                      <w:sz w:val="21"/>
                      <w:szCs w:val="21"/>
                      <w:lang w:bidi="ar"/>
                    </w:rPr>
                    <w:t>（</w:t>
                  </w:r>
                  <w:r>
                    <w:rPr>
                      <w:rFonts w:hint="default" w:ascii="Times New Roman" w:hAnsi="Times New Roman" w:eastAsia="宋体" w:cs="Times New Roman"/>
                      <w:color w:val="auto"/>
                      <w:sz w:val="21"/>
                      <w:szCs w:val="21"/>
                      <w:lang w:val="en-US" w:eastAsia="zh-CN"/>
                    </w:rPr>
                    <w:t>k</w:t>
                  </w:r>
                  <w:r>
                    <w:rPr>
                      <w:rFonts w:hint="default" w:ascii="Times New Roman" w:hAnsi="Times New Roman" w:eastAsia="宋体" w:cs="Times New Roman"/>
                      <w:color w:val="auto"/>
                      <w:sz w:val="21"/>
                      <w:szCs w:val="21"/>
                    </w:rPr>
                    <w:t>g/</w:t>
                  </w: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kern w:val="0"/>
                      <w:sz w:val="21"/>
                      <w:szCs w:val="21"/>
                      <w:lang w:bidi="ar"/>
                    </w:rPr>
                    <w:t>）</w:t>
                  </w:r>
                </w:p>
              </w:tc>
              <w:tc>
                <w:tcPr>
                  <w:tcW w:w="1343" w:type="pct"/>
                  <w:noWrap w:val="0"/>
                  <w:vAlign w:val="center"/>
                </w:tcPr>
                <w:p w14:paraId="25DFAB0F">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执行标准</w:t>
                  </w:r>
                </w:p>
              </w:tc>
            </w:tr>
            <w:tr w14:paraId="4B9B5D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785" w:type="pct"/>
                  <w:noWrap w:val="0"/>
                  <w:vAlign w:val="center"/>
                </w:tcPr>
                <w:p w14:paraId="3EFEE531">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非甲烷总烃</w:t>
                  </w:r>
                </w:p>
              </w:tc>
              <w:tc>
                <w:tcPr>
                  <w:tcW w:w="1510" w:type="pct"/>
                  <w:noWrap w:val="0"/>
                  <w:vAlign w:val="center"/>
                </w:tcPr>
                <w:p w14:paraId="08CC59E9">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1361" w:type="pct"/>
                  <w:noWrap w:val="0"/>
                  <w:vAlign w:val="center"/>
                </w:tcPr>
                <w:p w14:paraId="58A2A084">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1343" w:type="pct"/>
                  <w:vMerge w:val="restart"/>
                  <w:noWrap w:val="0"/>
                  <w:vAlign w:val="center"/>
                </w:tcPr>
                <w:p w14:paraId="18BD80EE">
                  <w:pPr>
                    <w:jc w:val="center"/>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color w:val="auto"/>
                      <w:sz w:val="21"/>
                      <w:szCs w:val="21"/>
                      <w:lang w:val="en-US" w:eastAsia="zh-CN"/>
                    </w:rPr>
                    <w:t>DB32／4438-2022表1</w:t>
                  </w:r>
                </w:p>
              </w:tc>
            </w:tr>
            <w:tr w14:paraId="53F984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785" w:type="pct"/>
                  <w:noWrap w:val="0"/>
                  <w:vAlign w:val="center"/>
                </w:tcPr>
                <w:p w14:paraId="422E405B">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苯系物</w:t>
                  </w:r>
                </w:p>
              </w:tc>
              <w:tc>
                <w:tcPr>
                  <w:tcW w:w="1510" w:type="pct"/>
                  <w:noWrap w:val="0"/>
                  <w:vAlign w:val="center"/>
                </w:tcPr>
                <w:p w14:paraId="03393587">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1361" w:type="pct"/>
                  <w:noWrap w:val="0"/>
                  <w:vAlign w:val="center"/>
                </w:tcPr>
                <w:p w14:paraId="3475ED40">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1343" w:type="pct"/>
                  <w:vMerge w:val="continue"/>
                  <w:noWrap w:val="0"/>
                  <w:vAlign w:val="center"/>
                </w:tcPr>
                <w:p w14:paraId="00234282">
                  <w:pPr>
                    <w:jc w:val="center"/>
                    <w:rPr>
                      <w:rFonts w:hint="default" w:ascii="Times New Roman" w:hAnsi="Times New Roman" w:eastAsia="宋体" w:cs="Times New Roman"/>
                      <w:color w:val="auto"/>
                      <w:sz w:val="21"/>
                      <w:szCs w:val="21"/>
                      <w:lang w:val="en-US" w:eastAsia="zh-CN"/>
                    </w:rPr>
                  </w:pPr>
                </w:p>
              </w:tc>
            </w:tr>
            <w:tr w14:paraId="7C81C3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785" w:type="pct"/>
                  <w:noWrap w:val="0"/>
                  <w:vAlign w:val="center"/>
                </w:tcPr>
                <w:p w14:paraId="7C531999">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甲苯</w:t>
                  </w:r>
                </w:p>
              </w:tc>
              <w:tc>
                <w:tcPr>
                  <w:tcW w:w="1510" w:type="pct"/>
                  <w:noWrap w:val="0"/>
                  <w:vAlign w:val="center"/>
                </w:tcPr>
                <w:p w14:paraId="5742C237">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361" w:type="pct"/>
                  <w:noWrap w:val="0"/>
                  <w:vAlign w:val="center"/>
                </w:tcPr>
                <w:p w14:paraId="64913D9C">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c>
                <w:tcPr>
                  <w:tcW w:w="1343" w:type="pct"/>
                  <w:noWrap w:val="0"/>
                  <w:vAlign w:val="center"/>
                </w:tcPr>
                <w:p w14:paraId="62FC6A1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DB32/4041-2021</w:t>
                  </w:r>
                  <w:r>
                    <w:rPr>
                      <w:rFonts w:hint="default" w:ascii="Times New Roman" w:hAnsi="Times New Roman" w:eastAsia="宋体" w:cs="Times New Roman"/>
                      <w:color w:val="auto"/>
                      <w:sz w:val="21"/>
                      <w:szCs w:val="21"/>
                      <w:lang w:eastAsia="zh-CN"/>
                    </w:rPr>
                    <w:t>表</w:t>
                  </w:r>
                  <w:r>
                    <w:rPr>
                      <w:rFonts w:hint="default" w:ascii="Times New Roman" w:hAnsi="Times New Roman" w:eastAsia="宋体" w:cs="Times New Roman"/>
                      <w:color w:val="auto"/>
                      <w:sz w:val="21"/>
                      <w:szCs w:val="21"/>
                      <w:lang w:val="en-US" w:eastAsia="zh-CN"/>
                    </w:rPr>
                    <w:t>1</w:t>
                  </w:r>
                </w:p>
              </w:tc>
            </w:tr>
          </w:tbl>
          <w:p w14:paraId="4E8C4772">
            <w:pPr>
              <w:keepNext w:val="0"/>
              <w:keepLines w:val="0"/>
              <w:pageBreakBefore w:val="0"/>
              <w:widowControl w:val="0"/>
              <w:kinsoku/>
              <w:wordWrap/>
              <w:overflowPunct/>
              <w:topLinePunct w:val="0"/>
              <w:autoSpaceDE/>
              <w:autoSpaceDN/>
              <w:bidi w:val="0"/>
              <w:adjustRightInd w:val="0"/>
              <w:snapToGrid w:val="0"/>
              <w:spacing w:before="95" w:beforeLines="30" w:line="240" w:lineRule="auto"/>
              <w:ind w:left="0" w:leftChars="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表3-6 厂界大气污染物无组织排放标准</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825"/>
              <w:gridCol w:w="2846"/>
              <w:gridCol w:w="2262"/>
            </w:tblGrid>
            <w:tr w14:paraId="34E3A3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780" w:type="pct"/>
                  <w:noWrap w:val="0"/>
                  <w:vAlign w:val="center"/>
                </w:tcPr>
                <w:p w14:paraId="5DDC01FB">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污染物项目</w:t>
                  </w:r>
                </w:p>
              </w:tc>
              <w:tc>
                <w:tcPr>
                  <w:tcW w:w="1793" w:type="pct"/>
                  <w:noWrap w:val="0"/>
                  <w:vAlign w:val="center"/>
                </w:tcPr>
                <w:p w14:paraId="7D911BEF">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无组织排放限值（mg/m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1425" w:type="pct"/>
                  <w:noWrap w:val="0"/>
                  <w:vAlign w:val="center"/>
                </w:tcPr>
                <w:p w14:paraId="6F74C6D0">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选用标准</w:t>
                  </w:r>
                </w:p>
              </w:tc>
            </w:tr>
            <w:tr w14:paraId="372880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780" w:type="pct"/>
                  <w:noWrap w:val="0"/>
                  <w:vAlign w:val="center"/>
                </w:tcPr>
                <w:p w14:paraId="2644C2E7">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非甲烷总烃</w:t>
                  </w:r>
                </w:p>
              </w:tc>
              <w:tc>
                <w:tcPr>
                  <w:tcW w:w="1793" w:type="pct"/>
                  <w:noWrap w:val="0"/>
                  <w:vAlign w:val="center"/>
                </w:tcPr>
                <w:p w14:paraId="376263DF">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425" w:type="pct"/>
                  <w:vMerge w:val="restart"/>
                  <w:noWrap w:val="0"/>
                  <w:vAlign w:val="center"/>
                </w:tcPr>
                <w:p w14:paraId="27E5EFB1">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DB32/4041-2021</w:t>
                  </w:r>
                  <w:r>
                    <w:rPr>
                      <w:rFonts w:hint="default" w:ascii="Times New Roman" w:hAnsi="Times New Roman" w:eastAsia="宋体" w:cs="Times New Roman"/>
                      <w:color w:val="auto"/>
                      <w:sz w:val="21"/>
                      <w:szCs w:val="21"/>
                      <w:lang w:eastAsia="zh-CN"/>
                    </w:rPr>
                    <w:t>表</w:t>
                  </w:r>
                  <w:r>
                    <w:rPr>
                      <w:rFonts w:hint="default" w:ascii="Times New Roman" w:hAnsi="Times New Roman" w:eastAsia="宋体" w:cs="Times New Roman"/>
                      <w:color w:val="auto"/>
                      <w:sz w:val="21"/>
                      <w:szCs w:val="21"/>
                      <w:lang w:val="en-US" w:eastAsia="zh-CN"/>
                    </w:rPr>
                    <w:t>3</w:t>
                  </w:r>
                </w:p>
              </w:tc>
            </w:tr>
            <w:tr w14:paraId="65F6FB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780" w:type="pct"/>
                  <w:noWrap w:val="0"/>
                  <w:vAlign w:val="center"/>
                </w:tcPr>
                <w:p w14:paraId="0D77BB99">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甲苯</w:t>
                  </w:r>
                </w:p>
              </w:tc>
              <w:tc>
                <w:tcPr>
                  <w:tcW w:w="1793" w:type="pct"/>
                  <w:noWrap w:val="0"/>
                  <w:vAlign w:val="center"/>
                </w:tcPr>
                <w:p w14:paraId="5A5F206F">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w:t>
                  </w:r>
                </w:p>
              </w:tc>
              <w:tc>
                <w:tcPr>
                  <w:tcW w:w="1425" w:type="pct"/>
                  <w:vMerge w:val="continue"/>
                  <w:noWrap w:val="0"/>
                  <w:vAlign w:val="center"/>
                </w:tcPr>
                <w:p w14:paraId="0B5A13B6">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rPr>
                  </w:pPr>
                </w:p>
              </w:tc>
            </w:tr>
            <w:tr w14:paraId="4C884C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0" w:hRule="atLeast"/>
                <w:jc w:val="center"/>
              </w:trPr>
              <w:tc>
                <w:tcPr>
                  <w:tcW w:w="1780" w:type="pct"/>
                  <w:noWrap w:val="0"/>
                  <w:vAlign w:val="center"/>
                </w:tcPr>
                <w:p w14:paraId="06C55A83">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苯系物</w:t>
                  </w:r>
                </w:p>
              </w:tc>
              <w:tc>
                <w:tcPr>
                  <w:tcW w:w="1793" w:type="pct"/>
                  <w:noWrap w:val="0"/>
                  <w:vAlign w:val="center"/>
                </w:tcPr>
                <w:p w14:paraId="19D5EF91">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w:t>
                  </w:r>
                </w:p>
              </w:tc>
              <w:tc>
                <w:tcPr>
                  <w:tcW w:w="1425" w:type="pct"/>
                  <w:vMerge w:val="continue"/>
                  <w:noWrap w:val="0"/>
                  <w:vAlign w:val="center"/>
                </w:tcPr>
                <w:p w14:paraId="6331FEB5">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color w:val="auto"/>
                      <w:sz w:val="21"/>
                      <w:szCs w:val="21"/>
                    </w:rPr>
                  </w:pPr>
                </w:p>
              </w:tc>
            </w:tr>
          </w:tbl>
          <w:p w14:paraId="45E46E1B">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default" w:ascii="Times New Roman" w:hAnsi="Times New Roman" w:eastAsia="宋体" w:cs="Times New Roman"/>
                <w:b/>
                <w:bCs w:val="0"/>
                <w:color w:val="auto"/>
                <w:szCs w:val="22"/>
                <w:lang w:val="en-US" w:eastAsia="zh-CN"/>
              </w:rPr>
            </w:pPr>
          </w:p>
          <w:p w14:paraId="22E6C44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Cs/>
                <w:color w:val="auto"/>
                <w:sz w:val="24"/>
              </w:rPr>
              <w:t>厂</w:t>
            </w:r>
            <w:r>
              <w:rPr>
                <w:rFonts w:hint="default" w:ascii="Times New Roman" w:hAnsi="Times New Roman" w:eastAsia="宋体" w:cs="Times New Roman"/>
                <w:bCs/>
                <w:color w:val="auto"/>
                <w:sz w:val="24"/>
                <w:lang w:val="en-US" w:eastAsia="zh-CN"/>
              </w:rPr>
              <w:t>区</w:t>
            </w:r>
            <w:r>
              <w:rPr>
                <w:rFonts w:hint="default" w:ascii="Times New Roman" w:hAnsi="Times New Roman" w:eastAsia="宋体" w:cs="Times New Roman"/>
                <w:bCs/>
                <w:color w:val="auto"/>
                <w:sz w:val="24"/>
              </w:rPr>
              <w:t>内非甲烷总烃无组织排放监控点浓度应符合</w:t>
            </w:r>
            <w:r>
              <w:rPr>
                <w:rFonts w:hint="default" w:ascii="Times New Roman" w:hAnsi="Times New Roman" w:eastAsia="宋体" w:cs="Times New Roman"/>
                <w:color w:val="auto"/>
                <w:sz w:val="24"/>
                <w:szCs w:val="24"/>
                <w:lang w:val="en-US" w:eastAsia="zh-CN"/>
              </w:rPr>
              <w:t>《印刷工业大气污染物排放标准》（DB32／4438-2022）</w:t>
            </w:r>
            <w:r>
              <w:rPr>
                <w:rFonts w:hint="default" w:ascii="Times New Roman" w:hAnsi="Times New Roman" w:eastAsia="宋体" w:cs="Times New Roman"/>
                <w:bCs/>
                <w:color w:val="auto"/>
                <w:sz w:val="24"/>
              </w:rPr>
              <w:t>表</w:t>
            </w:r>
            <w:r>
              <w:rPr>
                <w:rFonts w:hint="default" w:ascii="Times New Roman" w:hAnsi="Times New Roman" w:eastAsia="宋体" w:cs="Times New Roman"/>
                <w:bCs/>
                <w:color w:val="auto"/>
                <w:sz w:val="24"/>
                <w:lang w:val="en-US" w:eastAsia="zh-CN"/>
              </w:rPr>
              <w:t>3</w:t>
            </w:r>
            <w:r>
              <w:rPr>
                <w:rFonts w:hint="default" w:ascii="Times New Roman" w:hAnsi="Times New Roman" w:eastAsia="宋体" w:cs="Times New Roman"/>
                <w:bCs/>
                <w:color w:val="auto"/>
                <w:sz w:val="24"/>
              </w:rPr>
              <w:t>中的限值</w:t>
            </w:r>
            <w:r>
              <w:rPr>
                <w:rFonts w:hint="default" w:ascii="Times New Roman" w:hAnsi="Times New Roman" w:eastAsia="宋体" w:cs="Times New Roman"/>
                <w:color w:val="auto"/>
                <w:sz w:val="24"/>
                <w:szCs w:val="24"/>
                <w:lang w:val="en-US" w:eastAsia="zh-CN"/>
              </w:rPr>
              <w:t>。</w:t>
            </w:r>
          </w:p>
          <w:p w14:paraId="7A634A16">
            <w:pPr>
              <w:keepNext w:val="0"/>
              <w:keepLines w:val="0"/>
              <w:pageBreakBefore w:val="0"/>
              <w:widowControl w:val="0"/>
              <w:kinsoku/>
              <w:wordWrap/>
              <w:overflowPunct/>
              <w:topLinePunct w:val="0"/>
              <w:autoSpaceDE/>
              <w:autoSpaceDN/>
              <w:bidi w:val="0"/>
              <w:adjustRightInd/>
              <w:snapToGrid w:val="0"/>
              <w:spacing w:before="95" w:beforeLines="30" w:line="240" w:lineRule="auto"/>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rPr>
              <w:t>表3-</w:t>
            </w:r>
            <w:r>
              <w:rPr>
                <w:rFonts w:hint="default" w:ascii="Times New Roman" w:hAnsi="Times New Roman" w:eastAsia="宋体" w:cs="Times New Roman"/>
                <w:b/>
                <w:bCs/>
                <w:color w:val="auto"/>
                <w:szCs w:val="21"/>
                <w:lang w:val="en-US" w:eastAsia="zh-CN"/>
              </w:rPr>
              <w:t>7</w:t>
            </w:r>
            <w:r>
              <w:rPr>
                <w:rFonts w:hint="default" w:ascii="Times New Roman" w:hAnsi="Times New Roman" w:eastAsia="宋体" w:cs="Times New Roman"/>
                <w:b/>
                <w:bCs/>
                <w:color w:val="auto"/>
                <w:szCs w:val="21"/>
              </w:rPr>
              <w:t xml:space="preserve"> 厂区</w:t>
            </w:r>
            <w:r>
              <w:rPr>
                <w:rFonts w:hint="default" w:ascii="Times New Roman" w:hAnsi="Times New Roman" w:eastAsia="宋体" w:cs="Times New Roman"/>
                <w:b/>
                <w:bCs/>
                <w:color w:val="auto"/>
                <w:szCs w:val="21"/>
                <w:lang w:val="en-US" w:eastAsia="zh-CN"/>
              </w:rPr>
              <w:t>内</w:t>
            </w:r>
            <w:r>
              <w:rPr>
                <w:rFonts w:hint="default" w:ascii="Times New Roman" w:hAnsi="Times New Roman" w:eastAsia="宋体" w:cs="Times New Roman"/>
                <w:b/>
                <w:bCs/>
                <w:color w:val="auto"/>
                <w:szCs w:val="21"/>
              </w:rPr>
              <w:t>挥发性有机物无组织排放</w:t>
            </w:r>
            <w:r>
              <w:rPr>
                <w:rFonts w:hint="default" w:ascii="Times New Roman" w:hAnsi="Times New Roman" w:eastAsia="宋体" w:cs="Times New Roman"/>
                <w:b/>
                <w:bCs/>
                <w:color w:val="auto"/>
                <w:szCs w:val="21"/>
                <w:lang w:val="en-US" w:eastAsia="zh-CN"/>
              </w:rPr>
              <w:t>限值</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94"/>
              <w:gridCol w:w="2171"/>
              <w:gridCol w:w="2365"/>
              <w:gridCol w:w="2106"/>
            </w:tblGrid>
            <w:tr w14:paraId="6E97E1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15" w:type="pct"/>
                  <w:noWrap w:val="0"/>
                  <w:vAlign w:val="center"/>
                </w:tcPr>
                <w:p w14:paraId="2FBB4EB9">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污染物名称</w:t>
                  </w:r>
                </w:p>
              </w:tc>
              <w:tc>
                <w:tcPr>
                  <w:tcW w:w="1368" w:type="pct"/>
                  <w:noWrap w:val="0"/>
                  <w:vAlign w:val="center"/>
                </w:tcPr>
                <w:p w14:paraId="125F515D">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特别排放限值(mg/m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490" w:type="pct"/>
                  <w:noWrap w:val="0"/>
                  <w:vAlign w:val="center"/>
                </w:tcPr>
                <w:p w14:paraId="135EA76D">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限值含义</w:t>
                  </w:r>
                </w:p>
              </w:tc>
              <w:tc>
                <w:tcPr>
                  <w:tcW w:w="1327" w:type="pct"/>
                  <w:noWrap w:val="0"/>
                  <w:vAlign w:val="top"/>
                </w:tcPr>
                <w:p w14:paraId="6733C1BE">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无组织排放监控位置</w:t>
                  </w:r>
                </w:p>
              </w:tc>
            </w:tr>
            <w:tr w14:paraId="5819E9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15" w:type="pct"/>
                  <w:vMerge w:val="restart"/>
                  <w:noWrap w:val="0"/>
                  <w:vAlign w:val="center"/>
                </w:tcPr>
                <w:p w14:paraId="081A0CBB">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非甲烷总烃</w:t>
                  </w:r>
                </w:p>
              </w:tc>
              <w:tc>
                <w:tcPr>
                  <w:tcW w:w="1368" w:type="pct"/>
                  <w:noWrap w:val="0"/>
                  <w:vAlign w:val="center"/>
                </w:tcPr>
                <w:p w14:paraId="2513C1B2">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w:t>
                  </w:r>
                </w:p>
              </w:tc>
              <w:tc>
                <w:tcPr>
                  <w:tcW w:w="1490" w:type="pct"/>
                  <w:noWrap w:val="0"/>
                  <w:vAlign w:val="center"/>
                </w:tcPr>
                <w:p w14:paraId="65DCE973">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监控点处1h平均浓度值</w:t>
                  </w:r>
                </w:p>
              </w:tc>
              <w:tc>
                <w:tcPr>
                  <w:tcW w:w="1327" w:type="pct"/>
                  <w:vMerge w:val="restart"/>
                  <w:noWrap w:val="0"/>
                  <w:vAlign w:val="center"/>
                </w:tcPr>
                <w:p w14:paraId="6ED17C42">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在厂房外设置监控点</w:t>
                  </w:r>
                </w:p>
              </w:tc>
            </w:tr>
            <w:tr w14:paraId="2F417F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15" w:type="pct"/>
                  <w:vMerge w:val="continue"/>
                  <w:noWrap w:val="0"/>
                  <w:vAlign w:val="center"/>
                </w:tcPr>
                <w:p w14:paraId="7F07D269">
                  <w:pPr>
                    <w:snapToGrid w:val="0"/>
                    <w:jc w:val="center"/>
                    <w:rPr>
                      <w:rFonts w:hint="default" w:ascii="Times New Roman" w:hAnsi="Times New Roman" w:eastAsia="宋体" w:cs="Times New Roman"/>
                      <w:color w:val="auto"/>
                      <w:szCs w:val="21"/>
                    </w:rPr>
                  </w:pPr>
                </w:p>
              </w:tc>
              <w:tc>
                <w:tcPr>
                  <w:tcW w:w="1368" w:type="pct"/>
                  <w:noWrap w:val="0"/>
                  <w:vAlign w:val="center"/>
                </w:tcPr>
                <w:p w14:paraId="3BF7D76D">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20</w:t>
                  </w:r>
                </w:p>
              </w:tc>
              <w:tc>
                <w:tcPr>
                  <w:tcW w:w="1490" w:type="pct"/>
                  <w:noWrap w:val="0"/>
                  <w:vAlign w:val="center"/>
                </w:tcPr>
                <w:p w14:paraId="1675F809">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监控点处任意一次浓度值</w:t>
                  </w:r>
                </w:p>
              </w:tc>
              <w:tc>
                <w:tcPr>
                  <w:tcW w:w="1327" w:type="pct"/>
                  <w:vMerge w:val="continue"/>
                  <w:noWrap w:val="0"/>
                  <w:vAlign w:val="top"/>
                </w:tcPr>
                <w:p w14:paraId="68E16810">
                  <w:pPr>
                    <w:rPr>
                      <w:rFonts w:hint="default" w:ascii="Times New Roman" w:hAnsi="Times New Roman" w:eastAsia="宋体" w:cs="Times New Roman"/>
                      <w:b/>
                      <w:color w:val="auto"/>
                      <w:szCs w:val="21"/>
                    </w:rPr>
                  </w:pPr>
                </w:p>
              </w:tc>
            </w:tr>
          </w:tbl>
          <w:p w14:paraId="7C8382F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2、废水</w:t>
            </w:r>
          </w:p>
          <w:p w14:paraId="54E41A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val="en-US" w:eastAsia="zh-CN"/>
              </w:rPr>
              <w:t>无</w:t>
            </w:r>
            <w:r>
              <w:rPr>
                <w:rFonts w:hint="default" w:ascii="Times New Roman" w:hAnsi="Times New Roman" w:eastAsia="宋体" w:cs="Times New Roman"/>
                <w:color w:val="auto"/>
                <w:sz w:val="24"/>
              </w:rPr>
              <w:t>生活污水</w:t>
            </w:r>
            <w:r>
              <w:rPr>
                <w:rFonts w:hint="default" w:ascii="Times New Roman" w:hAnsi="Times New Roman" w:eastAsia="宋体" w:cs="Times New Roman"/>
                <w:color w:val="auto"/>
                <w:sz w:val="24"/>
                <w:lang w:val="en-US" w:eastAsia="zh-CN"/>
              </w:rPr>
              <w:t>和工艺废水产生。</w:t>
            </w:r>
          </w:p>
          <w:p w14:paraId="5D741CE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3、噪声</w:t>
            </w:r>
          </w:p>
          <w:p w14:paraId="5A0C600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rPr>
              <w:t>本项目营运期厂界噪声执行《工业企业厂界环境噪声排放标准》</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GB12348-2008</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中</w:t>
            </w:r>
            <w:r>
              <w:rPr>
                <w:rFonts w:hint="default" w:ascii="Times New Roman" w:hAnsi="Times New Roman" w:eastAsia="宋体" w:cs="Times New Roman"/>
                <w:bCs/>
                <w:color w:val="auto"/>
                <w:sz w:val="24"/>
                <w:lang w:val="en-US" w:eastAsia="zh-CN"/>
              </w:rPr>
              <w:t>3</w:t>
            </w:r>
            <w:r>
              <w:rPr>
                <w:rFonts w:hint="default" w:ascii="Times New Roman" w:hAnsi="Times New Roman" w:eastAsia="宋体" w:cs="Times New Roman"/>
                <w:bCs/>
                <w:color w:val="auto"/>
                <w:sz w:val="24"/>
              </w:rPr>
              <w:t>类标准</w:t>
            </w:r>
            <w:r>
              <w:rPr>
                <w:rFonts w:hint="default" w:ascii="Times New Roman" w:hAnsi="Times New Roman" w:eastAsia="宋体" w:cs="Times New Roman"/>
                <w:color w:val="auto"/>
                <w:sz w:val="24"/>
              </w:rPr>
              <w:t>，具体标准值见下表：</w:t>
            </w:r>
          </w:p>
          <w:p w14:paraId="57C86393">
            <w:pPr>
              <w:keepNext w:val="0"/>
              <w:keepLines w:val="0"/>
              <w:pageBreakBefore w:val="0"/>
              <w:widowControl w:val="0"/>
              <w:kinsoku/>
              <w:wordWrap w:val="0"/>
              <w:overflowPunct/>
              <w:topLinePunct w:val="0"/>
              <w:autoSpaceDE/>
              <w:autoSpaceDN/>
              <w:bidi w:val="0"/>
              <w:adjustRightInd w:val="0"/>
              <w:snapToGrid w:val="0"/>
              <w:spacing w:before="95" w:beforeLines="30" w:line="240" w:lineRule="auto"/>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表3-</w:t>
            </w:r>
            <w:r>
              <w:rPr>
                <w:rFonts w:hint="default" w:ascii="Times New Roman" w:hAnsi="Times New Roman" w:eastAsia="宋体" w:cs="Times New Roman"/>
                <w:b/>
                <w:bCs/>
                <w:color w:val="auto"/>
                <w:szCs w:val="21"/>
                <w:lang w:val="en-US" w:eastAsia="zh-CN"/>
              </w:rPr>
              <w:t>8</w:t>
            </w:r>
            <w:r>
              <w:rPr>
                <w:rFonts w:hint="default" w:ascii="Times New Roman" w:hAnsi="Times New Roman" w:eastAsia="宋体" w:cs="Times New Roman"/>
                <w:b/>
                <w:bCs/>
                <w:color w:val="auto"/>
                <w:szCs w:val="21"/>
              </w:rPr>
              <w:t xml:space="preserve"> 营运期噪声排放标准</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36"/>
              <w:gridCol w:w="2389"/>
              <w:gridCol w:w="1690"/>
              <w:gridCol w:w="1821"/>
            </w:tblGrid>
            <w:tr w14:paraId="50440B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83" w:type="pct"/>
                  <w:vAlign w:val="center"/>
                </w:tcPr>
                <w:p w14:paraId="257796AB">
                  <w:pPr>
                    <w:adjustRightIn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声环境功能类别</w:t>
                  </w:r>
                </w:p>
              </w:tc>
              <w:tc>
                <w:tcPr>
                  <w:tcW w:w="1505" w:type="pct"/>
                  <w:vAlign w:val="center"/>
                </w:tcPr>
                <w:p w14:paraId="2078F17F">
                  <w:pPr>
                    <w:adjustRightIn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昼间</w:t>
                  </w:r>
                </w:p>
              </w:tc>
              <w:tc>
                <w:tcPr>
                  <w:tcW w:w="1065" w:type="pct"/>
                  <w:vAlign w:val="center"/>
                </w:tcPr>
                <w:p w14:paraId="199E9F2F">
                  <w:pPr>
                    <w:adjustRightIn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夜间</w:t>
                  </w:r>
                </w:p>
              </w:tc>
              <w:tc>
                <w:tcPr>
                  <w:tcW w:w="1147" w:type="pct"/>
                  <w:vAlign w:val="center"/>
                </w:tcPr>
                <w:p w14:paraId="120FE8A3">
                  <w:pPr>
                    <w:adjustRightIn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执行区域</w:t>
                  </w:r>
                </w:p>
              </w:tc>
            </w:tr>
            <w:tr w14:paraId="041924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83" w:type="pct"/>
                  <w:vAlign w:val="center"/>
                </w:tcPr>
                <w:p w14:paraId="4B1C98C9">
                  <w:pPr>
                    <w:adjustRightIn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类</w:t>
                  </w:r>
                </w:p>
              </w:tc>
              <w:tc>
                <w:tcPr>
                  <w:tcW w:w="1505" w:type="pct"/>
                  <w:vAlign w:val="center"/>
                </w:tcPr>
                <w:p w14:paraId="2C3627F4">
                  <w:pPr>
                    <w:adjustRightIn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≤6</w:t>
                  </w:r>
                  <w:r>
                    <w:rPr>
                      <w:rFonts w:hint="default"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dB（A）</w:t>
                  </w:r>
                </w:p>
              </w:tc>
              <w:tc>
                <w:tcPr>
                  <w:tcW w:w="1065" w:type="pct"/>
                  <w:vAlign w:val="center"/>
                </w:tcPr>
                <w:p w14:paraId="3DD97D07">
                  <w:pPr>
                    <w:adjustRightIn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w:t>
                  </w:r>
                  <w:r>
                    <w:rPr>
                      <w:rFonts w:hint="default"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dB（A）</w:t>
                  </w:r>
                </w:p>
              </w:tc>
              <w:tc>
                <w:tcPr>
                  <w:tcW w:w="1147" w:type="pct"/>
                  <w:vAlign w:val="center"/>
                </w:tcPr>
                <w:p w14:paraId="03FCC803">
                  <w:pPr>
                    <w:adjustRightIn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厂界四周</w:t>
                  </w:r>
                </w:p>
              </w:tc>
            </w:tr>
          </w:tbl>
          <w:p w14:paraId="6DF83C34">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4、固废</w:t>
            </w:r>
          </w:p>
          <w:p w14:paraId="7A7D2FBF">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（1）一般固废</w:t>
            </w:r>
            <w:r>
              <w:rPr>
                <w:rFonts w:hint="default" w:ascii="Times New Roman" w:hAnsi="Times New Roman" w:eastAsia="宋体" w:cs="Times New Roman"/>
                <w:bCs/>
                <w:color w:val="auto"/>
                <w:sz w:val="24"/>
                <w:lang w:val="en-US" w:eastAsia="zh-CN"/>
              </w:rPr>
              <w:t>满足防渗漏、防雨淋、防扬尘的环境管理要求</w:t>
            </w:r>
            <w:r>
              <w:rPr>
                <w:rFonts w:hint="default" w:ascii="Times New Roman" w:hAnsi="Times New Roman" w:eastAsia="宋体" w:cs="Times New Roman"/>
                <w:bCs/>
                <w:color w:val="auto"/>
                <w:sz w:val="24"/>
              </w:rPr>
              <w:t>；</w:t>
            </w:r>
          </w:p>
          <w:p w14:paraId="033418C0">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（2）危险废物执行《危险废物贮存污染控制标准》（GB18597-20</w:t>
            </w:r>
            <w:r>
              <w:rPr>
                <w:rFonts w:hint="default" w:ascii="Times New Roman" w:hAnsi="Times New Roman" w:eastAsia="宋体" w:cs="Times New Roman"/>
                <w:bCs/>
                <w:color w:val="auto"/>
                <w:sz w:val="24"/>
                <w:lang w:val="en-US" w:eastAsia="zh-CN"/>
              </w:rPr>
              <w:t>23</w:t>
            </w:r>
            <w:r>
              <w:rPr>
                <w:rFonts w:hint="default" w:ascii="Times New Roman" w:hAnsi="Times New Roman" w:eastAsia="宋体" w:cs="Times New Roman"/>
                <w:bCs/>
                <w:color w:val="auto"/>
                <w:sz w:val="24"/>
              </w:rPr>
              <w:t>），同时执行《省生态环境厅关于进一步加强危险废物环境管理工作的通知》（苏环办</w:t>
            </w:r>
            <w:r>
              <w:rPr>
                <w:rFonts w:hint="default" w:ascii="Times New Roman" w:hAnsi="Times New Roman" w:eastAsia="宋体" w:cs="Times New Roman"/>
                <w:bCs/>
                <w:color w:val="auto"/>
                <w:sz w:val="24"/>
                <w:lang w:eastAsia="zh-CN"/>
              </w:rPr>
              <w:t>〔2021〕</w:t>
            </w:r>
            <w:r>
              <w:rPr>
                <w:rFonts w:hint="default" w:ascii="Times New Roman" w:hAnsi="Times New Roman" w:eastAsia="宋体" w:cs="Times New Roman"/>
                <w:bCs/>
                <w:color w:val="auto"/>
                <w:sz w:val="24"/>
              </w:rPr>
              <w:t>207号）</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《省生态环境厅关于印发江苏省固体废物全过程环境监管工作意见的通知（苏环办〔2024〕16号）》</w:t>
            </w:r>
            <w:r>
              <w:rPr>
                <w:rFonts w:hint="default" w:ascii="Times New Roman" w:hAnsi="Times New Roman" w:eastAsia="宋体" w:cs="Times New Roman"/>
                <w:bCs/>
                <w:color w:val="auto"/>
                <w:sz w:val="24"/>
              </w:rPr>
              <w:t>的要求。</w:t>
            </w:r>
          </w:p>
        </w:tc>
      </w:tr>
      <w:tr w14:paraId="6326A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0" w:hRule="atLeast"/>
          <w:jc w:val="center"/>
        </w:trPr>
        <w:tc>
          <w:tcPr>
            <w:tcW w:w="832" w:type="dxa"/>
            <w:vAlign w:val="center"/>
          </w:tcPr>
          <w:p w14:paraId="1597BF2F">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总量</w:t>
            </w:r>
          </w:p>
          <w:p w14:paraId="481C277F">
            <w:pPr>
              <w:adjustRightInd w:val="0"/>
              <w:snapToGrid w:val="0"/>
              <w:jc w:val="center"/>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控制</w:t>
            </w:r>
          </w:p>
          <w:p w14:paraId="369A1ED2">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rPr>
              <w:t>指标</w:t>
            </w:r>
          </w:p>
        </w:tc>
        <w:tc>
          <w:tcPr>
            <w:tcW w:w="8152" w:type="dxa"/>
            <w:vAlign w:val="center"/>
          </w:tcPr>
          <w:p w14:paraId="594FFF02">
            <w:pPr>
              <w:keepNext w:val="0"/>
              <w:keepLines w:val="0"/>
              <w:pageBreakBefore w:val="0"/>
              <w:widowControl w:val="0"/>
              <w:kinsoku/>
              <w:wordWrap/>
              <w:overflowPunct w:val="0"/>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、总量控制指标</w:t>
            </w:r>
          </w:p>
          <w:p w14:paraId="28D3BC31">
            <w:pPr>
              <w:keepNext w:val="0"/>
              <w:keepLines w:val="0"/>
              <w:pageBreakBefore w:val="0"/>
              <w:widowControl w:val="0"/>
              <w:kinsoku/>
              <w:wordWrap/>
              <w:topLinePunct w:val="0"/>
              <w:autoSpaceDE/>
              <w:autoSpaceDN/>
              <w:bidi w:val="0"/>
              <w:adjustRightInd w:val="0"/>
              <w:snapToGrid w:val="0"/>
              <w:spacing w:line="360" w:lineRule="auto"/>
              <w:ind w:firstLine="523" w:firstLineChars="218"/>
              <w:jc w:val="left"/>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本项目建成后全厂污染物总量控制指标及来源途径见</w:t>
            </w:r>
            <w:r>
              <w:rPr>
                <w:rFonts w:hint="default"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rPr>
              <w:t>表</w:t>
            </w:r>
            <w:r>
              <w:rPr>
                <w:rFonts w:hint="default" w:ascii="Times New Roman" w:hAnsi="Times New Roman" w:eastAsia="宋体" w:cs="Times New Roman"/>
                <w:color w:val="auto"/>
                <w:sz w:val="24"/>
                <w:lang w:eastAsia="zh-CN"/>
              </w:rPr>
              <w:t>。</w:t>
            </w:r>
          </w:p>
          <w:p w14:paraId="4A9FCF43">
            <w:pPr>
              <w:pStyle w:val="85"/>
              <w:keepNext w:val="0"/>
              <w:keepLines w:val="0"/>
              <w:pageBreakBefore w:val="0"/>
              <w:widowControl w:val="0"/>
              <w:kinsoku/>
              <w:wordWrap/>
              <w:overflowPunct/>
              <w:topLinePunct w:val="0"/>
              <w:autoSpaceDE w:val="0"/>
              <w:autoSpaceDN w:val="0"/>
              <w:bidi w:val="0"/>
              <w:adjustRightInd w:val="0"/>
              <w:snapToGrid w:val="0"/>
              <w:spacing w:before="95" w:beforeLines="30" w:line="240" w:lineRule="auto"/>
              <w:ind w:firstLine="422"/>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表3-</w:t>
            </w:r>
            <w:r>
              <w:rPr>
                <w:rFonts w:hint="default" w:ascii="Times New Roman" w:hAnsi="Times New Roman" w:eastAsia="宋体" w:cs="Times New Roman"/>
                <w:b/>
                <w:color w:val="auto"/>
                <w:sz w:val="21"/>
                <w:szCs w:val="21"/>
                <w:lang w:val="en-US" w:eastAsia="zh-CN"/>
              </w:rPr>
              <w:t xml:space="preserve">9 </w:t>
            </w:r>
            <w:r>
              <w:rPr>
                <w:rFonts w:hint="default" w:ascii="Times New Roman" w:hAnsi="Times New Roman" w:eastAsia="宋体" w:cs="Times New Roman"/>
                <w:b/>
                <w:color w:val="auto"/>
                <w:sz w:val="21"/>
                <w:szCs w:val="21"/>
              </w:rPr>
              <w:t>本项目污染物总量申请表    单位：t/a</w:t>
            </w:r>
          </w:p>
          <w:tbl>
            <w:tblPr>
              <w:tblStyle w:val="27"/>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726"/>
              <w:gridCol w:w="764"/>
              <w:gridCol w:w="1362"/>
              <w:gridCol w:w="1345"/>
              <w:gridCol w:w="1437"/>
              <w:gridCol w:w="1207"/>
              <w:gridCol w:w="1084"/>
            </w:tblGrid>
            <w:tr w14:paraId="3CFFD4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458" w:type="pct"/>
                  <w:noWrap w:val="0"/>
                  <w:vAlign w:val="center"/>
                </w:tcPr>
                <w:p w14:paraId="32F32AC0">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类别</w:t>
                  </w:r>
                </w:p>
              </w:tc>
              <w:tc>
                <w:tcPr>
                  <w:tcW w:w="1341" w:type="pct"/>
                  <w:gridSpan w:val="2"/>
                  <w:noWrap w:val="0"/>
                  <w:vAlign w:val="center"/>
                </w:tcPr>
                <w:p w14:paraId="1235C885">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污染物名称</w:t>
                  </w:r>
                </w:p>
              </w:tc>
              <w:tc>
                <w:tcPr>
                  <w:tcW w:w="848" w:type="pct"/>
                  <w:noWrap w:val="0"/>
                  <w:vAlign w:val="center"/>
                </w:tcPr>
                <w:p w14:paraId="499638F4">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rPr>
                    <w:t>本项目产生量</w:t>
                  </w:r>
                </w:p>
              </w:tc>
              <w:tc>
                <w:tcPr>
                  <w:tcW w:w="906" w:type="pct"/>
                  <w:noWrap w:val="0"/>
                  <w:vAlign w:val="center"/>
                </w:tcPr>
                <w:p w14:paraId="7DF747D4">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rPr>
                    <w:t>本项目排放量</w:t>
                  </w:r>
                </w:p>
              </w:tc>
              <w:tc>
                <w:tcPr>
                  <w:tcW w:w="761" w:type="pct"/>
                  <w:noWrap w:val="0"/>
                  <w:vAlign w:val="center"/>
                </w:tcPr>
                <w:p w14:paraId="7D82C01E">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rPr>
                    <w:t>本次申请量</w:t>
                  </w:r>
                </w:p>
              </w:tc>
              <w:tc>
                <w:tcPr>
                  <w:tcW w:w="683" w:type="pct"/>
                  <w:noWrap w:val="0"/>
                  <w:vAlign w:val="center"/>
                </w:tcPr>
                <w:p w14:paraId="0D230D4D">
                  <w:pPr>
                    <w:adjustRightInd w:val="0"/>
                    <w:snapToGrid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最终排入</w:t>
                  </w:r>
                </w:p>
                <w:p w14:paraId="4B630D27">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rPr>
                    <w:t>外环境量</w:t>
                  </w:r>
                </w:p>
              </w:tc>
            </w:tr>
            <w:tr w14:paraId="5FD483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39" w:hRule="atLeast"/>
                <w:jc w:val="center"/>
              </w:trPr>
              <w:tc>
                <w:tcPr>
                  <w:tcW w:w="458" w:type="pct"/>
                  <w:vMerge w:val="restart"/>
                  <w:noWrap w:val="0"/>
                  <w:vAlign w:val="center"/>
                </w:tcPr>
                <w:p w14:paraId="46420321">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大气污染物</w:t>
                  </w:r>
                </w:p>
              </w:tc>
              <w:tc>
                <w:tcPr>
                  <w:tcW w:w="482" w:type="pct"/>
                  <w:noWrap w:val="0"/>
                  <w:vAlign w:val="center"/>
                </w:tcPr>
                <w:p w14:paraId="07468246">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有组织</w:t>
                  </w:r>
                </w:p>
              </w:tc>
              <w:tc>
                <w:tcPr>
                  <w:tcW w:w="859" w:type="pct"/>
                  <w:noWrap w:val="0"/>
                  <w:vAlign w:val="center"/>
                </w:tcPr>
                <w:p w14:paraId="37475903">
                  <w:pPr>
                    <w:keepNext w:val="0"/>
                    <w:keepLines w:val="0"/>
                    <w:widowControl/>
                    <w:suppressLineNumbers w:val="0"/>
                    <w:jc w:val="center"/>
                    <w:textAlignment w:val="center"/>
                    <w:rPr>
                      <w:rFonts w:hint="default" w:ascii="Times New Roman" w:hAnsi="Times New Roman" w:eastAsia="宋体" w:cs="Times New Roman"/>
                      <w:bCs/>
                      <w:color w:val="auto"/>
                      <w:szCs w:val="21"/>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848" w:type="pct"/>
                  <w:noWrap w:val="0"/>
                  <w:vAlign w:val="center"/>
                </w:tcPr>
                <w:p w14:paraId="70DB1A83">
                  <w:pPr>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bCs/>
                      <w:color w:val="auto"/>
                      <w:szCs w:val="22"/>
                      <w:lang w:val="en-US" w:eastAsia="zh-CN"/>
                    </w:rPr>
                    <w:t>0.312</w:t>
                  </w:r>
                </w:p>
              </w:tc>
              <w:tc>
                <w:tcPr>
                  <w:tcW w:w="906" w:type="pct"/>
                  <w:noWrap w:val="0"/>
                  <w:vAlign w:val="center"/>
                </w:tcPr>
                <w:p w14:paraId="004EDE75">
                  <w:pPr>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0.031</w:t>
                  </w:r>
                </w:p>
              </w:tc>
              <w:tc>
                <w:tcPr>
                  <w:tcW w:w="761" w:type="pct"/>
                  <w:noWrap w:val="0"/>
                  <w:vAlign w:val="center"/>
                </w:tcPr>
                <w:p w14:paraId="03CBF62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44"/>
                      <w:sz w:val="21"/>
                      <w:szCs w:val="21"/>
                      <w:lang w:val="en-US" w:eastAsia="zh-CN"/>
                    </w:rPr>
                    <w:t>0.031</w:t>
                  </w:r>
                </w:p>
              </w:tc>
              <w:tc>
                <w:tcPr>
                  <w:tcW w:w="683" w:type="pct"/>
                  <w:noWrap w:val="0"/>
                  <w:vAlign w:val="center"/>
                </w:tcPr>
                <w:p w14:paraId="6EAEBE4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44"/>
                      <w:sz w:val="21"/>
                      <w:szCs w:val="21"/>
                      <w:lang w:val="en-US" w:eastAsia="zh-CN"/>
                    </w:rPr>
                    <w:t>0.031</w:t>
                  </w:r>
                </w:p>
              </w:tc>
            </w:tr>
            <w:tr w14:paraId="7B30FD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58" w:type="pct"/>
                  <w:vMerge w:val="continue"/>
                  <w:noWrap w:val="0"/>
                  <w:vAlign w:val="center"/>
                </w:tcPr>
                <w:p w14:paraId="54953C2E">
                  <w:pPr>
                    <w:adjustRightInd w:val="0"/>
                    <w:snapToGrid w:val="0"/>
                    <w:jc w:val="center"/>
                    <w:rPr>
                      <w:rFonts w:hint="default" w:ascii="Times New Roman" w:hAnsi="Times New Roman" w:eastAsia="宋体" w:cs="Times New Roman"/>
                      <w:b/>
                      <w:color w:val="auto"/>
                      <w:szCs w:val="21"/>
                    </w:rPr>
                  </w:pPr>
                </w:p>
              </w:tc>
              <w:tc>
                <w:tcPr>
                  <w:tcW w:w="482" w:type="pct"/>
                  <w:noWrap w:val="0"/>
                  <w:vAlign w:val="center"/>
                </w:tcPr>
                <w:p w14:paraId="3DFBA4BE">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无组织</w:t>
                  </w:r>
                </w:p>
              </w:tc>
              <w:tc>
                <w:tcPr>
                  <w:tcW w:w="859" w:type="pct"/>
                  <w:noWrap w:val="0"/>
                  <w:vAlign w:val="center"/>
                </w:tcPr>
                <w:p w14:paraId="7D0EB1F9">
                  <w:pPr>
                    <w:keepNext w:val="0"/>
                    <w:keepLines w:val="0"/>
                    <w:widowControl/>
                    <w:suppressLineNumbers w:val="0"/>
                    <w:jc w:val="center"/>
                    <w:textAlignment w:val="center"/>
                    <w:rPr>
                      <w:rFonts w:hint="default" w:ascii="Times New Roman" w:hAnsi="Times New Roman" w:eastAsia="宋体" w:cs="Times New Roman"/>
                      <w:bCs/>
                      <w:color w:val="auto"/>
                      <w:szCs w:val="21"/>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848" w:type="pct"/>
                  <w:noWrap w:val="0"/>
                  <w:vAlign w:val="center"/>
                </w:tcPr>
                <w:p w14:paraId="05C7EBAF">
                  <w:pPr>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0.016</w:t>
                  </w:r>
                </w:p>
              </w:tc>
              <w:tc>
                <w:tcPr>
                  <w:tcW w:w="906" w:type="pct"/>
                  <w:noWrap w:val="0"/>
                  <w:vAlign w:val="center"/>
                </w:tcPr>
                <w:p w14:paraId="4FC3EE31">
                  <w:pPr>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0.016</w:t>
                  </w:r>
                </w:p>
              </w:tc>
              <w:tc>
                <w:tcPr>
                  <w:tcW w:w="761" w:type="pct"/>
                  <w:noWrap w:val="0"/>
                  <w:vAlign w:val="center"/>
                </w:tcPr>
                <w:p w14:paraId="49F65F9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44"/>
                      <w:sz w:val="21"/>
                      <w:szCs w:val="21"/>
                      <w:lang w:val="en-US" w:eastAsia="zh-CN"/>
                    </w:rPr>
                    <w:t>0.016</w:t>
                  </w:r>
                </w:p>
              </w:tc>
              <w:tc>
                <w:tcPr>
                  <w:tcW w:w="683" w:type="pct"/>
                  <w:noWrap w:val="0"/>
                  <w:vAlign w:val="center"/>
                </w:tcPr>
                <w:p w14:paraId="6254CDC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44"/>
                      <w:sz w:val="21"/>
                      <w:szCs w:val="21"/>
                      <w:lang w:val="en-US" w:eastAsia="zh-CN"/>
                    </w:rPr>
                    <w:t>0.016</w:t>
                  </w:r>
                </w:p>
              </w:tc>
            </w:tr>
            <w:tr w14:paraId="0C74F5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58" w:type="pct"/>
                  <w:noWrap w:val="0"/>
                  <w:vAlign w:val="center"/>
                </w:tcPr>
                <w:p w14:paraId="27AE9EFD">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固体</w:t>
                  </w:r>
                </w:p>
                <w:p w14:paraId="79952653">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废物</w:t>
                  </w:r>
                </w:p>
              </w:tc>
              <w:tc>
                <w:tcPr>
                  <w:tcW w:w="1341" w:type="pct"/>
                  <w:gridSpan w:val="2"/>
                  <w:noWrap w:val="0"/>
                  <w:vAlign w:val="center"/>
                </w:tcPr>
                <w:p w14:paraId="39D63CC6">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危险废物</w:t>
                  </w:r>
                </w:p>
              </w:tc>
              <w:tc>
                <w:tcPr>
                  <w:tcW w:w="848" w:type="pct"/>
                  <w:noWrap w:val="0"/>
                  <w:vAlign w:val="center"/>
                </w:tcPr>
                <w:p w14:paraId="78C2D59F">
                  <w:pPr>
                    <w:adjustRightInd w:val="0"/>
                    <w:snapToGrid w:val="0"/>
                    <w:jc w:val="center"/>
                    <w:rPr>
                      <w:rFonts w:hint="default" w:ascii="Times New Roman" w:hAnsi="Times New Roman" w:eastAsia="宋体" w:cs="Times New Roman"/>
                      <w:bCs/>
                      <w:color w:val="auto"/>
                      <w:szCs w:val="21"/>
                      <w:lang w:val="en-US" w:eastAsia="zh-CN"/>
                    </w:rPr>
                  </w:pPr>
                  <w:r>
                    <w:rPr>
                      <w:rFonts w:hint="eastAsia" w:cs="Times New Roman"/>
                      <w:bCs/>
                      <w:color w:val="FF0000"/>
                      <w:szCs w:val="21"/>
                      <w:lang w:val="en-US" w:eastAsia="zh-CN"/>
                    </w:rPr>
                    <w:t>10</w:t>
                  </w:r>
                  <w:r>
                    <w:rPr>
                      <w:rFonts w:hint="default" w:ascii="Times New Roman" w:hAnsi="Times New Roman" w:eastAsia="宋体" w:cs="Times New Roman"/>
                      <w:bCs/>
                      <w:color w:val="FF0000"/>
                      <w:szCs w:val="21"/>
                      <w:lang w:val="en-US" w:eastAsia="zh-CN"/>
                    </w:rPr>
                    <w:t>.065</w:t>
                  </w:r>
                </w:p>
              </w:tc>
              <w:tc>
                <w:tcPr>
                  <w:tcW w:w="906" w:type="pct"/>
                  <w:noWrap w:val="0"/>
                  <w:vAlign w:val="center"/>
                </w:tcPr>
                <w:p w14:paraId="2347B924">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0</w:t>
                  </w:r>
                </w:p>
              </w:tc>
              <w:tc>
                <w:tcPr>
                  <w:tcW w:w="761" w:type="pct"/>
                  <w:noWrap w:val="0"/>
                  <w:vAlign w:val="center"/>
                </w:tcPr>
                <w:p w14:paraId="250FADA8">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0</w:t>
                  </w:r>
                </w:p>
              </w:tc>
              <w:tc>
                <w:tcPr>
                  <w:tcW w:w="683" w:type="pct"/>
                  <w:noWrap w:val="0"/>
                  <w:vAlign w:val="center"/>
                </w:tcPr>
                <w:p w14:paraId="7C371C00">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0</w:t>
                  </w:r>
                </w:p>
              </w:tc>
            </w:tr>
          </w:tbl>
          <w:p w14:paraId="0242BA2D">
            <w:pPr>
              <w:adjustRightInd w:val="0"/>
              <w:snapToGrid w:val="0"/>
              <w:spacing w:line="500" w:lineRule="exact"/>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表3-10 全厂污染物排放情况一览表(t/a)</w:t>
            </w:r>
          </w:p>
          <w:tbl>
            <w:tblPr>
              <w:tblStyle w:val="27"/>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1" w:type="dxa"/>
                <w:bottom w:w="0" w:type="dxa"/>
                <w:right w:w="51" w:type="dxa"/>
              </w:tblCellMar>
            </w:tblPr>
            <w:tblGrid>
              <w:gridCol w:w="386"/>
              <w:gridCol w:w="1260"/>
              <w:gridCol w:w="1260"/>
              <w:gridCol w:w="833"/>
              <w:gridCol w:w="771"/>
              <w:gridCol w:w="886"/>
              <w:gridCol w:w="809"/>
              <w:gridCol w:w="742"/>
              <w:gridCol w:w="983"/>
            </w:tblGrid>
            <w:tr w14:paraId="746E68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Align w:val="center"/>
                </w:tcPr>
                <w:p w14:paraId="340E4FE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种类</w:t>
                  </w:r>
                </w:p>
              </w:tc>
              <w:tc>
                <w:tcPr>
                  <w:tcW w:w="794" w:type="pct"/>
                  <w:vAlign w:val="center"/>
                </w:tcPr>
                <w:p w14:paraId="0C014F2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污染物名称</w:t>
                  </w:r>
                </w:p>
              </w:tc>
              <w:tc>
                <w:tcPr>
                  <w:tcW w:w="525" w:type="pct"/>
                  <w:vAlign w:val="center"/>
                </w:tcPr>
                <w:p w14:paraId="6C85268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原有项目实际排放量</w:t>
                  </w:r>
                </w:p>
              </w:tc>
              <w:tc>
                <w:tcPr>
                  <w:tcW w:w="486" w:type="pct"/>
                  <w:vAlign w:val="center"/>
                </w:tcPr>
                <w:p w14:paraId="5D543D9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原有项目</w:t>
                  </w:r>
                  <w:r>
                    <w:rPr>
                      <w:rFonts w:hint="default" w:ascii="Times New Roman" w:hAnsi="Times New Roman" w:eastAsia="宋体" w:cs="Times New Roman"/>
                      <w:b/>
                      <w:color w:val="auto"/>
                      <w:sz w:val="21"/>
                      <w:szCs w:val="21"/>
                      <w:lang w:val="en-US" w:eastAsia="zh-CN"/>
                    </w:rPr>
                    <w:t>环评批复</w:t>
                  </w:r>
                  <w:r>
                    <w:rPr>
                      <w:rFonts w:hint="default" w:ascii="Times New Roman" w:hAnsi="Times New Roman" w:eastAsia="宋体" w:cs="Times New Roman"/>
                      <w:b/>
                      <w:color w:val="auto"/>
                      <w:sz w:val="21"/>
                      <w:szCs w:val="21"/>
                    </w:rPr>
                    <w:t>量</w:t>
                  </w:r>
                </w:p>
              </w:tc>
              <w:tc>
                <w:tcPr>
                  <w:tcW w:w="558" w:type="pct"/>
                  <w:vAlign w:val="center"/>
                </w:tcPr>
                <w:p w14:paraId="6E4453D7">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val="en-US" w:eastAsia="zh-CN"/>
                    </w:rPr>
                    <w:t>本</w:t>
                  </w:r>
                  <w:r>
                    <w:rPr>
                      <w:rFonts w:hint="default" w:ascii="Times New Roman" w:hAnsi="Times New Roman" w:eastAsia="宋体" w:cs="Times New Roman"/>
                      <w:b/>
                      <w:color w:val="auto"/>
                      <w:sz w:val="21"/>
                      <w:szCs w:val="21"/>
                    </w:rPr>
                    <w:t>项目排放量</w:t>
                  </w:r>
                </w:p>
              </w:tc>
              <w:tc>
                <w:tcPr>
                  <w:tcW w:w="510" w:type="pct"/>
                  <w:vAlign w:val="center"/>
                </w:tcPr>
                <w:p w14:paraId="19E247DC">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“以新带老”削减量</w:t>
                  </w:r>
                </w:p>
              </w:tc>
              <w:tc>
                <w:tcPr>
                  <w:tcW w:w="467" w:type="pct"/>
                  <w:vAlign w:val="center"/>
                </w:tcPr>
                <w:p w14:paraId="35099F1F">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全厂排放量</w:t>
                  </w:r>
                </w:p>
              </w:tc>
              <w:tc>
                <w:tcPr>
                  <w:tcW w:w="619" w:type="pct"/>
                  <w:vAlign w:val="center"/>
                </w:tcPr>
                <w:p w14:paraId="724E0468">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扩建前后变化量</w:t>
                  </w:r>
                </w:p>
              </w:tc>
            </w:tr>
            <w:tr w14:paraId="47A93F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90" w:hRule="atLeast"/>
                <w:jc w:val="center"/>
              </w:trPr>
              <w:tc>
                <w:tcPr>
                  <w:tcW w:w="1037" w:type="pct"/>
                  <w:gridSpan w:val="2"/>
                  <w:vMerge w:val="restart"/>
                  <w:vAlign w:val="center"/>
                </w:tcPr>
                <w:p w14:paraId="0334E07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p w14:paraId="3CE2319E">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p w14:paraId="600DBA2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p>
              </w:tc>
              <w:tc>
                <w:tcPr>
                  <w:tcW w:w="1260" w:type="dxa"/>
                  <w:vAlign w:val="center"/>
                </w:tcPr>
                <w:p w14:paraId="4C2D497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水量</w:t>
                  </w:r>
                </w:p>
              </w:tc>
              <w:tc>
                <w:tcPr>
                  <w:tcW w:w="833" w:type="dxa"/>
                  <w:vAlign w:val="center"/>
                </w:tcPr>
                <w:p w14:paraId="37E03CC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771" w:type="dxa"/>
                  <w:vAlign w:val="center"/>
                </w:tcPr>
                <w:p w14:paraId="5FD843F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558" w:type="pct"/>
                  <w:vAlign w:val="center"/>
                </w:tcPr>
                <w:p w14:paraId="19612AA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7B47E32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3E53CD6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983" w:type="dxa"/>
                  <w:vAlign w:val="center"/>
                </w:tcPr>
                <w:p w14:paraId="678AA68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7DE6D2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83" w:hRule="atLeast"/>
                <w:jc w:val="center"/>
              </w:trPr>
              <w:tc>
                <w:tcPr>
                  <w:tcW w:w="1037" w:type="pct"/>
                  <w:gridSpan w:val="2"/>
                  <w:vMerge w:val="continue"/>
                  <w:vAlign w:val="center"/>
                </w:tcPr>
                <w:p w14:paraId="5BF4D03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p>
              </w:tc>
              <w:tc>
                <w:tcPr>
                  <w:tcW w:w="1260" w:type="dxa"/>
                  <w:vAlign w:val="center"/>
                </w:tcPr>
                <w:p w14:paraId="35CE011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COD</w:t>
                  </w:r>
                </w:p>
              </w:tc>
              <w:tc>
                <w:tcPr>
                  <w:tcW w:w="833" w:type="dxa"/>
                  <w:vAlign w:val="center"/>
                </w:tcPr>
                <w:p w14:paraId="6703470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0.48</w:t>
                  </w:r>
                </w:p>
              </w:tc>
              <w:tc>
                <w:tcPr>
                  <w:tcW w:w="771" w:type="dxa"/>
                  <w:vAlign w:val="center"/>
                </w:tcPr>
                <w:p w14:paraId="4B870DE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0.48</w:t>
                  </w:r>
                </w:p>
              </w:tc>
              <w:tc>
                <w:tcPr>
                  <w:tcW w:w="886" w:type="dxa"/>
                  <w:vAlign w:val="center"/>
                </w:tcPr>
                <w:p w14:paraId="1AC258C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20143E8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04E6454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0.48</w:t>
                  </w:r>
                </w:p>
              </w:tc>
              <w:tc>
                <w:tcPr>
                  <w:tcW w:w="983" w:type="dxa"/>
                  <w:vAlign w:val="center"/>
                </w:tcPr>
                <w:p w14:paraId="68FB159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09E7AC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Merge w:val="continue"/>
                  <w:vAlign w:val="center"/>
                </w:tcPr>
                <w:p w14:paraId="6C07D01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p>
              </w:tc>
              <w:tc>
                <w:tcPr>
                  <w:tcW w:w="1260" w:type="dxa"/>
                  <w:vAlign w:val="center"/>
                </w:tcPr>
                <w:p w14:paraId="548B3FB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SS</w:t>
                  </w:r>
                </w:p>
              </w:tc>
              <w:tc>
                <w:tcPr>
                  <w:tcW w:w="833" w:type="dxa"/>
                  <w:vAlign w:val="center"/>
                </w:tcPr>
                <w:p w14:paraId="25D12ED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0.30</w:t>
                  </w:r>
                </w:p>
              </w:tc>
              <w:tc>
                <w:tcPr>
                  <w:tcW w:w="771" w:type="dxa"/>
                  <w:vAlign w:val="center"/>
                </w:tcPr>
                <w:p w14:paraId="36AD323C">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0.30</w:t>
                  </w:r>
                </w:p>
              </w:tc>
              <w:tc>
                <w:tcPr>
                  <w:tcW w:w="886" w:type="dxa"/>
                  <w:vAlign w:val="center"/>
                </w:tcPr>
                <w:p w14:paraId="4D48790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6A4E253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0DA4A00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0.30</w:t>
                  </w:r>
                </w:p>
              </w:tc>
              <w:tc>
                <w:tcPr>
                  <w:tcW w:w="983" w:type="dxa"/>
                  <w:vAlign w:val="center"/>
                </w:tcPr>
                <w:p w14:paraId="01C8564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56095F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Merge w:val="continue"/>
                  <w:vAlign w:val="center"/>
                </w:tcPr>
                <w:p w14:paraId="7642D58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p>
              </w:tc>
              <w:tc>
                <w:tcPr>
                  <w:tcW w:w="1260" w:type="dxa"/>
                  <w:vAlign w:val="center"/>
                </w:tcPr>
                <w:p w14:paraId="3F20B96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w:t>
                  </w:r>
                </w:p>
              </w:tc>
              <w:tc>
                <w:tcPr>
                  <w:tcW w:w="833" w:type="dxa"/>
                  <w:vAlign w:val="center"/>
                </w:tcPr>
                <w:p w14:paraId="6E562F0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0.042</w:t>
                  </w:r>
                </w:p>
              </w:tc>
              <w:tc>
                <w:tcPr>
                  <w:tcW w:w="771" w:type="dxa"/>
                  <w:vAlign w:val="center"/>
                </w:tcPr>
                <w:p w14:paraId="633F98A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0.042</w:t>
                  </w:r>
                </w:p>
              </w:tc>
              <w:tc>
                <w:tcPr>
                  <w:tcW w:w="886" w:type="dxa"/>
                  <w:vAlign w:val="center"/>
                </w:tcPr>
                <w:p w14:paraId="179A7FC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43C75EB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26AD708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0.042</w:t>
                  </w:r>
                </w:p>
              </w:tc>
              <w:tc>
                <w:tcPr>
                  <w:tcW w:w="983" w:type="dxa"/>
                  <w:vAlign w:val="center"/>
                </w:tcPr>
                <w:p w14:paraId="277C19B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597DBD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Merge w:val="continue"/>
                  <w:vAlign w:val="center"/>
                </w:tcPr>
                <w:p w14:paraId="52F8326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p>
              </w:tc>
              <w:tc>
                <w:tcPr>
                  <w:tcW w:w="1260" w:type="dxa"/>
                  <w:vAlign w:val="center"/>
                </w:tcPr>
                <w:p w14:paraId="4BA7A31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rPr>
                    <w:t>TP</w:t>
                  </w:r>
                </w:p>
              </w:tc>
              <w:tc>
                <w:tcPr>
                  <w:tcW w:w="833" w:type="dxa"/>
                  <w:vAlign w:val="center"/>
                </w:tcPr>
                <w:p w14:paraId="1BE81FD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771" w:type="dxa"/>
                  <w:vAlign w:val="center"/>
                </w:tcPr>
                <w:p w14:paraId="33CE6CE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886" w:type="dxa"/>
                  <w:vAlign w:val="center"/>
                </w:tcPr>
                <w:p w14:paraId="3809406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2B6A608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60D8BC7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0.004</w:t>
                  </w:r>
                </w:p>
              </w:tc>
              <w:tc>
                <w:tcPr>
                  <w:tcW w:w="983" w:type="dxa"/>
                  <w:vAlign w:val="center"/>
                </w:tcPr>
                <w:p w14:paraId="075B135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0189F9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Merge w:val="continue"/>
                  <w:vAlign w:val="center"/>
                </w:tcPr>
                <w:p w14:paraId="7CA5933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p>
              </w:tc>
              <w:tc>
                <w:tcPr>
                  <w:tcW w:w="1260" w:type="dxa"/>
                  <w:vAlign w:val="center"/>
                </w:tcPr>
                <w:p w14:paraId="3C7E0D4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TN</w:t>
                  </w:r>
                </w:p>
              </w:tc>
              <w:tc>
                <w:tcPr>
                  <w:tcW w:w="833" w:type="dxa"/>
                  <w:vAlign w:val="center"/>
                </w:tcPr>
                <w:p w14:paraId="5022CD8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0.036</w:t>
                  </w:r>
                </w:p>
              </w:tc>
              <w:tc>
                <w:tcPr>
                  <w:tcW w:w="771" w:type="dxa"/>
                  <w:vAlign w:val="center"/>
                </w:tcPr>
                <w:p w14:paraId="59BD8FF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886" w:type="dxa"/>
                  <w:vAlign w:val="center"/>
                </w:tcPr>
                <w:p w14:paraId="7481971B">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184B062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1A9E91B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0.036</w:t>
                  </w:r>
                </w:p>
              </w:tc>
              <w:tc>
                <w:tcPr>
                  <w:tcW w:w="983" w:type="dxa"/>
                  <w:vAlign w:val="center"/>
                </w:tcPr>
                <w:p w14:paraId="2E0EC95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5AC880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1037" w:type="pct"/>
                  <w:gridSpan w:val="2"/>
                  <w:vMerge w:val="continue"/>
                  <w:vAlign w:val="center"/>
                </w:tcPr>
                <w:p w14:paraId="6CA989B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p>
              </w:tc>
              <w:tc>
                <w:tcPr>
                  <w:tcW w:w="1260" w:type="dxa"/>
                  <w:vAlign w:val="center"/>
                </w:tcPr>
                <w:p w14:paraId="4D4F3AD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动植物油</w:t>
                  </w:r>
                </w:p>
              </w:tc>
              <w:tc>
                <w:tcPr>
                  <w:tcW w:w="833" w:type="dxa"/>
                  <w:vAlign w:val="center"/>
                </w:tcPr>
                <w:p w14:paraId="4F48A05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0.072</w:t>
                  </w:r>
                </w:p>
              </w:tc>
              <w:tc>
                <w:tcPr>
                  <w:tcW w:w="771" w:type="dxa"/>
                  <w:vAlign w:val="center"/>
                </w:tcPr>
                <w:p w14:paraId="049590C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0.072</w:t>
                  </w:r>
                </w:p>
              </w:tc>
              <w:tc>
                <w:tcPr>
                  <w:tcW w:w="886" w:type="dxa"/>
                  <w:vAlign w:val="center"/>
                </w:tcPr>
                <w:p w14:paraId="63A3F33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809" w:type="dxa"/>
                  <w:vAlign w:val="center"/>
                </w:tcPr>
                <w:p w14:paraId="08CC2B1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SA"/>
                    </w:rPr>
                    <w:t>0</w:t>
                  </w:r>
                </w:p>
              </w:tc>
              <w:tc>
                <w:tcPr>
                  <w:tcW w:w="742" w:type="dxa"/>
                  <w:vAlign w:val="center"/>
                </w:tcPr>
                <w:p w14:paraId="2436572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0.072</w:t>
                  </w:r>
                </w:p>
              </w:tc>
              <w:tc>
                <w:tcPr>
                  <w:tcW w:w="983" w:type="dxa"/>
                  <w:vAlign w:val="center"/>
                </w:tcPr>
                <w:p w14:paraId="053805F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28FE54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243" w:type="pct"/>
                  <w:vMerge w:val="restart"/>
                  <w:vAlign w:val="center"/>
                </w:tcPr>
                <w:p w14:paraId="1C1E92C3">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794" w:type="pct"/>
                  <w:vMerge w:val="restart"/>
                  <w:vAlign w:val="center"/>
                </w:tcPr>
                <w:p w14:paraId="121C7AB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Cs w:val="21"/>
                    </w:rPr>
                    <w:t>有组织</w:t>
                  </w:r>
                </w:p>
              </w:tc>
              <w:tc>
                <w:tcPr>
                  <w:tcW w:w="1260" w:type="dxa"/>
                  <w:vAlign w:val="center"/>
                </w:tcPr>
                <w:p w14:paraId="5F705FEC">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食堂油烟</w:t>
                  </w:r>
                </w:p>
              </w:tc>
              <w:tc>
                <w:tcPr>
                  <w:tcW w:w="833" w:type="dxa"/>
                  <w:vAlign w:val="center"/>
                </w:tcPr>
                <w:p w14:paraId="403DCF4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771" w:type="dxa"/>
                  <w:vAlign w:val="center"/>
                </w:tcPr>
                <w:p w14:paraId="7BF7781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886" w:type="dxa"/>
                  <w:vAlign w:val="center"/>
                </w:tcPr>
                <w:p w14:paraId="15904424">
                  <w:pPr>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44"/>
                      <w:sz w:val="21"/>
                      <w:szCs w:val="21"/>
                      <w:lang w:val="en-US" w:eastAsia="zh-CN"/>
                    </w:rPr>
                    <w:t>0</w:t>
                  </w:r>
                </w:p>
              </w:tc>
              <w:tc>
                <w:tcPr>
                  <w:tcW w:w="510" w:type="pct"/>
                  <w:vAlign w:val="center"/>
                </w:tcPr>
                <w:p w14:paraId="144441B7">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w:t>
                  </w:r>
                </w:p>
              </w:tc>
              <w:tc>
                <w:tcPr>
                  <w:tcW w:w="742" w:type="dxa"/>
                  <w:vAlign w:val="center"/>
                </w:tcPr>
                <w:p w14:paraId="3783A66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619" w:type="pct"/>
                  <w:vAlign w:val="center"/>
                </w:tcPr>
                <w:p w14:paraId="67A625A8">
                  <w:pPr>
                    <w:keepNext w:val="0"/>
                    <w:keepLines w:val="0"/>
                    <w:widowControl/>
                    <w:suppressLineNumbers w:val="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7E8700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243" w:type="pct"/>
                  <w:vMerge w:val="continue"/>
                  <w:vAlign w:val="center"/>
                </w:tcPr>
                <w:p w14:paraId="67E352B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794" w:type="pct"/>
                  <w:vMerge w:val="continue"/>
                  <w:vAlign w:val="center"/>
                </w:tcPr>
                <w:p w14:paraId="6CEAFE6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p>
              </w:tc>
              <w:tc>
                <w:tcPr>
                  <w:tcW w:w="1260" w:type="dxa"/>
                  <w:vAlign w:val="center"/>
                </w:tcPr>
                <w:p w14:paraId="327ED9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833" w:type="dxa"/>
                  <w:vAlign w:val="center"/>
                </w:tcPr>
                <w:p w14:paraId="3990A51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w:t>
                  </w:r>
                </w:p>
              </w:tc>
              <w:tc>
                <w:tcPr>
                  <w:tcW w:w="771" w:type="dxa"/>
                  <w:vAlign w:val="center"/>
                </w:tcPr>
                <w:p w14:paraId="023CD65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w:t>
                  </w:r>
                </w:p>
              </w:tc>
              <w:tc>
                <w:tcPr>
                  <w:tcW w:w="886" w:type="dxa"/>
                  <w:vAlign w:val="center"/>
                </w:tcPr>
                <w:p w14:paraId="763DAA7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44"/>
                      <w:sz w:val="21"/>
                      <w:szCs w:val="21"/>
                      <w:lang w:val="en-US" w:eastAsia="zh-CN"/>
                    </w:rPr>
                    <w:t>0.031</w:t>
                  </w:r>
                </w:p>
              </w:tc>
              <w:tc>
                <w:tcPr>
                  <w:tcW w:w="510" w:type="pct"/>
                  <w:vAlign w:val="center"/>
                </w:tcPr>
                <w:p w14:paraId="143FDD78">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742" w:type="dxa"/>
                  <w:vAlign w:val="center"/>
                </w:tcPr>
                <w:p w14:paraId="66AFAB6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0.031</w:t>
                  </w:r>
                </w:p>
              </w:tc>
              <w:tc>
                <w:tcPr>
                  <w:tcW w:w="619" w:type="pct"/>
                  <w:vAlign w:val="center"/>
                </w:tcPr>
                <w:p w14:paraId="021FDE83">
                  <w:pPr>
                    <w:keepNext w:val="0"/>
                    <w:keepLines w:val="0"/>
                    <w:widowControl/>
                    <w:suppressLineNumbers w:val="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kern w:val="44"/>
                      <w:sz w:val="21"/>
                      <w:szCs w:val="21"/>
                      <w:lang w:val="en-US" w:eastAsia="zh-CN"/>
                    </w:rPr>
                    <w:t>0.031</w:t>
                  </w:r>
                </w:p>
              </w:tc>
            </w:tr>
            <w:tr w14:paraId="69693E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243" w:type="pct"/>
                  <w:vMerge w:val="continue"/>
                  <w:vAlign w:val="center"/>
                </w:tcPr>
                <w:p w14:paraId="503C5CC9">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794" w:type="pct"/>
                  <w:vMerge w:val="restart"/>
                  <w:vAlign w:val="center"/>
                </w:tcPr>
                <w:p w14:paraId="5DAF186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Cs w:val="21"/>
                    </w:rPr>
                    <w:t>无组织</w:t>
                  </w:r>
                </w:p>
              </w:tc>
              <w:tc>
                <w:tcPr>
                  <w:tcW w:w="1260" w:type="dxa"/>
                  <w:vAlign w:val="center"/>
                </w:tcPr>
                <w:p w14:paraId="17F481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Cs w:val="21"/>
                      <w:lang w:val="en-US" w:eastAsia="zh-CN"/>
                    </w:rPr>
                    <w:t>颗粒物</w:t>
                  </w:r>
                </w:p>
              </w:tc>
              <w:tc>
                <w:tcPr>
                  <w:tcW w:w="833" w:type="dxa"/>
                  <w:vAlign w:val="center"/>
                </w:tcPr>
                <w:p w14:paraId="3E34340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Cs w:val="21"/>
                      <w:highlight w:val="none"/>
                      <w:lang w:val="en-US" w:eastAsia="zh-CN"/>
                    </w:rPr>
                    <w:t>0.09</w:t>
                  </w:r>
                </w:p>
              </w:tc>
              <w:tc>
                <w:tcPr>
                  <w:tcW w:w="771" w:type="dxa"/>
                  <w:vAlign w:val="center"/>
                </w:tcPr>
                <w:p w14:paraId="51C0209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Cs w:val="21"/>
                      <w:highlight w:val="none"/>
                      <w:lang w:val="en-US" w:eastAsia="zh-CN"/>
                    </w:rPr>
                    <w:t>0.09</w:t>
                  </w:r>
                </w:p>
              </w:tc>
              <w:tc>
                <w:tcPr>
                  <w:tcW w:w="886" w:type="dxa"/>
                  <w:vAlign w:val="center"/>
                </w:tcPr>
                <w:p w14:paraId="4CC3CBF0">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44"/>
                      <w:sz w:val="21"/>
                      <w:szCs w:val="21"/>
                      <w:lang w:val="en-US" w:eastAsia="zh-CN"/>
                    </w:rPr>
                    <w:t>0</w:t>
                  </w:r>
                </w:p>
              </w:tc>
              <w:tc>
                <w:tcPr>
                  <w:tcW w:w="510" w:type="pct"/>
                  <w:vAlign w:val="center"/>
                </w:tcPr>
                <w:p w14:paraId="00089916">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44"/>
                      <w:sz w:val="21"/>
                      <w:szCs w:val="21"/>
                      <w:lang w:val="en-US" w:eastAsia="zh-CN"/>
                    </w:rPr>
                    <w:t>0</w:t>
                  </w:r>
                </w:p>
              </w:tc>
              <w:tc>
                <w:tcPr>
                  <w:tcW w:w="742" w:type="dxa"/>
                  <w:vAlign w:val="center"/>
                </w:tcPr>
                <w:p w14:paraId="553407F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highlight w:val="none"/>
                      <w:lang w:val="en-US" w:eastAsia="zh-CN"/>
                    </w:rPr>
                    <w:t>0.09</w:t>
                  </w:r>
                </w:p>
              </w:tc>
              <w:tc>
                <w:tcPr>
                  <w:tcW w:w="619" w:type="pct"/>
                  <w:vAlign w:val="center"/>
                </w:tcPr>
                <w:p w14:paraId="2085ED91">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p>
              </w:tc>
            </w:tr>
            <w:tr w14:paraId="574D94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69" w:hRule="atLeast"/>
                <w:jc w:val="center"/>
              </w:trPr>
              <w:tc>
                <w:tcPr>
                  <w:tcW w:w="243" w:type="pct"/>
                  <w:vMerge w:val="continue"/>
                  <w:vAlign w:val="center"/>
                </w:tcPr>
                <w:p w14:paraId="230B00A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p>
              </w:tc>
              <w:tc>
                <w:tcPr>
                  <w:tcW w:w="794" w:type="pct"/>
                  <w:vMerge w:val="continue"/>
                  <w:vAlign w:val="center"/>
                </w:tcPr>
                <w:p w14:paraId="1A4BEDA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p>
              </w:tc>
              <w:tc>
                <w:tcPr>
                  <w:tcW w:w="794" w:type="pct"/>
                  <w:vAlign w:val="center"/>
                </w:tcPr>
                <w:p w14:paraId="16D0A72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非甲烷总烃</w:t>
                  </w:r>
                </w:p>
              </w:tc>
              <w:tc>
                <w:tcPr>
                  <w:tcW w:w="525" w:type="pct"/>
                  <w:vAlign w:val="center"/>
                </w:tcPr>
                <w:p w14:paraId="181F4062">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bidi="ar-SA"/>
                    </w:rPr>
                    <w:t>0</w:t>
                  </w:r>
                </w:p>
              </w:tc>
              <w:tc>
                <w:tcPr>
                  <w:tcW w:w="486" w:type="pct"/>
                  <w:vAlign w:val="center"/>
                </w:tcPr>
                <w:p w14:paraId="5A0A5DA4">
                  <w:pPr>
                    <w:widowControl/>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w:t>
                  </w:r>
                </w:p>
              </w:tc>
              <w:tc>
                <w:tcPr>
                  <w:tcW w:w="886" w:type="dxa"/>
                  <w:vAlign w:val="center"/>
                </w:tcPr>
                <w:p w14:paraId="7761C69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44"/>
                      <w:sz w:val="21"/>
                      <w:szCs w:val="21"/>
                      <w:lang w:val="en-US" w:eastAsia="zh-CN"/>
                    </w:rPr>
                    <w:t>0.016</w:t>
                  </w:r>
                </w:p>
              </w:tc>
              <w:tc>
                <w:tcPr>
                  <w:tcW w:w="510" w:type="pct"/>
                  <w:vAlign w:val="center"/>
                </w:tcPr>
                <w:p w14:paraId="7C59A9C2">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w:t>
                  </w:r>
                </w:p>
              </w:tc>
              <w:tc>
                <w:tcPr>
                  <w:tcW w:w="742" w:type="dxa"/>
                  <w:vAlign w:val="center"/>
                </w:tcPr>
                <w:p w14:paraId="11365B04">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44"/>
                      <w:sz w:val="21"/>
                      <w:szCs w:val="21"/>
                      <w:lang w:val="en-US" w:eastAsia="zh-CN"/>
                    </w:rPr>
                    <w:t>0.016</w:t>
                  </w:r>
                </w:p>
              </w:tc>
              <w:tc>
                <w:tcPr>
                  <w:tcW w:w="619" w:type="pct"/>
                  <w:vAlign w:val="center"/>
                </w:tcPr>
                <w:p w14:paraId="3BE53841">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r>
                    <w:rPr>
                      <w:rFonts w:hint="default" w:ascii="Times New Roman" w:hAnsi="Times New Roman" w:eastAsia="宋体" w:cs="Times New Roman"/>
                      <w:color w:val="auto"/>
                      <w:kern w:val="44"/>
                      <w:sz w:val="21"/>
                      <w:szCs w:val="21"/>
                      <w:lang w:val="en-US" w:eastAsia="zh-CN"/>
                    </w:rPr>
                    <w:t>0.016</w:t>
                  </w:r>
                </w:p>
              </w:tc>
            </w:tr>
          </w:tbl>
          <w:p w14:paraId="436572F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jc w:val="left"/>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2、总量平衡方案</w:t>
            </w:r>
          </w:p>
          <w:p w14:paraId="4F7BABA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废气：</w:t>
            </w:r>
            <w:r>
              <w:rPr>
                <w:rFonts w:hint="default" w:ascii="Times New Roman" w:hAnsi="Times New Roman" w:eastAsia="宋体" w:cs="Times New Roman"/>
                <w:bCs/>
                <w:color w:val="auto"/>
                <w:sz w:val="24"/>
                <w:szCs w:val="24"/>
                <w:highlight w:val="none"/>
                <w:lang w:val="en-US" w:eastAsia="zh-CN"/>
              </w:rPr>
              <w:t>本项目新增</w:t>
            </w:r>
            <w:r>
              <w:rPr>
                <w:rFonts w:hint="default" w:ascii="Times New Roman" w:hAnsi="Times New Roman" w:eastAsia="宋体" w:cs="Times New Roman"/>
                <w:bCs/>
                <w:color w:val="auto"/>
                <w:sz w:val="24"/>
                <w:szCs w:val="24"/>
                <w:highlight w:val="none"/>
              </w:rPr>
              <w:t>排放</w:t>
            </w:r>
            <w:r>
              <w:rPr>
                <w:rFonts w:hint="default" w:ascii="Times New Roman" w:hAnsi="Times New Roman" w:eastAsia="宋体" w:cs="Times New Roman"/>
                <w:color w:val="auto"/>
                <w:kern w:val="2"/>
                <w:sz w:val="24"/>
                <w:szCs w:val="24"/>
                <w:lang w:val="en-US" w:eastAsia="zh-CN" w:bidi="ar-SA"/>
              </w:rPr>
              <w:t>非甲烷总烃0.047</w:t>
            </w:r>
            <w:r>
              <w:rPr>
                <w:rFonts w:hint="default" w:ascii="Times New Roman" w:hAnsi="Times New Roman" w:eastAsia="宋体" w:cs="Times New Roman"/>
                <w:bCs/>
                <w:color w:val="auto"/>
                <w:sz w:val="24"/>
                <w:szCs w:val="24"/>
                <w:highlight w:val="none"/>
                <w:lang w:val="en-US" w:eastAsia="zh-CN"/>
              </w:rPr>
              <w:t>t/a</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在</w:t>
            </w:r>
            <w:r>
              <w:rPr>
                <w:rFonts w:hint="default" w:ascii="Times New Roman" w:hAnsi="Times New Roman" w:eastAsia="宋体" w:cs="Times New Roman"/>
                <w:bCs/>
                <w:color w:val="auto"/>
                <w:sz w:val="24"/>
                <w:szCs w:val="24"/>
                <w:highlight w:val="none"/>
                <w:lang w:eastAsia="zh-CN"/>
              </w:rPr>
              <w:t>金坛区</w:t>
            </w:r>
            <w:r>
              <w:rPr>
                <w:rFonts w:hint="default" w:ascii="Times New Roman" w:hAnsi="Times New Roman" w:eastAsia="宋体" w:cs="Times New Roman"/>
                <w:bCs/>
                <w:color w:val="auto"/>
                <w:sz w:val="24"/>
                <w:szCs w:val="24"/>
                <w:highlight w:val="none"/>
              </w:rPr>
              <w:t>范围内平衡。</w:t>
            </w:r>
          </w:p>
          <w:p w14:paraId="5D13E54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szCs w:val="24"/>
              </w:rPr>
              <w:t>废水：</w:t>
            </w:r>
            <w:r>
              <w:rPr>
                <w:rFonts w:hint="default" w:ascii="Times New Roman" w:hAnsi="Times New Roman" w:eastAsia="宋体" w:cs="Times New Roman"/>
                <w:color w:val="auto"/>
                <w:sz w:val="24"/>
                <w:szCs w:val="24"/>
                <w:lang w:val="en-US" w:eastAsia="zh-CN"/>
              </w:rPr>
              <w:t>本项目不新增生活污水排放</w:t>
            </w:r>
            <w:r>
              <w:rPr>
                <w:rFonts w:hint="default" w:ascii="Times New Roman" w:hAnsi="Times New Roman" w:eastAsia="宋体" w:cs="Times New Roman"/>
                <w:bCs/>
                <w:color w:val="auto"/>
                <w:sz w:val="24"/>
                <w:szCs w:val="24"/>
              </w:rPr>
              <w:t>。</w:t>
            </w:r>
          </w:p>
          <w:p w14:paraId="5D1CD25B">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szCs w:val="24"/>
                <w:lang w:val="en-US" w:eastAsia="zh-CN"/>
              </w:rPr>
              <w:t>固体废物：</w:t>
            </w:r>
            <w:r>
              <w:rPr>
                <w:rFonts w:hint="default" w:ascii="Times New Roman" w:hAnsi="Times New Roman" w:eastAsia="宋体" w:cs="Times New Roman"/>
                <w:bCs/>
                <w:color w:val="auto"/>
                <w:sz w:val="24"/>
                <w:szCs w:val="24"/>
              </w:rPr>
              <w:t>本项目产生的固体废物均进行合理处置，实现固体废物100%处置，无需申请总</w:t>
            </w:r>
            <w:r>
              <w:rPr>
                <w:rFonts w:hint="default" w:ascii="Times New Roman" w:hAnsi="Times New Roman" w:eastAsia="宋体" w:cs="Times New Roman"/>
                <w:bCs/>
                <w:color w:val="auto"/>
                <w:sz w:val="24"/>
                <w:szCs w:val="24"/>
                <w:lang w:val="en-US" w:eastAsia="zh-CN"/>
              </w:rPr>
              <w:t>量。</w:t>
            </w:r>
          </w:p>
        </w:tc>
      </w:tr>
    </w:tbl>
    <w:p w14:paraId="392999D5">
      <w:pPr>
        <w:pStyle w:val="22"/>
        <w:spacing w:before="0" w:beforeAutospacing="0" w:after="0" w:afterAutospacing="0"/>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snapToGrid w:val="0"/>
          <w:color w:val="auto"/>
          <w:sz w:val="36"/>
          <w:szCs w:val="36"/>
        </w:rPr>
        <w:br w:type="page"/>
      </w:r>
      <w:bookmarkStart w:id="4" w:name="_Toc4503"/>
      <w:r>
        <w:rPr>
          <w:rFonts w:hint="default" w:ascii="Times New Roman" w:hAnsi="Times New Roman" w:eastAsia="宋体" w:cs="Times New Roman"/>
          <w:b/>
          <w:bCs/>
          <w:snapToGrid w:val="0"/>
          <w:color w:val="auto"/>
          <w:sz w:val="30"/>
          <w:szCs w:val="30"/>
        </w:rPr>
        <w:t>四、主要环境影响和保护措施</w:t>
      </w:r>
      <w:bookmarkEnd w:id="4"/>
    </w:p>
    <w:tbl>
      <w:tblPr>
        <w:tblStyle w:val="27"/>
        <w:tblpPr w:leftFromText="180" w:rightFromText="180" w:vertAnchor="text" w:tblpXSpec="center" w:tblpY="1"/>
        <w:tblOverlap w:val="never"/>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8700"/>
      </w:tblGrid>
      <w:tr w14:paraId="74347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0" w:hRule="atLeast"/>
        </w:trPr>
        <w:tc>
          <w:tcPr>
            <w:tcW w:w="542" w:type="dxa"/>
            <w:tcMar>
              <w:left w:w="28" w:type="dxa"/>
              <w:right w:w="28" w:type="dxa"/>
            </w:tcMar>
            <w:vAlign w:val="center"/>
          </w:tcPr>
          <w:p w14:paraId="537DEFFC">
            <w:pPr>
              <w:pStyle w:val="22"/>
              <w:adjustRightInd w:val="0"/>
              <w:snapToGrid w:val="0"/>
              <w:spacing w:before="0" w:beforeAutospacing="0" w:after="0" w:afterAutospacing="0"/>
              <w:jc w:val="center"/>
              <w:rPr>
                <w:rFonts w:hint="default"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rPr>
              <w:t>施工</w:t>
            </w:r>
          </w:p>
          <w:p w14:paraId="4D97B935">
            <w:pPr>
              <w:pStyle w:val="22"/>
              <w:adjustRightInd w:val="0"/>
              <w:snapToGrid w:val="0"/>
              <w:spacing w:before="0" w:beforeAutospacing="0" w:after="0" w:afterAutospacing="0"/>
              <w:jc w:val="center"/>
              <w:rPr>
                <w:rFonts w:hint="default"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rPr>
              <w:t>期环</w:t>
            </w:r>
          </w:p>
          <w:p w14:paraId="0E195AA9">
            <w:pPr>
              <w:pStyle w:val="22"/>
              <w:adjustRightInd w:val="0"/>
              <w:snapToGrid w:val="0"/>
              <w:spacing w:before="0" w:beforeAutospacing="0" w:after="0" w:afterAutospacing="0"/>
              <w:jc w:val="center"/>
              <w:rPr>
                <w:rFonts w:hint="default"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rPr>
              <w:t>境保</w:t>
            </w:r>
          </w:p>
          <w:p w14:paraId="739ECA0D">
            <w:pPr>
              <w:pStyle w:val="22"/>
              <w:adjustRightInd w:val="0"/>
              <w:snapToGrid w:val="0"/>
              <w:spacing w:before="0" w:beforeAutospacing="0" w:after="0" w:afterAutospacing="0"/>
              <w:jc w:val="center"/>
              <w:rPr>
                <w:rFonts w:hint="default" w:ascii="Times New Roman" w:hAnsi="Times New Roman" w:eastAsia="宋体" w:cs="Times New Roman"/>
                <w:color w:val="auto"/>
                <w:kern w:val="2"/>
                <w:szCs w:val="24"/>
              </w:rPr>
            </w:pPr>
            <w:r>
              <w:rPr>
                <w:rFonts w:hint="default" w:ascii="Times New Roman" w:hAnsi="Times New Roman" w:eastAsia="宋体" w:cs="Times New Roman"/>
                <w:color w:val="auto"/>
                <w:kern w:val="2"/>
                <w:szCs w:val="24"/>
              </w:rPr>
              <w:t>护措</w:t>
            </w:r>
          </w:p>
          <w:p w14:paraId="24690758">
            <w:pPr>
              <w:pStyle w:val="22"/>
              <w:adjustRightInd w:val="0"/>
              <w:snapToGrid w:val="0"/>
              <w:spacing w:before="0" w:beforeAutospacing="0" w:after="0" w:afterAutospacing="0"/>
              <w:jc w:val="center"/>
              <w:rPr>
                <w:rFonts w:hint="default" w:ascii="Times New Roman" w:hAnsi="Times New Roman" w:eastAsia="宋体" w:cs="Times New Roman"/>
                <w:bCs/>
                <w:color w:val="auto"/>
                <w:kern w:val="2"/>
                <w:szCs w:val="24"/>
              </w:rPr>
            </w:pPr>
            <w:r>
              <w:rPr>
                <w:rFonts w:hint="default" w:ascii="Times New Roman" w:hAnsi="Times New Roman" w:eastAsia="宋体" w:cs="Times New Roman"/>
                <w:color w:val="auto"/>
                <w:kern w:val="2"/>
                <w:szCs w:val="24"/>
              </w:rPr>
              <w:t>施</w:t>
            </w:r>
          </w:p>
        </w:tc>
        <w:tc>
          <w:tcPr>
            <w:tcW w:w="8700" w:type="dxa"/>
            <w:vAlign w:val="center"/>
          </w:tcPr>
          <w:p w14:paraId="4F4AE658">
            <w:pPr>
              <w:adjustRightInd w:val="0"/>
              <w:snapToGrid w:val="0"/>
              <w:spacing w:line="500" w:lineRule="exact"/>
              <w:ind w:firstLine="480" w:firstLineChars="200"/>
              <w:rPr>
                <w:rFonts w:hint="default" w:ascii="Times New Roman" w:hAnsi="Times New Roman" w:eastAsia="宋体" w:cs="Times New Roman"/>
                <w:bCs/>
                <w:color w:val="auto"/>
                <w:spacing w:val="-10"/>
                <w:szCs w:val="21"/>
              </w:rPr>
            </w:pPr>
            <w:r>
              <w:rPr>
                <w:rFonts w:hint="default" w:ascii="Times New Roman" w:hAnsi="Times New Roman" w:eastAsia="宋体" w:cs="Times New Roman"/>
                <w:color w:val="auto"/>
                <w:sz w:val="24"/>
              </w:rPr>
              <w:t>本项目使用现有闲置厂房，包括后期设备安装等，不涉及土建，对周围环境影响较小，故本次环评不再对施工期环境影响进行分析</w:t>
            </w:r>
            <w:r>
              <w:rPr>
                <w:rFonts w:hint="default" w:ascii="Times New Roman" w:hAnsi="Times New Roman" w:eastAsia="宋体" w:cs="Times New Roman"/>
                <w:bCs/>
                <w:color w:val="auto"/>
                <w:sz w:val="24"/>
              </w:rPr>
              <w:t>。</w:t>
            </w:r>
          </w:p>
        </w:tc>
      </w:tr>
      <w:tr w14:paraId="5A816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4" w:hRule="atLeast"/>
        </w:trPr>
        <w:tc>
          <w:tcPr>
            <w:tcW w:w="542" w:type="dxa"/>
            <w:tcMar>
              <w:left w:w="28" w:type="dxa"/>
              <w:right w:w="28" w:type="dxa"/>
            </w:tcMar>
            <w:vAlign w:val="center"/>
          </w:tcPr>
          <w:p w14:paraId="54748818">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运营</w:t>
            </w:r>
          </w:p>
          <w:p w14:paraId="02EA20B2">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期环</w:t>
            </w:r>
          </w:p>
          <w:p w14:paraId="6E727081">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境影</w:t>
            </w:r>
          </w:p>
          <w:p w14:paraId="77FCAC24">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响和</w:t>
            </w:r>
          </w:p>
          <w:p w14:paraId="44661EA0">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保护</w:t>
            </w:r>
          </w:p>
          <w:p w14:paraId="20514F92">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措施</w:t>
            </w:r>
          </w:p>
        </w:tc>
        <w:tc>
          <w:tcPr>
            <w:tcW w:w="8700" w:type="dxa"/>
            <w:vAlign w:val="center"/>
          </w:tcPr>
          <w:p w14:paraId="2BA2CF4B">
            <w:pPr>
              <w:keepNext w:val="0"/>
              <w:keepLines w:val="0"/>
              <w:pageBreakBefore w:val="0"/>
              <w:widowControl w:val="0"/>
              <w:tabs>
                <w:tab w:val="left" w:pos="2352"/>
              </w:tabs>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eastAsia="宋体" w:cs="Times New Roman"/>
                <w:b/>
                <w:bCs w:val="0"/>
                <w:color w:val="auto"/>
                <w:kern w:val="2"/>
                <w:sz w:val="24"/>
                <w:szCs w:val="24"/>
                <w:lang w:val="en-US" w:eastAsia="zh-CN" w:bidi="ar-SA"/>
              </w:rPr>
            </w:pPr>
            <w:r>
              <w:rPr>
                <w:rFonts w:hint="default" w:ascii="Times New Roman" w:hAnsi="Times New Roman" w:eastAsia="宋体" w:cs="Times New Roman"/>
                <w:b/>
                <w:bCs w:val="0"/>
                <w:color w:val="auto"/>
                <w:kern w:val="2"/>
                <w:sz w:val="24"/>
                <w:szCs w:val="24"/>
                <w:lang w:val="en-US" w:eastAsia="zh-CN" w:bidi="ar-SA"/>
              </w:rPr>
              <w:t>一、废气</w:t>
            </w:r>
          </w:p>
          <w:p w14:paraId="05587A29">
            <w:pPr>
              <w:keepNext w:val="0"/>
              <w:keepLines w:val="0"/>
              <w:pageBreakBefore w:val="0"/>
              <w:widowControl w:val="0"/>
              <w:tabs>
                <w:tab w:val="left" w:pos="2352"/>
              </w:tabs>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1、废气源强</w:t>
            </w:r>
          </w:p>
          <w:p w14:paraId="6010A240">
            <w:pPr>
              <w:keepNext w:val="0"/>
              <w:keepLines w:val="0"/>
              <w:pageBreakBefore w:val="0"/>
              <w:widowControl w:val="0"/>
              <w:tabs>
                <w:tab w:val="left" w:pos="2352"/>
              </w:tabs>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（1）UV打印废气</w:t>
            </w:r>
          </w:p>
          <w:p w14:paraId="34F44D9F">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项目UV打印过程产生废气，以非甲烷总烃计。</w:t>
            </w:r>
            <w:r>
              <w:rPr>
                <w:rFonts w:hint="default" w:ascii="Times New Roman" w:hAnsi="Times New Roman" w:eastAsia="宋体" w:cs="Times New Roman"/>
                <w:bCs/>
                <w:color w:val="auto"/>
                <w:sz w:val="24"/>
                <w:szCs w:val="24"/>
                <w:lang w:eastAsia="zh-CN"/>
              </w:rPr>
              <w:t>根据</w:t>
            </w:r>
            <w:r>
              <w:rPr>
                <w:rFonts w:hint="default" w:ascii="Times New Roman" w:hAnsi="Times New Roman" w:eastAsia="宋体" w:cs="Times New Roman"/>
                <w:i w:val="0"/>
                <w:iCs w:val="0"/>
                <w:color w:val="auto"/>
                <w:kern w:val="0"/>
                <w:sz w:val="24"/>
                <w:szCs w:val="24"/>
                <w:u w:val="none"/>
                <w:lang w:val="en-US" w:eastAsia="zh-CN" w:bidi="ar"/>
              </w:rPr>
              <w:t>UV油墨</w:t>
            </w:r>
            <w:r>
              <w:rPr>
                <w:rFonts w:hint="default" w:ascii="Times New Roman" w:hAnsi="Times New Roman" w:eastAsia="宋体" w:cs="Times New Roman"/>
                <w:bCs/>
                <w:color w:val="auto"/>
                <w:sz w:val="24"/>
                <w:szCs w:val="24"/>
                <w:lang w:eastAsia="zh-CN"/>
              </w:rPr>
              <w:t>VOCs含量第三方检测报告，项目使用的</w:t>
            </w:r>
            <w:r>
              <w:rPr>
                <w:rFonts w:hint="default" w:ascii="Times New Roman" w:hAnsi="Times New Roman" w:eastAsia="宋体" w:cs="Times New Roman"/>
                <w:i w:val="0"/>
                <w:iCs w:val="0"/>
                <w:color w:val="auto"/>
                <w:kern w:val="0"/>
                <w:sz w:val="24"/>
                <w:szCs w:val="24"/>
                <w:u w:val="none"/>
                <w:lang w:val="en-US" w:eastAsia="zh-CN" w:bidi="ar"/>
              </w:rPr>
              <w:t>UV油墨</w:t>
            </w:r>
            <w:r>
              <w:rPr>
                <w:rFonts w:hint="default" w:ascii="Times New Roman" w:hAnsi="Times New Roman" w:eastAsia="宋体" w:cs="Times New Roman"/>
                <w:bCs/>
                <w:color w:val="auto"/>
                <w:sz w:val="24"/>
                <w:szCs w:val="24"/>
              </w:rPr>
              <w:t>中挥发性有机化合物（VOCs）含量</w:t>
            </w:r>
            <w:r>
              <w:rPr>
                <w:rFonts w:hint="default" w:ascii="Times New Roman" w:hAnsi="Times New Roman" w:eastAsia="宋体" w:cs="Times New Roman"/>
                <w:bCs/>
                <w:color w:val="auto"/>
                <w:sz w:val="24"/>
                <w:szCs w:val="24"/>
                <w:lang w:eastAsia="zh-CN"/>
              </w:rPr>
              <w:t>约</w:t>
            </w:r>
            <w:r>
              <w:rPr>
                <w:rFonts w:hint="default" w:ascii="Times New Roman" w:hAnsi="Times New Roman" w:eastAsia="宋体" w:cs="Times New Roman"/>
                <w:bCs/>
                <w:color w:val="auto"/>
                <w:sz w:val="24"/>
                <w:szCs w:val="24"/>
              </w:rPr>
              <w:t>为</w:t>
            </w:r>
            <w:r>
              <w:rPr>
                <w:rFonts w:hint="default" w:ascii="Times New Roman" w:hAnsi="Times New Roman" w:eastAsia="宋体" w:cs="Times New Roman"/>
                <w:bCs/>
                <w:color w:val="auto"/>
                <w:sz w:val="24"/>
                <w:szCs w:val="24"/>
                <w:lang w:val="en-US" w:eastAsia="zh-CN"/>
              </w:rPr>
              <w:t>1.5</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项目</w:t>
            </w:r>
            <w:r>
              <w:rPr>
                <w:rFonts w:hint="default" w:ascii="Times New Roman" w:hAnsi="Times New Roman" w:eastAsia="宋体" w:cs="Times New Roman"/>
                <w:i w:val="0"/>
                <w:iCs w:val="0"/>
                <w:color w:val="auto"/>
                <w:kern w:val="0"/>
                <w:sz w:val="24"/>
                <w:szCs w:val="24"/>
                <w:u w:val="none"/>
                <w:lang w:val="en-US" w:eastAsia="zh-CN" w:bidi="ar"/>
              </w:rPr>
              <w:t>UV油墨消耗约0.1</w:t>
            </w:r>
            <w:r>
              <w:rPr>
                <w:rFonts w:hint="default" w:ascii="Times New Roman" w:hAnsi="Times New Roman" w:eastAsia="宋体" w:cs="Times New Roman"/>
                <w:bCs/>
                <w:color w:val="auto"/>
                <w:kern w:val="2"/>
                <w:sz w:val="24"/>
                <w:szCs w:val="24"/>
                <w:lang w:val="en-US" w:eastAsia="zh-CN" w:bidi="ar-SA"/>
              </w:rPr>
              <w:t>t/a，则UV打印废气非甲烷总烃产生量约为0.002t/a。</w:t>
            </w:r>
          </w:p>
          <w:p w14:paraId="37D3C571">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（2）写真打印、晾干废气</w:t>
            </w:r>
          </w:p>
          <w:p w14:paraId="0C94C31B">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项目写真机打印及晾干过程产生废气，以非甲烷总烃计。</w:t>
            </w:r>
            <w:r>
              <w:rPr>
                <w:rFonts w:hint="default" w:ascii="Times New Roman" w:hAnsi="Times New Roman" w:eastAsia="宋体" w:cs="Times New Roman"/>
                <w:bCs/>
                <w:color w:val="auto"/>
                <w:sz w:val="24"/>
                <w:szCs w:val="24"/>
                <w:lang w:eastAsia="zh-CN"/>
              </w:rPr>
              <w:t>根据</w:t>
            </w:r>
            <w:r>
              <w:rPr>
                <w:rFonts w:hint="default" w:ascii="Times New Roman" w:hAnsi="Times New Roman" w:eastAsia="宋体" w:cs="Times New Roman"/>
                <w:i w:val="0"/>
                <w:iCs w:val="0"/>
                <w:color w:val="auto"/>
                <w:kern w:val="0"/>
                <w:sz w:val="24"/>
                <w:szCs w:val="24"/>
                <w:u w:val="none"/>
                <w:lang w:val="en-US" w:eastAsia="zh-CN" w:bidi="ar"/>
              </w:rPr>
              <w:t>写真机油墨</w:t>
            </w:r>
            <w:r>
              <w:rPr>
                <w:rFonts w:hint="default" w:ascii="Times New Roman" w:hAnsi="Times New Roman" w:eastAsia="宋体" w:cs="Times New Roman"/>
                <w:bCs/>
                <w:color w:val="auto"/>
                <w:sz w:val="24"/>
                <w:szCs w:val="24"/>
                <w:lang w:eastAsia="zh-CN"/>
              </w:rPr>
              <w:t>VOCs含量第三方检测报告，项目使用的</w:t>
            </w:r>
            <w:r>
              <w:rPr>
                <w:rFonts w:hint="default" w:ascii="Times New Roman" w:hAnsi="Times New Roman" w:eastAsia="宋体" w:cs="Times New Roman"/>
                <w:i w:val="0"/>
                <w:iCs w:val="0"/>
                <w:color w:val="auto"/>
                <w:kern w:val="0"/>
                <w:sz w:val="24"/>
                <w:szCs w:val="24"/>
                <w:u w:val="none"/>
                <w:lang w:val="en-US" w:eastAsia="zh-CN" w:bidi="ar"/>
              </w:rPr>
              <w:t>写真机油墨</w:t>
            </w:r>
            <w:r>
              <w:rPr>
                <w:rFonts w:hint="default" w:ascii="Times New Roman" w:hAnsi="Times New Roman" w:eastAsia="宋体" w:cs="Times New Roman"/>
                <w:bCs/>
                <w:color w:val="auto"/>
                <w:sz w:val="24"/>
                <w:szCs w:val="24"/>
              </w:rPr>
              <w:t>中挥发性有机化合物（VOCs）含量</w:t>
            </w:r>
            <w:r>
              <w:rPr>
                <w:rFonts w:hint="default" w:ascii="Times New Roman" w:hAnsi="Times New Roman" w:eastAsia="宋体" w:cs="Times New Roman"/>
                <w:bCs/>
                <w:color w:val="auto"/>
                <w:sz w:val="24"/>
                <w:szCs w:val="24"/>
                <w:lang w:eastAsia="zh-CN"/>
              </w:rPr>
              <w:t>约</w:t>
            </w:r>
            <w:r>
              <w:rPr>
                <w:rFonts w:hint="default" w:ascii="Times New Roman" w:hAnsi="Times New Roman" w:eastAsia="宋体" w:cs="Times New Roman"/>
                <w:bCs/>
                <w:color w:val="auto"/>
                <w:sz w:val="24"/>
                <w:szCs w:val="24"/>
              </w:rPr>
              <w:t>为</w:t>
            </w:r>
            <w:r>
              <w:rPr>
                <w:rFonts w:hint="default" w:ascii="Times New Roman" w:hAnsi="Times New Roman" w:eastAsia="宋体" w:cs="Times New Roman"/>
                <w:bCs/>
                <w:color w:val="auto"/>
                <w:sz w:val="24"/>
                <w:szCs w:val="24"/>
                <w:lang w:val="en-US" w:eastAsia="zh-CN"/>
              </w:rPr>
              <w:t>90.1</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项目写真油墨消耗约0.3t/a</w:t>
            </w:r>
            <w:r>
              <w:rPr>
                <w:rFonts w:hint="default" w:ascii="Times New Roman" w:hAnsi="Times New Roman" w:eastAsia="宋体" w:cs="Times New Roman"/>
                <w:bCs/>
                <w:color w:val="auto"/>
                <w:kern w:val="2"/>
                <w:sz w:val="24"/>
                <w:szCs w:val="24"/>
                <w:lang w:val="en-US" w:eastAsia="zh-CN" w:bidi="ar-SA"/>
              </w:rPr>
              <w:t>，则写真打印、晾干废气非甲烷总烃产生量约为0.27t/a。</w:t>
            </w:r>
          </w:p>
          <w:p w14:paraId="3148B223">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（3）丝网油墨调配、印刷、晾干废气</w:t>
            </w:r>
          </w:p>
          <w:p w14:paraId="00E9149C">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丝网油墨调配、印刷及晾干过程产生废气，以非甲烷总烃、甲苯计。根据丝网印刷油墨msds，丝网印刷油墨中甲苯含量约2-10%，项目丝网印刷油墨消耗约0.03t/a，则甲苯废气产生量最大约0.003t/a，产生量极微量，本次不做定量分析。丝网印刷及晾干过程废气主要为非甲烷总烃。</w:t>
            </w:r>
          </w:p>
          <w:p w14:paraId="72E55AD2">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项目丝网油墨调配过程使用乙醇约0.04t/a，本次从最不利情况考虑，乙醇在调配、使用过程全部挥发，则乙醇挥发废气约0.04t/a。</w:t>
            </w:r>
            <w:r>
              <w:rPr>
                <w:rFonts w:hint="default" w:ascii="Times New Roman" w:hAnsi="Times New Roman" w:eastAsia="宋体" w:cs="Times New Roman"/>
                <w:bCs/>
                <w:color w:val="auto"/>
                <w:sz w:val="24"/>
                <w:szCs w:val="24"/>
                <w:lang w:eastAsia="zh-CN"/>
              </w:rPr>
              <w:t>根据</w:t>
            </w:r>
            <w:r>
              <w:rPr>
                <w:rFonts w:hint="default" w:ascii="Times New Roman" w:hAnsi="Times New Roman" w:eastAsia="宋体" w:cs="Times New Roman"/>
                <w:i w:val="0"/>
                <w:iCs w:val="0"/>
                <w:color w:val="auto"/>
                <w:kern w:val="0"/>
                <w:sz w:val="24"/>
                <w:szCs w:val="24"/>
                <w:u w:val="none"/>
                <w:lang w:val="en-US" w:eastAsia="zh-CN" w:bidi="ar"/>
              </w:rPr>
              <w:t>丝网印刷油墨</w:t>
            </w:r>
            <w:r>
              <w:rPr>
                <w:rFonts w:hint="default" w:ascii="Times New Roman" w:hAnsi="Times New Roman" w:eastAsia="宋体" w:cs="Times New Roman"/>
                <w:bCs/>
                <w:color w:val="auto"/>
                <w:sz w:val="24"/>
                <w:szCs w:val="24"/>
                <w:lang w:eastAsia="zh-CN"/>
              </w:rPr>
              <w:t>VOCs含量第三方检测报告，项目使用的</w:t>
            </w:r>
            <w:r>
              <w:rPr>
                <w:rFonts w:hint="default" w:ascii="Times New Roman" w:hAnsi="Times New Roman" w:eastAsia="宋体" w:cs="Times New Roman"/>
                <w:i w:val="0"/>
                <w:iCs w:val="0"/>
                <w:color w:val="auto"/>
                <w:kern w:val="0"/>
                <w:sz w:val="24"/>
                <w:szCs w:val="24"/>
                <w:u w:val="none"/>
                <w:lang w:val="en-US" w:eastAsia="zh-CN" w:bidi="ar"/>
              </w:rPr>
              <w:t>丝网印刷油墨</w:t>
            </w:r>
            <w:r>
              <w:rPr>
                <w:rFonts w:hint="default" w:ascii="Times New Roman" w:hAnsi="Times New Roman" w:eastAsia="宋体" w:cs="Times New Roman"/>
                <w:bCs/>
                <w:color w:val="auto"/>
                <w:sz w:val="24"/>
                <w:szCs w:val="24"/>
              </w:rPr>
              <w:t>中挥发性有机化合物（VOCs）含量</w:t>
            </w:r>
            <w:r>
              <w:rPr>
                <w:rFonts w:hint="default" w:ascii="Times New Roman" w:hAnsi="Times New Roman" w:eastAsia="宋体" w:cs="Times New Roman"/>
                <w:bCs/>
                <w:color w:val="auto"/>
                <w:sz w:val="24"/>
                <w:szCs w:val="24"/>
                <w:lang w:eastAsia="zh-CN"/>
              </w:rPr>
              <w:t>约</w:t>
            </w:r>
            <w:r>
              <w:rPr>
                <w:rFonts w:hint="default" w:ascii="Times New Roman" w:hAnsi="Times New Roman" w:eastAsia="宋体" w:cs="Times New Roman"/>
                <w:bCs/>
                <w:color w:val="auto"/>
                <w:sz w:val="24"/>
                <w:szCs w:val="24"/>
              </w:rPr>
              <w:t>为</w:t>
            </w:r>
            <w:r>
              <w:rPr>
                <w:rFonts w:hint="default" w:ascii="Times New Roman" w:hAnsi="Times New Roman" w:eastAsia="宋体" w:cs="Times New Roman"/>
                <w:bCs/>
                <w:color w:val="auto"/>
                <w:sz w:val="24"/>
                <w:szCs w:val="24"/>
                <w:lang w:val="en-US" w:eastAsia="zh-CN"/>
              </w:rPr>
              <w:t>18.9</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项目</w:t>
            </w:r>
            <w:r>
              <w:rPr>
                <w:rFonts w:hint="default" w:ascii="Times New Roman" w:hAnsi="Times New Roman" w:eastAsia="宋体" w:cs="Times New Roman"/>
                <w:bCs/>
                <w:color w:val="auto"/>
                <w:kern w:val="2"/>
                <w:sz w:val="24"/>
                <w:szCs w:val="24"/>
                <w:lang w:val="en-US" w:eastAsia="zh-CN" w:bidi="ar-SA"/>
              </w:rPr>
              <w:t>丝网印刷</w:t>
            </w:r>
            <w:r>
              <w:rPr>
                <w:rFonts w:hint="default" w:ascii="Times New Roman" w:hAnsi="Times New Roman" w:eastAsia="宋体" w:cs="Times New Roman"/>
                <w:bCs/>
                <w:color w:val="auto"/>
                <w:sz w:val="24"/>
                <w:szCs w:val="24"/>
                <w:lang w:val="en-US" w:eastAsia="zh-CN"/>
              </w:rPr>
              <w:t>油墨消耗约0.03t/a</w:t>
            </w:r>
            <w:r>
              <w:rPr>
                <w:rFonts w:hint="default" w:ascii="Times New Roman" w:hAnsi="Times New Roman" w:eastAsia="宋体" w:cs="Times New Roman"/>
                <w:bCs/>
                <w:color w:val="auto"/>
                <w:kern w:val="2"/>
                <w:sz w:val="24"/>
                <w:szCs w:val="24"/>
                <w:lang w:val="en-US" w:eastAsia="zh-CN" w:bidi="ar-SA"/>
              </w:rPr>
              <w:t>，则</w:t>
            </w:r>
            <w:r>
              <w:rPr>
                <w:rFonts w:hint="default" w:ascii="Times New Roman" w:hAnsi="Times New Roman" w:eastAsia="宋体" w:cs="Times New Roman"/>
                <w:i w:val="0"/>
                <w:iCs w:val="0"/>
                <w:color w:val="auto"/>
                <w:kern w:val="0"/>
                <w:sz w:val="24"/>
                <w:szCs w:val="24"/>
                <w:u w:val="none"/>
                <w:lang w:val="en-US" w:eastAsia="zh-CN" w:bidi="ar"/>
              </w:rPr>
              <w:t>丝网</w:t>
            </w:r>
            <w:r>
              <w:rPr>
                <w:rFonts w:hint="default" w:ascii="Times New Roman" w:hAnsi="Times New Roman" w:eastAsia="宋体" w:cs="Times New Roman"/>
                <w:bCs/>
                <w:color w:val="auto"/>
                <w:kern w:val="2"/>
                <w:sz w:val="24"/>
                <w:szCs w:val="24"/>
                <w:lang w:val="en-US" w:eastAsia="zh-CN" w:bidi="ar-SA"/>
              </w:rPr>
              <w:t>油墨挥发废气非甲烷总烃产生量约为0.006t/a。</w:t>
            </w:r>
          </w:p>
          <w:p w14:paraId="301F0917">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综上，项目丝网油墨调配、印刷、晾干废气非甲烷总烃产生量约为0.046t/a。</w:t>
            </w:r>
          </w:p>
          <w:p w14:paraId="73932ED8">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（4）写真机喷头擦拭废气</w:t>
            </w:r>
          </w:p>
          <w:p w14:paraId="6FD7A3DA">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项目写真机喷头采用乙醇擦拭，消耗乙醇约0.01t/a，本次从最不利情况考虑，乙醇在擦拭过程全部挥发，则写真机喷头擦拭废气非甲烷总烃约0.01t/a。</w:t>
            </w:r>
          </w:p>
          <w:p w14:paraId="17987B66">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 xml:space="preserve">（5）危废仓库废气 </w:t>
            </w:r>
          </w:p>
          <w:p w14:paraId="552ABFB8">
            <w:pPr>
              <w:keepNext w:val="0"/>
              <w:keepLines w:val="0"/>
              <w:pageBreakBefore w:val="0"/>
              <w:widowControl/>
              <w:kinsoku/>
              <w:wordWrap/>
              <w:overflowPunct/>
              <w:topLinePunct w:val="0"/>
              <w:autoSpaceDE/>
              <w:autoSpaceDN/>
              <w:bidi w:val="0"/>
              <w:spacing w:line="360" w:lineRule="auto"/>
              <w:ind w:left="0" w:leftChars="0" w:firstLine="480" w:firstLineChars="200"/>
              <w:jc w:val="left"/>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Cs/>
                <w:color w:val="auto"/>
                <w:kern w:val="2"/>
                <w:sz w:val="24"/>
                <w:szCs w:val="24"/>
                <w:lang w:val="en-US" w:eastAsia="zh-CN" w:bidi="ar-SA"/>
              </w:rPr>
              <w:t>本项目运营期危废仓库产生少量废气，主要来自废活性炭、废包装瓶等危险废物散发的微量有机废气，由危废均储存于密闭包装袋和包装桶中，散发的有机废气极微量，故不进行定量分析。</w:t>
            </w:r>
          </w:p>
          <w:p w14:paraId="714BEBBF">
            <w:pPr>
              <w:keepNext w:val="0"/>
              <w:keepLines w:val="0"/>
              <w:pageBreakBefore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2、污染</w:t>
            </w:r>
            <w:r>
              <w:rPr>
                <w:rFonts w:hint="default" w:ascii="Times New Roman" w:hAnsi="Times New Roman" w:eastAsia="宋体" w:cs="Times New Roman"/>
                <w:b/>
                <w:bCs/>
                <w:color w:val="auto"/>
                <w:sz w:val="24"/>
              </w:rPr>
              <w:t>防治措施</w:t>
            </w:r>
          </w:p>
          <w:p w14:paraId="52F290ED">
            <w:pPr>
              <w:keepNext w:val="0"/>
              <w:keepLines w:val="0"/>
              <w:pageBreakBefore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有组织废气</w:t>
            </w:r>
          </w:p>
          <w:p w14:paraId="6F3D7C6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废气</w:t>
            </w:r>
            <w:r>
              <w:rPr>
                <w:rFonts w:hint="default" w:ascii="Times New Roman" w:hAnsi="Times New Roman" w:eastAsia="宋体" w:cs="Times New Roman"/>
                <w:color w:val="auto"/>
                <w:sz w:val="24"/>
                <w:szCs w:val="24"/>
                <w:lang w:val="en-US" w:eastAsia="zh-CN"/>
              </w:rPr>
              <w:t>收集系统风量核算</w:t>
            </w:r>
          </w:p>
          <w:p w14:paraId="4CA623A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color w:val="auto"/>
                <w:sz w:val="24"/>
                <w:szCs w:val="24"/>
              </w:rPr>
              <w:t>结合生产工艺、设备配置情况，结合生产工艺、设备配置情况，本项目</w:t>
            </w:r>
            <w:r>
              <w:rPr>
                <w:rFonts w:hint="default" w:ascii="Times New Roman" w:hAnsi="Times New Roman" w:eastAsia="宋体" w:cs="Times New Roman"/>
                <w:color w:val="auto"/>
                <w:sz w:val="24"/>
                <w:szCs w:val="24"/>
                <w:lang w:val="en-US" w:eastAsia="zh-CN"/>
              </w:rPr>
              <w:t>废气采用密闭空间负压收集。</w:t>
            </w:r>
          </w:p>
          <w:p w14:paraId="73C1DF39">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left="0" w:leftChars="0"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项目UV打印机</w:t>
            </w:r>
            <w:r>
              <w:rPr>
                <w:rFonts w:hint="default" w:ascii="Times New Roman" w:hAnsi="Times New Roman" w:eastAsia="宋体" w:cs="Times New Roman"/>
                <w:color w:val="auto"/>
                <w:sz w:val="24"/>
                <w:szCs w:val="24"/>
                <w:lang w:val="en-US" w:eastAsia="zh-CN"/>
              </w:rPr>
              <w:t>、写真机、丝网印刷工作台、油墨调配均均位于同一个密闭印刷间内，</w:t>
            </w:r>
            <w:r>
              <w:rPr>
                <w:rFonts w:hint="default" w:ascii="Times New Roman" w:hAnsi="Times New Roman" w:eastAsia="宋体" w:cs="Times New Roman"/>
                <w:bCs/>
                <w:color w:val="auto"/>
                <w:sz w:val="24"/>
                <w:szCs w:val="24"/>
                <w:highlight w:val="none"/>
                <w:lang w:val="en-US" w:eastAsia="zh-CN"/>
              </w:rPr>
              <w:t>UV打印、</w:t>
            </w:r>
            <w:r>
              <w:rPr>
                <w:rFonts w:hint="default" w:ascii="Times New Roman" w:hAnsi="Times New Roman" w:eastAsia="宋体" w:cs="Times New Roman"/>
                <w:color w:val="auto"/>
                <w:sz w:val="24"/>
                <w:szCs w:val="24"/>
                <w:lang w:val="en-US" w:eastAsia="zh-CN"/>
              </w:rPr>
              <w:t>写真</w:t>
            </w:r>
            <w:r>
              <w:rPr>
                <w:rFonts w:hint="default" w:ascii="Times New Roman" w:hAnsi="Times New Roman" w:eastAsia="宋体" w:cs="Times New Roman"/>
                <w:bCs/>
                <w:color w:val="auto"/>
                <w:sz w:val="24"/>
                <w:szCs w:val="24"/>
                <w:highlight w:val="none"/>
                <w:lang w:val="en-US" w:eastAsia="zh-CN"/>
              </w:rPr>
              <w:t>废气、</w:t>
            </w:r>
            <w:r>
              <w:rPr>
                <w:rFonts w:hint="default" w:ascii="Times New Roman" w:hAnsi="Times New Roman" w:eastAsia="宋体" w:cs="Times New Roman"/>
                <w:color w:val="auto"/>
                <w:sz w:val="24"/>
                <w:szCs w:val="24"/>
                <w:lang w:val="en-US" w:eastAsia="zh-CN"/>
              </w:rPr>
              <w:t>丝网印刷</w:t>
            </w:r>
            <w:r>
              <w:rPr>
                <w:rFonts w:hint="default" w:ascii="Times New Roman" w:hAnsi="Times New Roman" w:eastAsia="宋体" w:cs="Times New Roman"/>
                <w:bCs/>
                <w:color w:val="auto"/>
                <w:sz w:val="24"/>
                <w:szCs w:val="24"/>
                <w:highlight w:val="none"/>
                <w:lang w:val="en-US" w:eastAsia="zh-CN"/>
              </w:rPr>
              <w:t>废气、</w:t>
            </w:r>
            <w:r>
              <w:rPr>
                <w:rFonts w:hint="default" w:ascii="Times New Roman" w:hAnsi="Times New Roman" w:eastAsia="宋体" w:cs="Times New Roman"/>
                <w:bCs/>
                <w:color w:val="auto"/>
                <w:kern w:val="2"/>
                <w:sz w:val="24"/>
                <w:szCs w:val="24"/>
                <w:lang w:val="en-US" w:eastAsia="zh-CN" w:bidi="ar-SA"/>
              </w:rPr>
              <w:t>喷头擦拭废气</w:t>
            </w:r>
            <w:r>
              <w:rPr>
                <w:rFonts w:hint="default" w:ascii="Times New Roman" w:hAnsi="Times New Roman" w:eastAsia="宋体" w:cs="Times New Roman"/>
                <w:bCs/>
                <w:color w:val="auto"/>
                <w:sz w:val="24"/>
                <w:szCs w:val="24"/>
                <w:highlight w:val="none"/>
                <w:lang w:val="en-US" w:eastAsia="zh-CN"/>
              </w:rPr>
              <w:t>采用密闭空间换风收集。</w:t>
            </w:r>
            <w:r>
              <w:rPr>
                <w:rFonts w:hint="default" w:ascii="Times New Roman" w:hAnsi="Times New Roman" w:eastAsia="宋体" w:cs="Times New Roman"/>
                <w:color w:val="auto"/>
                <w:sz w:val="24"/>
                <w:szCs w:val="24"/>
                <w:lang w:val="en-US" w:eastAsia="zh-CN"/>
              </w:rPr>
              <w:t>参考《</w:t>
            </w:r>
            <w:r>
              <w:rPr>
                <w:rFonts w:hint="default" w:ascii="Times New Roman" w:hAnsi="Times New Roman" w:eastAsia="宋体" w:cs="Times New Roman"/>
                <w:color w:val="auto"/>
                <w:sz w:val="24"/>
                <w:szCs w:val="24"/>
                <w:lang w:val="en-US" w:eastAsia="zh-CN"/>
              </w:rPr>
              <w:fldChar w:fldCharType="begin"/>
            </w:r>
            <w:r>
              <w:rPr>
                <w:rFonts w:hint="default" w:ascii="Times New Roman" w:hAnsi="Times New Roman" w:eastAsia="宋体" w:cs="Times New Roman"/>
                <w:color w:val="auto"/>
                <w:sz w:val="24"/>
                <w:szCs w:val="24"/>
                <w:lang w:val="en-US" w:eastAsia="zh-CN"/>
              </w:rPr>
              <w:instrText xml:space="preserve"> HYPERLINK "https://www.baidu.com/link?url=1yAJ5DzcCjcQU4lag3AWZ9Y2jdAXv4eLv0m2hfBswpHxcnlHcRptJtUk1dCeBaOsYymp1VP-Zm2fy7c51uDZvuoJDHnhH7GbdU4UoJF1OHtAeZFuw8L968jWkIKSobr6&amp;wd=&amp;eqid=95a38a070000c28e0000000465fe28c4" \t "https://www.baidu.com/_blank" </w:instrText>
            </w:r>
            <w:r>
              <w:rPr>
                <w:rFonts w:hint="default" w:ascii="Times New Roman" w:hAnsi="Times New Roman" w:eastAsia="宋体" w:cs="Times New Roman"/>
                <w:color w:val="auto"/>
                <w:sz w:val="24"/>
                <w:szCs w:val="24"/>
                <w:lang w:val="en-US" w:eastAsia="zh-CN"/>
              </w:rPr>
              <w:fldChar w:fldCharType="separate"/>
            </w:r>
            <w:r>
              <w:rPr>
                <w:rFonts w:hint="default" w:ascii="Times New Roman" w:hAnsi="Times New Roman" w:eastAsia="宋体" w:cs="Times New Roman"/>
                <w:color w:val="auto"/>
                <w:sz w:val="24"/>
                <w:szCs w:val="24"/>
                <w:lang w:val="en-US" w:eastAsia="zh-CN"/>
              </w:rPr>
              <w:t>广东省工业源挥发性有机物减排量核算方法》</w:t>
            </w:r>
            <w:r>
              <w:rPr>
                <w:rFonts w:hint="default" w:ascii="Times New Roman" w:hAnsi="Times New Roman" w:eastAsia="宋体" w:cs="Times New Roman"/>
                <w:color w:val="auto"/>
                <w:sz w:val="24"/>
                <w:szCs w:val="24"/>
                <w:lang w:val="en-US" w:eastAsia="zh-CN"/>
              </w:rPr>
              <w:fldChar w:fldCharType="end"/>
            </w:r>
            <w:r>
              <w:rPr>
                <w:rFonts w:hint="default" w:ascii="Times New Roman" w:hAnsi="Times New Roman" w:eastAsia="宋体" w:cs="Times New Roman"/>
                <w:color w:val="auto"/>
                <w:sz w:val="24"/>
                <w:szCs w:val="24"/>
                <w:lang w:val="en-US" w:eastAsia="zh-CN"/>
              </w:rPr>
              <w:t>表4.5-1，全密封空间单层密闭负压收集，废气捕集效率可达95%。</w:t>
            </w:r>
          </w:p>
          <w:p w14:paraId="3FA9C92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val="en-US" w:eastAsia="zh-CN"/>
              </w:rPr>
              <w:t>密闭空间排风量L（m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 xml:space="preserve">/h）的计算公式为：L=nVf </w:t>
            </w:r>
          </w:p>
          <w:p w14:paraId="36E54C2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val="en-US" w:eastAsia="zh-CN"/>
              </w:rPr>
              <w:t xml:space="preserve">式中： </w:t>
            </w:r>
          </w:p>
          <w:p w14:paraId="7EBA6DC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val="en-US" w:eastAsia="zh-CN"/>
              </w:rPr>
              <w:t xml:space="preserve">n—换气次数，1/h； </w:t>
            </w:r>
          </w:p>
          <w:p w14:paraId="598A5A9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Vf—通风房间体积，m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w:t>
            </w:r>
          </w:p>
          <w:p w14:paraId="03D51B30">
            <w:pPr>
              <w:numPr>
                <w:ilvl w:val="0"/>
                <w:numId w:val="0"/>
              </w:num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
                <w:bCs w:val="0"/>
                <w:color w:val="auto"/>
                <w:spacing w:val="-10"/>
                <w:sz w:val="21"/>
                <w:szCs w:val="21"/>
                <w:lang w:val="en-US" w:eastAsia="zh-CN"/>
              </w:rPr>
              <w:t>表4-1 本项目排气筒</w:t>
            </w:r>
            <w:r>
              <w:rPr>
                <w:rFonts w:hint="default" w:ascii="Times New Roman" w:hAnsi="Times New Roman" w:eastAsia="宋体" w:cs="Times New Roman"/>
                <w:b/>
                <w:bCs/>
                <w:color w:val="auto"/>
                <w:sz w:val="21"/>
                <w:szCs w:val="21"/>
                <w:highlight w:val="none"/>
              </w:rPr>
              <w:t>风量核算一览表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57" w:type="dxa"/>
                <w:left w:w="51" w:type="dxa"/>
                <w:bottom w:w="57" w:type="dxa"/>
                <w:right w:w="51" w:type="dxa"/>
              </w:tblCellMar>
            </w:tblPr>
            <w:tblGrid>
              <w:gridCol w:w="1333"/>
              <w:gridCol w:w="1865"/>
              <w:gridCol w:w="4204"/>
              <w:gridCol w:w="1079"/>
            </w:tblGrid>
            <w:tr w14:paraId="519D19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51" w:type="dxa"/>
                  <w:bottom w:w="57" w:type="dxa"/>
                  <w:right w:w="51" w:type="dxa"/>
                </w:tblCellMar>
              </w:tblPrEx>
              <w:trPr>
                <w:trHeight w:val="312" w:hRule="atLeast"/>
                <w:jc w:val="center"/>
              </w:trPr>
              <w:tc>
                <w:tcPr>
                  <w:tcW w:w="785" w:type="pct"/>
                  <w:shd w:val="clear" w:color="auto" w:fill="auto"/>
                  <w:vAlign w:val="center"/>
                </w:tcPr>
                <w:p w14:paraId="62644184">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highlight w:val="none"/>
                      <w:lang w:eastAsia="zh-CN"/>
                    </w:rPr>
                    <w:t>排气筒编号</w:t>
                  </w:r>
                </w:p>
              </w:tc>
              <w:tc>
                <w:tcPr>
                  <w:tcW w:w="1099" w:type="pct"/>
                  <w:shd w:val="clear" w:color="auto" w:fill="auto"/>
                  <w:vAlign w:val="center"/>
                </w:tcPr>
                <w:p w14:paraId="31DFC2B1">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废气收集工段</w:t>
                  </w:r>
                </w:p>
              </w:tc>
              <w:tc>
                <w:tcPr>
                  <w:tcW w:w="2478" w:type="pct"/>
                  <w:shd w:val="clear" w:color="auto" w:fill="auto"/>
                  <w:vAlign w:val="center"/>
                </w:tcPr>
                <w:p w14:paraId="0BA437F1">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lang w:val="en-US" w:eastAsia="zh-CN"/>
                    </w:rPr>
                    <w:t>计算过程</w:t>
                  </w:r>
                </w:p>
              </w:tc>
              <w:tc>
                <w:tcPr>
                  <w:tcW w:w="636" w:type="pct"/>
                  <w:shd w:val="clear" w:color="auto" w:fill="auto"/>
                  <w:vAlign w:val="center"/>
                </w:tcPr>
                <w:p w14:paraId="4E1A9958">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kern w:val="44"/>
                      <w:sz w:val="21"/>
                      <w:szCs w:val="21"/>
                      <w:lang w:val="en-US" w:eastAsia="zh-CN" w:bidi="ar-SA"/>
                    </w:rPr>
                  </w:pPr>
                  <w:r>
                    <w:rPr>
                      <w:rFonts w:hint="default" w:ascii="Times New Roman" w:hAnsi="Times New Roman" w:eastAsia="宋体" w:cs="Times New Roman"/>
                      <w:b/>
                      <w:bCs/>
                      <w:color w:val="auto"/>
                      <w:sz w:val="21"/>
                      <w:szCs w:val="21"/>
                      <w:lang w:val="en-US" w:eastAsia="zh-CN"/>
                    </w:rPr>
                    <w:t>设计风量</w:t>
                  </w:r>
                </w:p>
              </w:tc>
            </w:tr>
            <w:tr w14:paraId="4637CC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57" w:type="dxa"/>
                  <w:left w:w="51" w:type="dxa"/>
                  <w:bottom w:w="57" w:type="dxa"/>
                  <w:right w:w="51" w:type="dxa"/>
                </w:tblCellMar>
              </w:tblPrEx>
              <w:trPr>
                <w:trHeight w:val="1198" w:hRule="atLeast"/>
                <w:jc w:val="center"/>
              </w:trPr>
              <w:tc>
                <w:tcPr>
                  <w:tcW w:w="785" w:type="pct"/>
                  <w:shd w:val="clear" w:color="auto" w:fill="auto"/>
                  <w:vAlign w:val="center"/>
                </w:tcPr>
                <w:p w14:paraId="2A301FCA">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DA002</w:t>
                  </w:r>
                </w:p>
              </w:tc>
              <w:tc>
                <w:tcPr>
                  <w:tcW w:w="1099" w:type="pct"/>
                  <w:shd w:val="clear" w:color="auto" w:fill="auto"/>
                  <w:vAlign w:val="center"/>
                </w:tcPr>
                <w:p w14:paraId="7D4A8DCA">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lang w:val="en-US" w:eastAsia="zh-CN"/>
                    </w:rPr>
                    <w:t>UV打印、</w:t>
                  </w:r>
                  <w:r>
                    <w:rPr>
                      <w:rFonts w:hint="default" w:ascii="Times New Roman" w:hAnsi="Times New Roman" w:eastAsia="宋体" w:cs="Times New Roman"/>
                      <w:color w:val="auto"/>
                      <w:sz w:val="21"/>
                      <w:szCs w:val="21"/>
                      <w:lang w:val="en-US" w:eastAsia="zh-CN"/>
                    </w:rPr>
                    <w:t>写真</w:t>
                  </w:r>
                  <w:r>
                    <w:rPr>
                      <w:rFonts w:hint="default" w:ascii="Times New Roman" w:hAnsi="Times New Roman" w:eastAsia="宋体" w:cs="Times New Roman"/>
                      <w:bCs/>
                      <w:color w:val="auto"/>
                      <w:kern w:val="2"/>
                      <w:sz w:val="21"/>
                      <w:szCs w:val="21"/>
                      <w:lang w:val="en-US" w:eastAsia="zh-CN" w:bidi="ar-SA"/>
                    </w:rPr>
                    <w:t>打印</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丝网印刷</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kern w:val="2"/>
                      <w:sz w:val="21"/>
                      <w:szCs w:val="21"/>
                      <w:lang w:val="en-US" w:eastAsia="zh-CN" w:bidi="ar-SA"/>
                    </w:rPr>
                    <w:t>喷头擦拭废气</w:t>
                  </w:r>
                </w:p>
              </w:tc>
              <w:tc>
                <w:tcPr>
                  <w:tcW w:w="2478" w:type="pct"/>
                  <w:shd w:val="clear" w:color="auto" w:fill="auto"/>
                  <w:vAlign w:val="center"/>
                </w:tcPr>
                <w:p w14:paraId="3B67A412">
                  <w:pPr>
                    <w:keepNext w:val="0"/>
                    <w:keepLines w:val="0"/>
                    <w:pageBreakBefore w:val="0"/>
                    <w:tabs>
                      <w:tab w:val="left" w:pos="1390"/>
                    </w:tabs>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项目设有1个印刷间，体积为</w:t>
                  </w:r>
                  <w:r>
                    <w:rPr>
                      <w:rFonts w:hint="default" w:ascii="Times New Roman" w:hAnsi="Times New Roman" w:eastAsia="宋体" w:cs="Times New Roman"/>
                      <w:color w:val="auto"/>
                      <w:kern w:val="0"/>
                      <w:sz w:val="21"/>
                      <w:szCs w:val="21"/>
                      <w:lang w:val="en-US" w:eastAsia="zh-CN"/>
                    </w:rPr>
                    <w:t>600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，每小时</w:t>
                  </w:r>
                  <w:r>
                    <w:rPr>
                      <w:rFonts w:hint="default" w:ascii="Times New Roman" w:hAnsi="Times New Roman" w:eastAsia="宋体" w:cs="Times New Roman"/>
                      <w:bCs/>
                      <w:color w:val="auto"/>
                      <w:sz w:val="21"/>
                      <w:szCs w:val="21"/>
                      <w:highlight w:val="none"/>
                      <w:lang w:val="en-US" w:eastAsia="zh-CN"/>
                    </w:rPr>
                    <w:t>换气次数</w:t>
                  </w:r>
                  <w:r>
                    <w:rPr>
                      <w:rFonts w:hint="default" w:ascii="Times New Roman" w:hAnsi="Times New Roman" w:eastAsia="宋体" w:cs="Times New Roman"/>
                      <w:color w:val="auto"/>
                      <w:sz w:val="21"/>
                      <w:szCs w:val="21"/>
                      <w:lang w:val="en-US" w:eastAsia="zh-CN"/>
                    </w:rPr>
                    <w:t>为20次，</w:t>
                  </w:r>
                  <w:r>
                    <w:rPr>
                      <w:rFonts w:hint="default" w:ascii="Times New Roman" w:hAnsi="Times New Roman" w:eastAsia="宋体" w:cs="Times New Roman"/>
                      <w:color w:val="auto"/>
                      <w:sz w:val="21"/>
                      <w:szCs w:val="21"/>
                    </w:rPr>
                    <w:t>排风量</w:t>
                  </w:r>
                  <w:r>
                    <w:rPr>
                      <w:rFonts w:hint="default"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600</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20=12000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636" w:type="pct"/>
                  <w:shd w:val="clear" w:color="auto" w:fill="auto"/>
                  <w:vAlign w:val="center"/>
                </w:tcPr>
                <w:p w14:paraId="3FA9BF42">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r>
          </w:tbl>
          <w:p w14:paraId="481B5C01">
            <w:pPr>
              <w:adjustRightInd w:val="0"/>
              <w:snapToGrid w:val="0"/>
              <w:jc w:val="center"/>
              <w:rPr>
                <w:rFonts w:hint="default" w:ascii="Times New Roman" w:hAnsi="Times New Roman" w:eastAsia="宋体" w:cs="Times New Roman"/>
                <w:b/>
                <w:bCs/>
                <w:color w:val="auto"/>
                <w:sz w:val="21"/>
                <w:szCs w:val="21"/>
                <w:highlight w:val="none"/>
              </w:rPr>
            </w:pPr>
          </w:p>
          <w:p w14:paraId="72DD1CB7">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highlight w:val="none"/>
              </w:rPr>
              <w:t>由表</w:t>
            </w:r>
            <w:r>
              <w:rPr>
                <w:rFonts w:hint="default" w:ascii="Times New Roman" w:hAnsi="Times New Roman" w:eastAsia="宋体" w:cs="Times New Roman"/>
                <w:bCs/>
                <w:color w:val="auto"/>
                <w:sz w:val="24"/>
                <w:szCs w:val="24"/>
                <w:highlight w:val="none"/>
                <w:lang w:val="en-US" w:eastAsia="zh-CN"/>
              </w:rPr>
              <w:t>4-1</w:t>
            </w:r>
            <w:r>
              <w:rPr>
                <w:rFonts w:hint="default" w:ascii="Times New Roman" w:hAnsi="Times New Roman" w:eastAsia="宋体" w:cs="Times New Roman"/>
                <w:bCs/>
                <w:color w:val="auto"/>
                <w:sz w:val="24"/>
                <w:szCs w:val="24"/>
                <w:highlight w:val="none"/>
              </w:rPr>
              <w:t>可知，本项目</w:t>
            </w:r>
            <w:r>
              <w:rPr>
                <w:rFonts w:hint="default" w:ascii="Times New Roman" w:hAnsi="Times New Roman" w:eastAsia="宋体" w:cs="Times New Roman"/>
                <w:color w:val="auto"/>
                <w:sz w:val="24"/>
                <w:szCs w:val="24"/>
                <w:lang w:val="en-US" w:eastAsia="zh-CN"/>
              </w:rPr>
              <w:t>DA002</w:t>
            </w:r>
            <w:r>
              <w:rPr>
                <w:rFonts w:hint="default" w:ascii="Times New Roman" w:hAnsi="Times New Roman" w:eastAsia="宋体" w:cs="Times New Roman"/>
                <w:color w:val="auto"/>
                <w:sz w:val="24"/>
                <w:szCs w:val="24"/>
                <w:highlight w:val="none"/>
                <w:lang w:eastAsia="zh-CN"/>
              </w:rPr>
              <w:t>排气筒</w:t>
            </w:r>
            <w:r>
              <w:rPr>
                <w:rFonts w:hint="default" w:ascii="Times New Roman" w:hAnsi="Times New Roman" w:eastAsia="宋体" w:cs="Times New Roman"/>
                <w:bCs/>
                <w:color w:val="auto"/>
                <w:sz w:val="24"/>
                <w:szCs w:val="24"/>
                <w:highlight w:val="none"/>
              </w:rPr>
              <w:t>拟设计风量为</w:t>
            </w:r>
            <w:r>
              <w:rPr>
                <w:rFonts w:hint="default" w:ascii="Times New Roman" w:hAnsi="Times New Roman" w:eastAsia="宋体" w:cs="Times New Roman"/>
                <w:bCs/>
                <w:color w:val="auto"/>
                <w:sz w:val="24"/>
                <w:szCs w:val="24"/>
                <w:highlight w:val="none"/>
                <w:lang w:val="en-US" w:eastAsia="zh-CN"/>
              </w:rPr>
              <w:t>14000</w:t>
            </w:r>
            <w:r>
              <w:rPr>
                <w:rFonts w:hint="default" w:ascii="Times New Roman" w:hAnsi="Times New Roman" w:eastAsia="宋体" w:cs="Times New Roman"/>
                <w:bCs/>
                <w:color w:val="auto"/>
                <w:sz w:val="24"/>
                <w:szCs w:val="24"/>
                <w:highlight w:val="none"/>
              </w:rPr>
              <w:t>m</w:t>
            </w:r>
            <w:r>
              <w:rPr>
                <w:rFonts w:hint="default" w:ascii="Times New Roman" w:hAnsi="Times New Roman" w:eastAsia="宋体" w:cs="Times New Roman"/>
                <w:bCs/>
                <w:color w:val="auto"/>
                <w:sz w:val="24"/>
                <w:szCs w:val="24"/>
                <w:highlight w:val="none"/>
                <w:vertAlign w:val="superscript"/>
              </w:rPr>
              <w:t>3</w:t>
            </w:r>
            <w:r>
              <w:rPr>
                <w:rFonts w:hint="default" w:ascii="Times New Roman" w:hAnsi="Times New Roman" w:eastAsia="宋体" w:cs="Times New Roman"/>
                <w:bCs/>
                <w:color w:val="auto"/>
                <w:sz w:val="24"/>
                <w:szCs w:val="24"/>
                <w:highlight w:val="none"/>
              </w:rPr>
              <w:t>/h。</w:t>
            </w:r>
          </w:p>
          <w:p w14:paraId="0F4A9A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lang w:val="en-US" w:eastAsia="zh-CN"/>
              </w:rPr>
              <w:t>(2)有组织</w:t>
            </w:r>
            <w:r>
              <w:rPr>
                <w:rFonts w:hint="default" w:ascii="Times New Roman" w:hAnsi="Times New Roman" w:eastAsia="宋体" w:cs="Times New Roman"/>
                <w:color w:val="auto"/>
                <w:sz w:val="24"/>
                <w:szCs w:val="24"/>
                <w:highlight w:val="none"/>
                <w:lang w:val="en-US" w:eastAsia="zh-CN"/>
              </w:rPr>
              <w:t>废气污染防治措施概述</w:t>
            </w:r>
          </w:p>
          <w:p w14:paraId="24C7356A">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bCs/>
                <w:color w:val="auto"/>
                <w:sz w:val="24"/>
                <w:szCs w:val="24"/>
                <w:highlight w:val="none"/>
                <w:lang w:val="en-US" w:eastAsia="zh-CN"/>
              </w:rPr>
              <w:t>UV打印、</w:t>
            </w:r>
            <w:r>
              <w:rPr>
                <w:rFonts w:hint="default" w:ascii="Times New Roman" w:hAnsi="Times New Roman" w:eastAsia="宋体" w:cs="Times New Roman"/>
                <w:color w:val="auto"/>
                <w:sz w:val="24"/>
                <w:szCs w:val="24"/>
                <w:lang w:val="en-US" w:eastAsia="zh-CN"/>
              </w:rPr>
              <w:t>写真</w:t>
            </w:r>
            <w:r>
              <w:rPr>
                <w:rFonts w:hint="default" w:ascii="Times New Roman" w:hAnsi="Times New Roman" w:eastAsia="宋体" w:cs="Times New Roman"/>
                <w:bCs/>
                <w:color w:val="auto"/>
                <w:kern w:val="2"/>
                <w:sz w:val="24"/>
                <w:szCs w:val="24"/>
                <w:lang w:val="en-US" w:eastAsia="zh-CN" w:bidi="ar-SA"/>
              </w:rPr>
              <w:t>打印</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丝网印刷</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kern w:val="2"/>
                <w:sz w:val="24"/>
                <w:szCs w:val="24"/>
                <w:lang w:val="en-US" w:eastAsia="zh-CN" w:bidi="ar-SA"/>
              </w:rPr>
              <w:t>喷头擦拭废气</w:t>
            </w:r>
            <w:r>
              <w:rPr>
                <w:rFonts w:hint="default" w:ascii="Times New Roman" w:hAnsi="Times New Roman" w:eastAsia="宋体" w:cs="Times New Roman"/>
                <w:color w:val="auto"/>
                <w:sz w:val="24"/>
                <w:szCs w:val="24"/>
                <w:lang w:val="en-US" w:eastAsia="zh-CN"/>
              </w:rPr>
              <w:t>采用密闭空间引风收集，废气收集后进入二级活性炭吸附装置</w:t>
            </w:r>
            <w:r>
              <w:rPr>
                <w:rFonts w:hint="default" w:ascii="Times New Roman" w:hAnsi="Times New Roman" w:eastAsia="宋体" w:cs="Times New Roman"/>
                <w:color w:val="auto"/>
                <w:sz w:val="24"/>
                <w:szCs w:val="24"/>
                <w:lang w:eastAsia="zh-CN"/>
              </w:rPr>
              <w:t>处理，尾气通过</w:t>
            </w:r>
            <w:r>
              <w:rPr>
                <w:rFonts w:hint="default" w:ascii="Times New Roman" w:hAnsi="Times New Roman" w:eastAsia="宋体" w:cs="Times New Roman"/>
                <w:color w:val="auto"/>
                <w:sz w:val="24"/>
                <w:szCs w:val="24"/>
                <w:lang w:val="en-US" w:eastAsia="zh-CN"/>
              </w:rPr>
              <w:t>15m高排气筒(DA002)排放。项目</w:t>
            </w:r>
            <w:r>
              <w:rPr>
                <w:rFonts w:hint="default" w:ascii="Times New Roman" w:hAnsi="Times New Roman" w:eastAsia="宋体" w:cs="Times New Roman"/>
                <w:color w:val="auto"/>
                <w:sz w:val="24"/>
                <w:szCs w:val="24"/>
                <w:lang w:eastAsia="zh-CN"/>
              </w:rPr>
              <w:t>废气</w:t>
            </w:r>
            <w:r>
              <w:rPr>
                <w:rFonts w:hint="default" w:ascii="Times New Roman" w:hAnsi="Times New Roman" w:eastAsia="宋体" w:cs="Times New Roman"/>
                <w:color w:val="auto"/>
                <w:sz w:val="24"/>
                <w:szCs w:val="24"/>
                <w:highlight w:val="none"/>
              </w:rPr>
              <w:t>捕集率以9</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%计，</w:t>
            </w:r>
            <w:r>
              <w:rPr>
                <w:rFonts w:hint="default"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szCs w:val="24"/>
                <w:highlight w:val="none"/>
              </w:rPr>
              <w:t>处理效率取9</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%计，则</w:t>
            </w:r>
            <w:r>
              <w:rPr>
                <w:rFonts w:hint="default" w:ascii="Times New Roman" w:hAnsi="Times New Roman" w:eastAsia="宋体" w:cs="Times New Roman"/>
                <w:color w:val="auto"/>
                <w:sz w:val="24"/>
                <w:szCs w:val="24"/>
                <w:lang w:val="en-US" w:eastAsia="zh-CN"/>
              </w:rPr>
              <w:t>排气筒(DA002)</w:t>
            </w:r>
            <w:r>
              <w:rPr>
                <w:rFonts w:hint="default" w:ascii="Times New Roman" w:hAnsi="Times New Roman" w:eastAsia="宋体" w:cs="Times New Roman"/>
                <w:color w:val="auto"/>
                <w:sz w:val="24"/>
                <w:szCs w:val="24"/>
                <w:lang w:eastAsia="zh-CN"/>
              </w:rPr>
              <w:t>废气</w:t>
            </w:r>
            <w:r>
              <w:rPr>
                <w:rFonts w:hint="default" w:ascii="Times New Roman" w:hAnsi="Times New Roman" w:eastAsia="宋体" w:cs="Times New Roman"/>
                <w:color w:val="auto"/>
                <w:sz w:val="24"/>
                <w:szCs w:val="24"/>
                <w:highlight w:val="none"/>
                <w:lang w:val="en-US" w:eastAsia="zh-CN"/>
              </w:rPr>
              <w:t>非甲烷总烃</w:t>
            </w:r>
            <w:r>
              <w:rPr>
                <w:rFonts w:hint="default" w:ascii="Times New Roman" w:hAnsi="Times New Roman" w:eastAsia="宋体" w:cs="Times New Roman"/>
                <w:color w:val="auto"/>
                <w:sz w:val="24"/>
                <w:szCs w:val="24"/>
                <w:highlight w:val="none"/>
              </w:rPr>
              <w:t>有组织排放量为</w:t>
            </w:r>
            <w:r>
              <w:rPr>
                <w:rFonts w:hint="default" w:ascii="Times New Roman" w:hAnsi="Times New Roman" w:eastAsia="宋体" w:cs="Times New Roman"/>
                <w:color w:val="auto"/>
                <w:sz w:val="24"/>
                <w:szCs w:val="24"/>
                <w:highlight w:val="none"/>
                <w:lang w:val="en-US" w:eastAsia="zh-CN"/>
              </w:rPr>
              <w:t>0.03t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p>
          <w:p w14:paraId="7DFD36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2)无组织废气</w:t>
            </w:r>
          </w:p>
          <w:p w14:paraId="6BFA2E03">
            <w:pPr>
              <w:pStyle w:val="22"/>
              <w:keepNext w:val="0"/>
              <w:keepLines w:val="0"/>
              <w:pageBreakBefore w:val="0"/>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未捕集的</w:t>
            </w:r>
            <w:r>
              <w:rPr>
                <w:rFonts w:hint="default" w:ascii="Times New Roman" w:hAnsi="Times New Roman" w:eastAsia="宋体" w:cs="Times New Roman"/>
                <w:bCs/>
                <w:color w:val="auto"/>
                <w:sz w:val="24"/>
                <w:szCs w:val="24"/>
                <w:highlight w:val="none"/>
                <w:lang w:val="en-US" w:eastAsia="zh-CN"/>
              </w:rPr>
              <w:t>UV打印、</w:t>
            </w:r>
            <w:r>
              <w:rPr>
                <w:rFonts w:hint="default" w:ascii="Times New Roman" w:hAnsi="Times New Roman" w:eastAsia="宋体" w:cs="Times New Roman"/>
                <w:color w:val="auto"/>
                <w:sz w:val="24"/>
                <w:szCs w:val="24"/>
                <w:lang w:val="en-US" w:eastAsia="zh-CN"/>
              </w:rPr>
              <w:t>写真</w:t>
            </w:r>
            <w:r>
              <w:rPr>
                <w:rFonts w:hint="default" w:ascii="Times New Roman" w:hAnsi="Times New Roman" w:eastAsia="宋体" w:cs="Times New Roman"/>
                <w:bCs/>
                <w:color w:val="auto"/>
                <w:kern w:val="2"/>
                <w:sz w:val="24"/>
                <w:szCs w:val="24"/>
                <w:lang w:val="en-US" w:eastAsia="zh-CN" w:bidi="ar-SA"/>
              </w:rPr>
              <w:t>打印</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sz w:val="24"/>
                <w:szCs w:val="24"/>
                <w:lang w:val="en-US" w:eastAsia="zh-CN"/>
              </w:rPr>
              <w:t>丝网印刷</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bCs/>
                <w:color w:val="auto"/>
                <w:kern w:val="2"/>
                <w:sz w:val="24"/>
                <w:szCs w:val="24"/>
                <w:lang w:val="en-US" w:eastAsia="zh-CN" w:bidi="ar-SA"/>
              </w:rPr>
              <w:t>喷头擦拭废气</w:t>
            </w:r>
            <w:r>
              <w:rPr>
                <w:rFonts w:hint="default" w:ascii="Times New Roman" w:hAnsi="Times New Roman" w:eastAsia="宋体" w:cs="Times New Roman"/>
                <w:color w:val="auto"/>
                <w:sz w:val="24"/>
                <w:szCs w:val="24"/>
                <w:highlight w:val="none"/>
                <w:lang w:val="en-US" w:eastAsia="zh-CN"/>
              </w:rPr>
              <w:t>非甲烷总烃约</w:t>
            </w:r>
            <w:r>
              <w:rPr>
                <w:rFonts w:hint="default" w:ascii="Times New Roman" w:hAnsi="Times New Roman" w:eastAsia="宋体" w:cs="Times New Roman"/>
                <w:color w:val="auto"/>
                <w:sz w:val="24"/>
                <w:szCs w:val="24"/>
                <w:highlight w:val="none"/>
                <w:lang w:eastAsia="zh-CN"/>
              </w:rPr>
              <w:t>0.016</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lang w:val="en-US" w:eastAsia="zh-CN"/>
              </w:rPr>
              <w:t>直接在车间无组织排放。</w:t>
            </w:r>
          </w:p>
          <w:p w14:paraId="12E0B1BA">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通过采取以下措施减少废气无组织排放：作业时关闭印刷间门窗，尽量提高印刷间的密闭性，尽可能多的捕集印刷废气以减少无组织产生量；选用高质量的设备和管件，提高安装质量，定期对设备进行检修维护。</w:t>
            </w:r>
          </w:p>
          <w:p w14:paraId="38E03C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384165" cy="449580"/>
                  <wp:effectExtent l="0" t="0" r="6985" b="762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0"/>
                          <a:stretch>
                            <a:fillRect/>
                          </a:stretch>
                        </pic:blipFill>
                        <pic:spPr>
                          <a:xfrm>
                            <a:off x="0" y="0"/>
                            <a:ext cx="5384165" cy="449580"/>
                          </a:xfrm>
                          <a:prstGeom prst="rect">
                            <a:avLst/>
                          </a:prstGeom>
                          <a:noFill/>
                          <a:ln>
                            <a:noFill/>
                          </a:ln>
                        </pic:spPr>
                      </pic:pic>
                    </a:graphicData>
                  </a:graphic>
                </wp:inline>
              </w:drawing>
            </w:r>
          </w:p>
          <w:p w14:paraId="7531407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bCs/>
                <w:color w:val="auto"/>
                <w:szCs w:val="21"/>
                <w:lang w:eastAsia="zh-CN"/>
              </w:rPr>
              <w:t>图4-1</w:t>
            </w:r>
            <w:r>
              <w:rPr>
                <w:rFonts w:hint="default"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lang w:eastAsia="zh-CN"/>
              </w:rPr>
              <w:t>项目废气治理措施示意图</w:t>
            </w:r>
          </w:p>
          <w:p w14:paraId="2E5304B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3）废气污染防治措施技术可行性论证</w:t>
            </w:r>
          </w:p>
          <w:p w14:paraId="586FADF7">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（1）与排污许可技术规范对照分析 </w:t>
            </w:r>
          </w:p>
          <w:p w14:paraId="185E4D15">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本项目属于C3499其他未列明通用设备制造</w:t>
            </w:r>
            <w:r>
              <w:rPr>
                <w:rFonts w:hint="eastAsia" w:ascii="Times New Roman" w:hAnsi="Times New Roman" w:eastAsia="宋体" w:cs="Times New Roman"/>
                <w:color w:val="auto"/>
                <w:sz w:val="24"/>
                <w:highlight w:val="none"/>
                <w:lang w:val="en-US" w:eastAsia="zh-CN"/>
              </w:rPr>
              <w:t>和</w:t>
            </w:r>
            <w:r>
              <w:rPr>
                <w:rFonts w:hint="default" w:ascii="Times New Roman" w:hAnsi="Times New Roman" w:eastAsia="宋体" w:cs="Times New Roman"/>
                <w:color w:val="auto"/>
                <w:sz w:val="24"/>
                <w:highlight w:val="none"/>
                <w:lang w:val="en-US" w:eastAsia="zh-CN"/>
              </w:rPr>
              <w:t xml:space="preserve">C2320装订及印刷相关服务，参照《排污许可证申请与核发技术规范 印刷工业》（HJ 1066－2019）中表A.1，项目有机废气采用二级活性炭吸附处理为可行性技术。 </w:t>
            </w:r>
          </w:p>
          <w:p w14:paraId="132CC616">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highlight w:val="none"/>
                <w:lang w:val="en-US" w:eastAsia="zh-CN"/>
              </w:rPr>
              <w:t>（2）废气设施运行原理</w:t>
            </w:r>
          </w:p>
          <w:p w14:paraId="4FC06F0E">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活性炭是一种多孔性质的含炭物质，它具有高度发达的孔隙结构，活性炭的多孔结构为其提供了大量的表面积，能与气体（杂质）充分接触，从而赋予了活性炭所特有的吸附功能，使其非常容易达到吸收收集杂质的目的，就像磁力一样，所有的分子间都具有相互引力。正因为如此，活性炭孔壁上的大量的分子可以产生强大的引力，从而达到将有害的杂质吸引到孔径中的目的。</w:t>
            </w:r>
          </w:p>
          <w:p w14:paraId="79716E81">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活性炭具有微晶结构，微晶排列完全不规则，晶体中有微孔、过渡孔（半径20～1000）、大孔（半径1000～100000），使它具有很大的内表面，比表面积为500～1700m</w:t>
            </w:r>
            <w:r>
              <w:rPr>
                <w:rFonts w:hint="default" w:ascii="Times New Roman" w:hAnsi="Times New Roman" w:eastAsia="宋体" w:cs="Times New Roman"/>
                <w:color w:val="auto"/>
                <w:sz w:val="24"/>
                <w:vertAlign w:val="superscript"/>
                <w:lang w:val="en-US" w:eastAsia="zh-CN"/>
              </w:rPr>
              <w:t>2</w:t>
            </w:r>
            <w:r>
              <w:rPr>
                <w:rFonts w:hint="default" w:ascii="Times New Roman" w:hAnsi="Times New Roman" w:eastAsia="宋体" w:cs="Times New Roman"/>
                <w:color w:val="auto"/>
                <w:sz w:val="24"/>
                <w:lang w:val="en-US" w:eastAsia="zh-CN"/>
              </w:rPr>
              <w:t>/g。这决定了活性炭具有良好的吸附性，可以吸附废水和废气中的金属离子、有害气体、有机污染物、色素等。工业上应用活性炭还要求机械强度大、耐磨性能好，它的结构力求稳定，吸附所需能量小，以有利于再生。</w:t>
            </w:r>
          </w:p>
          <w:p w14:paraId="75C1E799">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活性炭吸附法适用于大风量、低浓度、温度不高的有机废气治理，其能耗低、工艺成熟，效果可靠，是治理有机废气较为理想的方案。根据《大气中VOCs的污染现状及治理技术研究进展》（环境科学与管理，2012年第37卷第6期，曲茉莉）中数据，活性炭吸附对有机废气等的去除效率可达75%以上。本项目有机废气采用二级活性炭吸附，处理效率可达90%以上。</w:t>
            </w:r>
          </w:p>
          <w:p w14:paraId="252E4975">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2"/>
              </w:rPr>
            </w:pPr>
            <w:r>
              <w:rPr>
                <w:rFonts w:hint="default" w:ascii="Times New Roman" w:hAnsi="Times New Roman" w:eastAsia="宋体" w:cs="Times New Roman"/>
                <w:color w:val="auto"/>
                <w:sz w:val="24"/>
                <w:lang w:val="en-US" w:eastAsia="zh-CN"/>
              </w:rPr>
              <w:t xml:space="preserve">  </w:t>
            </w:r>
          </w:p>
        </w:tc>
      </w:tr>
    </w:tbl>
    <w:p w14:paraId="002A4621">
      <w:pPr>
        <w:pStyle w:val="22"/>
        <w:spacing w:before="0" w:beforeAutospacing="0" w:after="0" w:afterAutospacing="0"/>
        <w:jc w:val="both"/>
        <w:outlineLvl w:val="0"/>
        <w:rPr>
          <w:rFonts w:hint="default" w:ascii="Times New Roman" w:hAnsi="Times New Roman" w:eastAsia="宋体" w:cs="Times New Roman"/>
          <w:snapToGrid w:val="0"/>
          <w:color w:val="auto"/>
          <w:sz w:val="30"/>
          <w:szCs w:val="30"/>
        </w:rPr>
        <w:sectPr>
          <w:footerReference r:id="rId5" w:type="default"/>
          <w:pgSz w:w="11906" w:h="16838"/>
          <w:pgMar w:top="1417" w:right="1417" w:bottom="1417" w:left="1417" w:header="851" w:footer="1134" w:gutter="0"/>
          <w:pgBorders>
            <w:top w:val="none" w:sz="0" w:space="0"/>
            <w:left w:val="none" w:sz="0" w:space="0"/>
            <w:bottom w:val="none" w:sz="0" w:space="0"/>
            <w:right w:val="none" w:sz="0" w:space="0"/>
          </w:pgBorders>
          <w:cols w:space="720" w:num="1"/>
          <w:docGrid w:linePitch="312" w:charSpace="0"/>
        </w:sectPr>
      </w:pPr>
      <w:bookmarkStart w:id="5" w:name="_Toc9211"/>
    </w:p>
    <w:tbl>
      <w:tblPr>
        <w:tblStyle w:val="28"/>
        <w:tblW w:w="13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3175"/>
      </w:tblGrid>
      <w:tr w14:paraId="3C1BE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6" w:hRule="atLeast"/>
          <w:jc w:val="center"/>
        </w:trPr>
        <w:tc>
          <w:tcPr>
            <w:tcW w:w="562" w:type="dxa"/>
            <w:vAlign w:val="center"/>
          </w:tcPr>
          <w:p w14:paraId="39E45C67">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运营</w:t>
            </w:r>
          </w:p>
          <w:p w14:paraId="16AB38E7">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期环</w:t>
            </w:r>
          </w:p>
          <w:p w14:paraId="22BD63E8">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境影</w:t>
            </w:r>
          </w:p>
          <w:p w14:paraId="738785B3">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响和</w:t>
            </w:r>
          </w:p>
          <w:p w14:paraId="5C341BB9">
            <w:pPr>
              <w:adjustRightInd w:val="0"/>
              <w:snapToGrid w:val="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保护</w:t>
            </w:r>
          </w:p>
          <w:p w14:paraId="7B8BCCDE">
            <w:pPr>
              <w:adjustRightInd w:val="0"/>
              <w:snapToGrid w:val="0"/>
              <w:jc w:val="center"/>
              <w:rPr>
                <w:rFonts w:hint="default" w:ascii="Times New Roman" w:hAnsi="Times New Roman" w:eastAsia="宋体" w:cs="Times New Roman"/>
                <w:snapToGrid w:val="0"/>
                <w:color w:val="auto"/>
                <w:sz w:val="30"/>
                <w:szCs w:val="30"/>
                <w:vertAlign w:val="baseline"/>
              </w:rPr>
            </w:pPr>
            <w:r>
              <w:rPr>
                <w:rFonts w:hint="default" w:ascii="Times New Roman" w:hAnsi="Times New Roman" w:eastAsia="宋体" w:cs="Times New Roman"/>
                <w:bCs/>
                <w:color w:val="auto"/>
                <w:sz w:val="24"/>
                <w:szCs w:val="24"/>
              </w:rPr>
              <w:t>措施</w:t>
            </w:r>
          </w:p>
        </w:tc>
        <w:tc>
          <w:tcPr>
            <w:tcW w:w="13175" w:type="dxa"/>
          </w:tcPr>
          <w:p w14:paraId="676646D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color w:val="auto"/>
                <w:sz w:val="24"/>
                <w:lang w:val="en-US"/>
              </w:rPr>
            </w:pPr>
            <w:r>
              <w:rPr>
                <w:rFonts w:hint="default" w:ascii="Times New Roman" w:hAnsi="Times New Roman" w:eastAsia="宋体" w:cs="Times New Roman"/>
                <w:b/>
                <w:bCs/>
                <w:color w:val="auto"/>
                <w:sz w:val="24"/>
                <w:lang w:val="en-US" w:eastAsia="zh-CN"/>
              </w:rPr>
              <w:t>3.废气</w:t>
            </w:r>
            <w:r>
              <w:rPr>
                <w:rFonts w:hint="default" w:ascii="Times New Roman" w:hAnsi="Times New Roman" w:eastAsia="宋体" w:cs="Times New Roman"/>
                <w:b/>
                <w:bCs/>
                <w:color w:val="auto"/>
                <w:sz w:val="24"/>
              </w:rPr>
              <w:t>排放</w:t>
            </w:r>
            <w:r>
              <w:rPr>
                <w:rFonts w:hint="default" w:ascii="Times New Roman" w:hAnsi="Times New Roman" w:eastAsia="宋体" w:cs="Times New Roman"/>
                <w:b/>
                <w:bCs/>
                <w:color w:val="auto"/>
                <w:sz w:val="24"/>
                <w:lang w:val="en-US" w:eastAsia="zh-CN"/>
              </w:rPr>
              <w:t>情况及达标情况分析</w:t>
            </w:r>
          </w:p>
          <w:p w14:paraId="40E2AE3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rPr>
              <w:t>表4-</w:t>
            </w:r>
            <w:r>
              <w:rPr>
                <w:rFonts w:hint="default" w:ascii="Times New Roman" w:hAnsi="Times New Roman" w:eastAsia="宋体" w:cs="Times New Roman"/>
                <w:b/>
                <w:bCs/>
                <w:color w:val="auto"/>
                <w:szCs w:val="21"/>
                <w:lang w:val="en-US" w:eastAsia="zh-CN"/>
              </w:rPr>
              <w:t xml:space="preserve">1  </w:t>
            </w:r>
            <w:r>
              <w:rPr>
                <w:rFonts w:hint="default" w:ascii="Times New Roman" w:hAnsi="Times New Roman" w:eastAsia="宋体" w:cs="Times New Roman"/>
                <w:b/>
                <w:bCs/>
                <w:color w:val="auto"/>
                <w:szCs w:val="21"/>
              </w:rPr>
              <w:t>本项目</w:t>
            </w:r>
            <w:r>
              <w:rPr>
                <w:rFonts w:hint="default" w:ascii="Times New Roman" w:hAnsi="Times New Roman" w:eastAsia="宋体" w:cs="Times New Roman"/>
                <w:b/>
                <w:bCs/>
                <w:color w:val="auto"/>
                <w:szCs w:val="21"/>
                <w:lang w:eastAsia="zh-CN"/>
              </w:rPr>
              <w:t>正常工况</w:t>
            </w:r>
            <w:r>
              <w:rPr>
                <w:rFonts w:hint="default" w:ascii="Times New Roman" w:hAnsi="Times New Roman" w:eastAsia="宋体" w:cs="Times New Roman"/>
                <w:b/>
                <w:bCs/>
                <w:color w:val="auto"/>
                <w:szCs w:val="21"/>
                <w:lang w:val="en-US" w:eastAsia="zh-CN"/>
              </w:rPr>
              <w:t>大气污染物</w:t>
            </w:r>
            <w:r>
              <w:rPr>
                <w:rFonts w:hint="default" w:ascii="Times New Roman" w:hAnsi="Times New Roman" w:eastAsia="宋体" w:cs="Times New Roman"/>
                <w:b/>
                <w:bCs/>
                <w:color w:val="auto"/>
                <w:szCs w:val="21"/>
              </w:rPr>
              <w:t>有组织排放</w:t>
            </w:r>
            <w:r>
              <w:rPr>
                <w:rFonts w:hint="default" w:ascii="Times New Roman" w:hAnsi="Times New Roman" w:eastAsia="宋体" w:cs="Times New Roman"/>
                <w:b/>
                <w:bCs/>
                <w:color w:val="auto"/>
                <w:szCs w:val="21"/>
                <w:lang w:val="en-US" w:eastAsia="zh-CN"/>
              </w:rPr>
              <w:t>状况表</w:t>
            </w:r>
          </w:p>
          <w:tbl>
            <w:tblPr>
              <w:tblStyle w:val="27"/>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30"/>
              <w:gridCol w:w="1123"/>
              <w:gridCol w:w="1496"/>
              <w:gridCol w:w="926"/>
              <w:gridCol w:w="926"/>
              <w:gridCol w:w="928"/>
              <w:gridCol w:w="1423"/>
              <w:gridCol w:w="977"/>
              <w:gridCol w:w="809"/>
              <w:gridCol w:w="853"/>
              <w:gridCol w:w="853"/>
              <w:gridCol w:w="858"/>
              <w:gridCol w:w="949"/>
            </w:tblGrid>
            <w:tr w14:paraId="376F20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20" w:type="pct"/>
                  <w:vMerge w:val="restart"/>
                  <w:vAlign w:val="center"/>
                </w:tcPr>
                <w:p w14:paraId="2F4D2978">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排气筒编号</w:t>
                  </w:r>
                </w:p>
              </w:tc>
              <w:tc>
                <w:tcPr>
                  <w:tcW w:w="433" w:type="pct"/>
                  <w:vMerge w:val="restart"/>
                  <w:vAlign w:val="center"/>
                </w:tcPr>
                <w:p w14:paraId="0C4F9FD3">
                  <w:pPr>
                    <w:pStyle w:val="21"/>
                    <w:spacing w:after="0"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产污</w:t>
                  </w:r>
                </w:p>
                <w:p w14:paraId="7DAC819F">
                  <w:pPr>
                    <w:pStyle w:val="21"/>
                    <w:spacing w:after="0" w:line="240" w:lineRule="auto"/>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环节</w:t>
                  </w:r>
                </w:p>
              </w:tc>
              <w:tc>
                <w:tcPr>
                  <w:tcW w:w="577" w:type="pct"/>
                  <w:vMerge w:val="restart"/>
                  <w:vAlign w:val="center"/>
                </w:tcPr>
                <w:p w14:paraId="3BF4006C">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污染物名称</w:t>
                  </w:r>
                </w:p>
              </w:tc>
              <w:tc>
                <w:tcPr>
                  <w:tcW w:w="1073" w:type="pct"/>
                  <w:gridSpan w:val="3"/>
                  <w:vAlign w:val="center"/>
                </w:tcPr>
                <w:p w14:paraId="79C4F13E">
                  <w:pPr>
                    <w:pStyle w:val="21"/>
                    <w:spacing w:after="0"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产生</w:t>
                  </w:r>
                  <w:r>
                    <w:rPr>
                      <w:rFonts w:hint="default" w:ascii="Times New Roman" w:hAnsi="Times New Roman" w:eastAsia="宋体" w:cs="Times New Roman"/>
                      <w:b/>
                      <w:bCs/>
                      <w:color w:val="auto"/>
                      <w:szCs w:val="21"/>
                      <w:lang w:eastAsia="zh-CN"/>
                    </w:rPr>
                    <w:t>情况</w:t>
                  </w:r>
                </w:p>
              </w:tc>
              <w:tc>
                <w:tcPr>
                  <w:tcW w:w="549" w:type="pct"/>
                  <w:vMerge w:val="restart"/>
                  <w:vAlign w:val="center"/>
                </w:tcPr>
                <w:p w14:paraId="7D03533F">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污染治理设施</w:t>
                  </w:r>
                </w:p>
              </w:tc>
              <w:tc>
                <w:tcPr>
                  <w:tcW w:w="377" w:type="pct"/>
                  <w:vMerge w:val="restart"/>
                  <w:vAlign w:val="center"/>
                </w:tcPr>
                <w:p w14:paraId="443CF294">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kern w:val="0"/>
                      <w:sz w:val="21"/>
                      <w:szCs w:val="21"/>
                      <w:highlight w:val="none"/>
                    </w:rPr>
                    <w:t>去除率%</w:t>
                  </w:r>
                </w:p>
              </w:tc>
              <w:tc>
                <w:tcPr>
                  <w:tcW w:w="312" w:type="pct"/>
                  <w:vMerge w:val="restart"/>
                  <w:vAlign w:val="center"/>
                </w:tcPr>
                <w:p w14:paraId="58CAA03F">
                  <w:pPr>
                    <w:adjustRightInd w:val="0"/>
                    <w:snapToGrid w:val="0"/>
                    <w:ind w:left="-105" w:leftChars="-50" w:right="-105" w:rightChars="-5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排风量</w:t>
                  </w:r>
                </w:p>
                <w:p w14:paraId="6F108BEB">
                  <w:pPr>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m</w:t>
                  </w:r>
                  <w:r>
                    <w:rPr>
                      <w:rFonts w:hint="default" w:ascii="Times New Roman" w:hAnsi="Times New Roman" w:eastAsia="宋体" w:cs="Times New Roman"/>
                      <w:b/>
                      <w:bCs/>
                      <w:color w:val="auto"/>
                      <w:szCs w:val="21"/>
                      <w:vertAlign w:val="superscript"/>
                    </w:rPr>
                    <w:t>3</w:t>
                  </w:r>
                  <w:r>
                    <w:rPr>
                      <w:rFonts w:hint="default" w:ascii="Times New Roman" w:hAnsi="Times New Roman" w:eastAsia="宋体" w:cs="Times New Roman"/>
                      <w:b/>
                      <w:bCs/>
                      <w:color w:val="auto"/>
                      <w:szCs w:val="21"/>
                    </w:rPr>
                    <w:t>/h</w:t>
                  </w:r>
                </w:p>
              </w:tc>
              <w:tc>
                <w:tcPr>
                  <w:tcW w:w="989" w:type="pct"/>
                  <w:gridSpan w:val="3"/>
                  <w:vAlign w:val="center"/>
                </w:tcPr>
                <w:p w14:paraId="55E4D5D2">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排放</w:t>
                  </w:r>
                  <w:r>
                    <w:rPr>
                      <w:rFonts w:hint="default" w:ascii="Times New Roman" w:hAnsi="Times New Roman" w:eastAsia="宋体" w:cs="Times New Roman"/>
                      <w:b/>
                      <w:bCs/>
                      <w:color w:val="auto"/>
                      <w:szCs w:val="21"/>
                      <w:lang w:eastAsia="zh-CN"/>
                    </w:rPr>
                    <w:t>情况</w:t>
                  </w:r>
                </w:p>
              </w:tc>
              <w:tc>
                <w:tcPr>
                  <w:tcW w:w="366" w:type="pct"/>
                  <w:vMerge w:val="restart"/>
                  <w:vAlign w:val="center"/>
                </w:tcPr>
                <w:p w14:paraId="50E360E2">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排放</w:t>
                  </w:r>
                </w:p>
                <w:p w14:paraId="04E1BBC5">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方式</w:t>
                  </w:r>
                </w:p>
              </w:tc>
            </w:tr>
            <w:tr w14:paraId="6FDF93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tblHeader/>
                <w:jc w:val="center"/>
              </w:trPr>
              <w:tc>
                <w:tcPr>
                  <w:tcW w:w="320" w:type="pct"/>
                  <w:vMerge w:val="continue"/>
                  <w:tcBorders>
                    <w:bottom w:val="single" w:color="auto" w:sz="4" w:space="0"/>
                  </w:tcBorders>
                  <w:vAlign w:val="center"/>
                </w:tcPr>
                <w:p w14:paraId="4C73E9FD">
                  <w:pPr>
                    <w:pStyle w:val="21"/>
                    <w:spacing w:after="0" w:line="240" w:lineRule="auto"/>
                    <w:jc w:val="center"/>
                    <w:rPr>
                      <w:rFonts w:hint="default" w:ascii="Times New Roman" w:hAnsi="Times New Roman" w:eastAsia="宋体" w:cs="Times New Roman"/>
                      <w:color w:val="auto"/>
                      <w:szCs w:val="21"/>
                    </w:rPr>
                  </w:pPr>
                </w:p>
              </w:tc>
              <w:tc>
                <w:tcPr>
                  <w:tcW w:w="433" w:type="pct"/>
                  <w:vMerge w:val="continue"/>
                  <w:tcBorders>
                    <w:bottom w:val="single" w:color="auto" w:sz="4" w:space="0"/>
                  </w:tcBorders>
                  <w:vAlign w:val="center"/>
                </w:tcPr>
                <w:p w14:paraId="5E80B06A">
                  <w:pPr>
                    <w:pStyle w:val="21"/>
                    <w:spacing w:after="0" w:line="240" w:lineRule="auto"/>
                    <w:jc w:val="center"/>
                    <w:rPr>
                      <w:rFonts w:hint="default" w:ascii="Times New Roman" w:hAnsi="Times New Roman" w:eastAsia="宋体" w:cs="Times New Roman"/>
                      <w:color w:val="auto"/>
                      <w:szCs w:val="21"/>
                    </w:rPr>
                  </w:pPr>
                </w:p>
              </w:tc>
              <w:tc>
                <w:tcPr>
                  <w:tcW w:w="577" w:type="pct"/>
                  <w:vMerge w:val="continue"/>
                  <w:tcBorders>
                    <w:bottom w:val="single" w:color="auto" w:sz="4" w:space="0"/>
                  </w:tcBorders>
                  <w:vAlign w:val="center"/>
                </w:tcPr>
                <w:p w14:paraId="42D969A3">
                  <w:pPr>
                    <w:pStyle w:val="21"/>
                    <w:spacing w:after="0" w:line="240" w:lineRule="auto"/>
                    <w:jc w:val="center"/>
                    <w:rPr>
                      <w:rFonts w:hint="default" w:ascii="Times New Roman" w:hAnsi="Times New Roman" w:eastAsia="宋体" w:cs="Times New Roman"/>
                      <w:color w:val="auto"/>
                      <w:szCs w:val="21"/>
                    </w:rPr>
                  </w:pPr>
                </w:p>
              </w:tc>
              <w:tc>
                <w:tcPr>
                  <w:tcW w:w="357" w:type="pct"/>
                  <w:tcBorders>
                    <w:bottom w:val="single" w:color="auto" w:sz="4" w:space="0"/>
                  </w:tcBorders>
                  <w:vAlign w:val="center"/>
                </w:tcPr>
                <w:p w14:paraId="5F936477">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浓度</w:t>
                  </w:r>
                </w:p>
                <w:p w14:paraId="36C8F388">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mg/m</w:t>
                  </w:r>
                  <w:r>
                    <w:rPr>
                      <w:rFonts w:hint="default" w:ascii="Times New Roman" w:hAnsi="Times New Roman" w:eastAsia="宋体" w:cs="Times New Roman"/>
                      <w:b/>
                      <w:bCs/>
                      <w:color w:val="auto"/>
                      <w:szCs w:val="21"/>
                      <w:vertAlign w:val="superscript"/>
                    </w:rPr>
                    <w:t>3</w:t>
                  </w:r>
                </w:p>
              </w:tc>
              <w:tc>
                <w:tcPr>
                  <w:tcW w:w="357" w:type="pct"/>
                  <w:tcBorders>
                    <w:bottom w:val="single" w:color="auto" w:sz="4" w:space="0"/>
                  </w:tcBorders>
                  <w:vAlign w:val="center"/>
                </w:tcPr>
                <w:p w14:paraId="70AA0016">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速率</w:t>
                  </w:r>
                </w:p>
                <w:p w14:paraId="24C88B1E">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kg/h</w:t>
                  </w:r>
                </w:p>
              </w:tc>
              <w:tc>
                <w:tcPr>
                  <w:tcW w:w="358" w:type="pct"/>
                  <w:tcBorders>
                    <w:bottom w:val="single" w:color="auto" w:sz="4" w:space="0"/>
                  </w:tcBorders>
                  <w:vAlign w:val="center"/>
                </w:tcPr>
                <w:p w14:paraId="0C511ACB">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产生</w:t>
                  </w:r>
                  <w:r>
                    <w:rPr>
                      <w:rFonts w:hint="default" w:ascii="Times New Roman" w:hAnsi="Times New Roman" w:eastAsia="宋体" w:cs="Times New Roman"/>
                      <w:b/>
                      <w:bCs/>
                      <w:color w:val="auto"/>
                      <w:szCs w:val="21"/>
                    </w:rPr>
                    <w:t>量</w:t>
                  </w:r>
                </w:p>
                <w:p w14:paraId="454F569D">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t/a</w:t>
                  </w:r>
                </w:p>
              </w:tc>
              <w:tc>
                <w:tcPr>
                  <w:tcW w:w="549" w:type="pct"/>
                  <w:vMerge w:val="continue"/>
                  <w:tcBorders>
                    <w:bottom w:val="single" w:color="auto" w:sz="4" w:space="0"/>
                  </w:tcBorders>
                  <w:vAlign w:val="center"/>
                </w:tcPr>
                <w:p w14:paraId="74A51036">
                  <w:pPr>
                    <w:jc w:val="center"/>
                    <w:rPr>
                      <w:rFonts w:hint="default" w:ascii="Times New Roman" w:hAnsi="Times New Roman" w:eastAsia="宋体" w:cs="Times New Roman"/>
                      <w:b/>
                      <w:bCs/>
                      <w:color w:val="auto"/>
                      <w:szCs w:val="21"/>
                    </w:rPr>
                  </w:pPr>
                </w:p>
              </w:tc>
              <w:tc>
                <w:tcPr>
                  <w:tcW w:w="377" w:type="pct"/>
                  <w:vMerge w:val="continue"/>
                  <w:tcBorders>
                    <w:bottom w:val="single" w:color="auto" w:sz="4" w:space="0"/>
                  </w:tcBorders>
                  <w:vAlign w:val="center"/>
                </w:tcPr>
                <w:p w14:paraId="0260A687">
                  <w:pPr>
                    <w:jc w:val="center"/>
                    <w:rPr>
                      <w:rFonts w:hint="default" w:ascii="Times New Roman" w:hAnsi="Times New Roman" w:eastAsia="宋体" w:cs="Times New Roman"/>
                      <w:b/>
                      <w:bCs/>
                      <w:color w:val="auto"/>
                      <w:szCs w:val="21"/>
                    </w:rPr>
                  </w:pPr>
                </w:p>
              </w:tc>
              <w:tc>
                <w:tcPr>
                  <w:tcW w:w="312" w:type="pct"/>
                  <w:vMerge w:val="continue"/>
                  <w:tcBorders>
                    <w:bottom w:val="single" w:color="auto" w:sz="4" w:space="0"/>
                  </w:tcBorders>
                  <w:vAlign w:val="center"/>
                </w:tcPr>
                <w:p w14:paraId="5C5BC61C">
                  <w:pPr>
                    <w:jc w:val="center"/>
                    <w:rPr>
                      <w:rFonts w:hint="default" w:ascii="Times New Roman" w:hAnsi="Times New Roman" w:eastAsia="宋体" w:cs="Times New Roman"/>
                      <w:b/>
                      <w:bCs/>
                      <w:color w:val="auto"/>
                      <w:szCs w:val="21"/>
                    </w:rPr>
                  </w:pPr>
                </w:p>
              </w:tc>
              <w:tc>
                <w:tcPr>
                  <w:tcW w:w="329" w:type="pct"/>
                  <w:tcBorders>
                    <w:bottom w:val="single" w:color="auto" w:sz="4" w:space="0"/>
                  </w:tcBorders>
                  <w:vAlign w:val="center"/>
                </w:tcPr>
                <w:p w14:paraId="7879B9B4">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浓度</w:t>
                  </w:r>
                </w:p>
                <w:p w14:paraId="680C4CAC">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mg/m</w:t>
                  </w:r>
                  <w:r>
                    <w:rPr>
                      <w:rFonts w:hint="default" w:ascii="Times New Roman" w:hAnsi="Times New Roman" w:eastAsia="宋体" w:cs="Times New Roman"/>
                      <w:b/>
                      <w:bCs/>
                      <w:color w:val="auto"/>
                      <w:szCs w:val="21"/>
                      <w:vertAlign w:val="superscript"/>
                    </w:rPr>
                    <w:t>3</w:t>
                  </w:r>
                </w:p>
              </w:tc>
              <w:tc>
                <w:tcPr>
                  <w:tcW w:w="329" w:type="pct"/>
                  <w:tcBorders>
                    <w:bottom w:val="single" w:color="auto" w:sz="4" w:space="0"/>
                  </w:tcBorders>
                  <w:vAlign w:val="center"/>
                </w:tcPr>
                <w:p w14:paraId="52812802">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速率</w:t>
                  </w:r>
                </w:p>
                <w:p w14:paraId="171277C1">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kg/h</w:t>
                  </w:r>
                </w:p>
              </w:tc>
              <w:tc>
                <w:tcPr>
                  <w:tcW w:w="331" w:type="pct"/>
                  <w:tcBorders>
                    <w:bottom w:val="single" w:color="auto" w:sz="4" w:space="0"/>
                  </w:tcBorders>
                  <w:vAlign w:val="center"/>
                </w:tcPr>
                <w:p w14:paraId="0D5FE7AF">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eastAsia="zh-CN"/>
                    </w:rPr>
                    <w:t>排放</w:t>
                  </w:r>
                  <w:r>
                    <w:rPr>
                      <w:rFonts w:hint="default" w:ascii="Times New Roman" w:hAnsi="Times New Roman" w:eastAsia="宋体" w:cs="Times New Roman"/>
                      <w:b/>
                      <w:bCs/>
                      <w:color w:val="auto"/>
                      <w:szCs w:val="21"/>
                    </w:rPr>
                    <w:t>量</w:t>
                  </w:r>
                </w:p>
                <w:p w14:paraId="3592559B">
                  <w:pPr>
                    <w:pStyle w:val="21"/>
                    <w:spacing w:after="0" w:line="240" w:lineRule="auto"/>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t/a</w:t>
                  </w:r>
                </w:p>
              </w:tc>
              <w:tc>
                <w:tcPr>
                  <w:tcW w:w="366" w:type="pct"/>
                  <w:vMerge w:val="continue"/>
                  <w:tcBorders>
                    <w:bottom w:val="single" w:color="auto" w:sz="4" w:space="0"/>
                  </w:tcBorders>
                  <w:vAlign w:val="center"/>
                </w:tcPr>
                <w:p w14:paraId="38E86D29">
                  <w:pPr>
                    <w:pStyle w:val="21"/>
                    <w:spacing w:after="0" w:line="240" w:lineRule="auto"/>
                    <w:jc w:val="center"/>
                    <w:rPr>
                      <w:rFonts w:hint="default" w:ascii="Times New Roman" w:hAnsi="Times New Roman" w:eastAsia="宋体" w:cs="Times New Roman"/>
                      <w:color w:val="auto"/>
                      <w:szCs w:val="21"/>
                    </w:rPr>
                  </w:pPr>
                </w:p>
              </w:tc>
            </w:tr>
            <w:tr w14:paraId="3EE1A4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320" w:type="pct"/>
                  <w:vAlign w:val="center"/>
                </w:tcPr>
                <w:p w14:paraId="2EA2B725">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DA002</w:t>
                  </w:r>
                </w:p>
              </w:tc>
              <w:tc>
                <w:tcPr>
                  <w:tcW w:w="433" w:type="pct"/>
                  <w:vAlign w:val="center"/>
                </w:tcPr>
                <w:p w14:paraId="5C846F49">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Cs/>
                      <w:color w:val="auto"/>
                      <w:sz w:val="21"/>
                      <w:szCs w:val="21"/>
                      <w:highlight w:val="none"/>
                      <w:lang w:val="en-US" w:eastAsia="zh-CN"/>
                    </w:rPr>
                    <w:t>UV打印、</w:t>
                  </w:r>
                  <w:r>
                    <w:rPr>
                      <w:rFonts w:hint="default" w:ascii="Times New Roman" w:hAnsi="Times New Roman" w:eastAsia="宋体" w:cs="Times New Roman"/>
                      <w:color w:val="auto"/>
                      <w:sz w:val="21"/>
                      <w:szCs w:val="21"/>
                      <w:lang w:val="en-US" w:eastAsia="zh-CN"/>
                    </w:rPr>
                    <w:t>写真</w:t>
                  </w:r>
                  <w:r>
                    <w:rPr>
                      <w:rFonts w:hint="default" w:ascii="Times New Roman" w:hAnsi="Times New Roman" w:eastAsia="宋体" w:cs="Times New Roman"/>
                      <w:bCs/>
                      <w:color w:val="auto"/>
                      <w:kern w:val="2"/>
                      <w:sz w:val="21"/>
                      <w:szCs w:val="21"/>
                      <w:lang w:val="en-US" w:eastAsia="zh-CN" w:bidi="ar-SA"/>
                    </w:rPr>
                    <w:t>打印</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丝网印刷</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kern w:val="2"/>
                      <w:sz w:val="21"/>
                      <w:szCs w:val="21"/>
                      <w:lang w:val="en-US" w:eastAsia="zh-CN" w:bidi="ar-SA"/>
                    </w:rPr>
                    <w:t>喷头擦拭</w:t>
                  </w:r>
                </w:p>
              </w:tc>
              <w:tc>
                <w:tcPr>
                  <w:tcW w:w="577" w:type="pct"/>
                  <w:vAlign w:val="center"/>
                </w:tcPr>
                <w:p w14:paraId="0F2BCC3A">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lang w:val="en-US" w:eastAsia="zh-CN" w:bidi="ar"/>
                    </w:rPr>
                    <w:t>非甲烷总烃</w:t>
                  </w:r>
                </w:p>
              </w:tc>
              <w:tc>
                <w:tcPr>
                  <w:tcW w:w="357" w:type="pct"/>
                  <w:vAlign w:val="center"/>
                </w:tcPr>
                <w:p w14:paraId="2CC7E8D2">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37.14</w:t>
                  </w:r>
                </w:p>
              </w:tc>
              <w:tc>
                <w:tcPr>
                  <w:tcW w:w="357" w:type="pct"/>
                  <w:vAlign w:val="center"/>
                </w:tcPr>
                <w:p w14:paraId="4E11D237">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0.52</w:t>
                  </w:r>
                </w:p>
              </w:tc>
              <w:tc>
                <w:tcPr>
                  <w:tcW w:w="358" w:type="pct"/>
                  <w:vAlign w:val="center"/>
                </w:tcPr>
                <w:p w14:paraId="484FFBB0">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0.312</w:t>
                  </w:r>
                </w:p>
              </w:tc>
              <w:tc>
                <w:tcPr>
                  <w:tcW w:w="549" w:type="pct"/>
                  <w:vAlign w:val="center"/>
                </w:tcPr>
                <w:p w14:paraId="3B8FADE9">
                  <w:pPr>
                    <w:adjustRightInd w:val="0"/>
                    <w:snapToGrid w:val="0"/>
                    <w:ind w:left="-105" w:leftChars="-50" w:right="-105" w:rightChars="-50"/>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color w:val="auto"/>
                      <w:sz w:val="21"/>
                      <w:szCs w:val="21"/>
                      <w:lang w:val="en-US" w:eastAsia="zh-CN"/>
                    </w:rPr>
                    <w:t>二级活性炭吸附</w:t>
                  </w:r>
                </w:p>
              </w:tc>
              <w:tc>
                <w:tcPr>
                  <w:tcW w:w="377" w:type="pct"/>
                  <w:vAlign w:val="center"/>
                </w:tcPr>
                <w:p w14:paraId="66CB0007">
                  <w:pPr>
                    <w:adjustRightInd w:val="0"/>
                    <w:snapToGrid w:val="0"/>
                    <w:ind w:left="-105" w:leftChars="-50" w:right="-105" w:rightChars="-50"/>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color w:val="auto"/>
                      <w:sz w:val="21"/>
                      <w:szCs w:val="21"/>
                      <w:lang w:val="en-US" w:eastAsia="zh-CN"/>
                    </w:rPr>
                    <w:t>90%</w:t>
                  </w:r>
                </w:p>
              </w:tc>
              <w:tc>
                <w:tcPr>
                  <w:tcW w:w="312" w:type="pct"/>
                  <w:vAlign w:val="center"/>
                </w:tcPr>
                <w:p w14:paraId="00D0845C">
                  <w:pPr>
                    <w:adjustRightInd w:val="0"/>
                    <w:snapToGrid w:val="0"/>
                    <w:ind w:left="-105" w:leftChars="-50" w:right="-105" w:rightChars="-50"/>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color w:val="auto"/>
                      <w:sz w:val="21"/>
                      <w:szCs w:val="21"/>
                      <w:lang w:val="en-US" w:eastAsia="zh-CN"/>
                    </w:rPr>
                    <w:t>14000</w:t>
                  </w:r>
                </w:p>
              </w:tc>
              <w:tc>
                <w:tcPr>
                  <w:tcW w:w="329" w:type="pct"/>
                  <w:vAlign w:val="center"/>
                </w:tcPr>
                <w:p w14:paraId="7A0B9A4D">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3.71</w:t>
                  </w:r>
                </w:p>
              </w:tc>
              <w:tc>
                <w:tcPr>
                  <w:tcW w:w="329" w:type="pct"/>
                  <w:vAlign w:val="center"/>
                </w:tcPr>
                <w:p w14:paraId="64915177">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0.052</w:t>
                  </w:r>
                </w:p>
              </w:tc>
              <w:tc>
                <w:tcPr>
                  <w:tcW w:w="331" w:type="pct"/>
                  <w:vAlign w:val="center"/>
                </w:tcPr>
                <w:p w14:paraId="3F23601B">
                  <w:pPr>
                    <w:pStyle w:val="21"/>
                    <w:spacing w:after="0" w:line="240" w:lineRule="auto"/>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0.031</w:t>
                  </w:r>
                </w:p>
              </w:tc>
              <w:tc>
                <w:tcPr>
                  <w:tcW w:w="366" w:type="pct"/>
                  <w:vAlign w:val="center"/>
                </w:tcPr>
                <w:p w14:paraId="63361646">
                  <w:pPr>
                    <w:pStyle w:val="21"/>
                    <w:spacing w:after="0" w:line="240" w:lineRule="auto"/>
                    <w:jc w:val="center"/>
                    <w:rPr>
                      <w:rFonts w:hint="default" w:ascii="Times New Roman" w:hAnsi="Times New Roman" w:eastAsia="宋体" w:cs="Times New Roman"/>
                      <w:bCs/>
                      <w:color w:val="auto"/>
                      <w:szCs w:val="22"/>
                      <w:lang w:val="en-US" w:eastAsia="zh-CN"/>
                    </w:rPr>
                  </w:pPr>
                  <w:r>
                    <w:rPr>
                      <w:rFonts w:hint="default" w:ascii="Times New Roman" w:hAnsi="Times New Roman" w:eastAsia="宋体" w:cs="Times New Roman"/>
                      <w:bCs/>
                      <w:color w:val="auto"/>
                      <w:szCs w:val="22"/>
                      <w:lang w:val="en-US" w:eastAsia="zh-CN"/>
                    </w:rPr>
                    <w:t>间歇600h</w:t>
                  </w:r>
                </w:p>
              </w:tc>
            </w:tr>
          </w:tbl>
          <w:p w14:paraId="51966837">
            <w:pPr>
              <w:keepNext w:val="0"/>
              <w:keepLines w:val="0"/>
              <w:pageBreakBefore w:val="0"/>
              <w:widowControl/>
              <w:tabs>
                <w:tab w:val="left" w:pos="58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本项目DA002排气筒废气(</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bCs/>
                <w:color w:val="auto"/>
                <w:sz w:val="24"/>
                <w:szCs w:val="24"/>
                <w:lang w:val="en-US" w:eastAsia="zh-CN"/>
              </w:rPr>
              <w:t>)排放浓度、排放速率能够满足</w:t>
            </w:r>
            <w:r>
              <w:rPr>
                <w:rFonts w:hint="default" w:ascii="Times New Roman" w:hAnsi="Times New Roman" w:eastAsia="宋体" w:cs="Times New Roman"/>
                <w:color w:val="auto"/>
                <w:sz w:val="24"/>
                <w:szCs w:val="24"/>
                <w:lang w:val="en-US" w:eastAsia="zh-CN"/>
              </w:rPr>
              <w:t>《印刷工业大气污染物排放标准》（DB32／4438-2022）</w:t>
            </w:r>
            <w:r>
              <w:rPr>
                <w:rFonts w:hint="default" w:ascii="Times New Roman" w:hAnsi="Times New Roman" w:eastAsia="宋体" w:cs="Times New Roman"/>
                <w:bCs/>
                <w:color w:val="auto"/>
                <w:sz w:val="24"/>
                <w:szCs w:val="24"/>
                <w:lang w:val="en-US" w:eastAsia="zh-CN"/>
              </w:rPr>
              <w:t>表1中的相应标准限值要求。</w:t>
            </w:r>
          </w:p>
          <w:p w14:paraId="0C002A8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表4-2  本项目无组织废气产生及排放源强表</w:t>
            </w:r>
          </w:p>
          <w:tbl>
            <w:tblPr>
              <w:tblStyle w:val="27"/>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404"/>
              <w:gridCol w:w="2090"/>
              <w:gridCol w:w="1759"/>
              <w:gridCol w:w="1202"/>
              <w:gridCol w:w="1557"/>
              <w:gridCol w:w="1875"/>
              <w:gridCol w:w="1621"/>
              <w:gridCol w:w="1433"/>
            </w:tblGrid>
            <w:tr w14:paraId="5DA4F7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42" w:type="pct"/>
                  <w:vAlign w:val="center"/>
                </w:tcPr>
                <w:p w14:paraId="283B9599">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工作车间</w:t>
                  </w:r>
                </w:p>
              </w:tc>
              <w:tc>
                <w:tcPr>
                  <w:tcW w:w="807" w:type="pct"/>
                  <w:vAlign w:val="center"/>
                </w:tcPr>
                <w:p w14:paraId="311D88D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产生环节</w:t>
                  </w:r>
                </w:p>
              </w:tc>
              <w:tc>
                <w:tcPr>
                  <w:tcW w:w="679" w:type="pct"/>
                  <w:vAlign w:val="center"/>
                </w:tcPr>
                <w:p w14:paraId="5200AB3C">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污染物名称</w:t>
                  </w:r>
                </w:p>
              </w:tc>
              <w:tc>
                <w:tcPr>
                  <w:tcW w:w="464" w:type="pct"/>
                  <w:vAlign w:val="center"/>
                </w:tcPr>
                <w:p w14:paraId="7DEE6AF1">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产生</w:t>
                  </w:r>
                  <w:r>
                    <w:rPr>
                      <w:rFonts w:hint="default" w:ascii="Times New Roman" w:hAnsi="Times New Roman" w:eastAsia="宋体" w:cs="Times New Roman"/>
                      <w:b/>
                      <w:bCs/>
                      <w:color w:val="auto"/>
                      <w:sz w:val="21"/>
                      <w:szCs w:val="21"/>
                    </w:rPr>
                    <w:t>量t/a</w:t>
                  </w:r>
                </w:p>
              </w:tc>
              <w:tc>
                <w:tcPr>
                  <w:tcW w:w="601" w:type="pct"/>
                  <w:vAlign w:val="center"/>
                </w:tcPr>
                <w:p w14:paraId="6166DA3F">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处理措施</w:t>
                  </w:r>
                </w:p>
              </w:tc>
              <w:tc>
                <w:tcPr>
                  <w:tcW w:w="724" w:type="pct"/>
                  <w:vAlign w:val="center"/>
                </w:tcPr>
                <w:p w14:paraId="34F05600">
                  <w:pPr>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排放量</w:t>
                  </w:r>
                  <w:r>
                    <w:rPr>
                      <w:rFonts w:hint="default" w:ascii="Times New Roman" w:hAnsi="Times New Roman" w:eastAsia="宋体" w:cs="Times New Roman"/>
                      <w:b/>
                      <w:bCs/>
                      <w:color w:val="auto"/>
                      <w:sz w:val="21"/>
                      <w:szCs w:val="21"/>
                    </w:rPr>
                    <w:t>t/a</w:t>
                  </w:r>
                </w:p>
              </w:tc>
              <w:tc>
                <w:tcPr>
                  <w:tcW w:w="626" w:type="pct"/>
                  <w:vAlign w:val="center"/>
                </w:tcPr>
                <w:p w14:paraId="6771E1B2">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面源面积m</w:t>
                  </w:r>
                  <w:r>
                    <w:rPr>
                      <w:rFonts w:hint="default" w:ascii="Times New Roman" w:hAnsi="Times New Roman" w:eastAsia="宋体" w:cs="Times New Roman"/>
                      <w:b/>
                      <w:bCs/>
                      <w:color w:val="auto"/>
                      <w:sz w:val="21"/>
                      <w:szCs w:val="21"/>
                      <w:vertAlign w:val="superscript"/>
                    </w:rPr>
                    <w:t>2</w:t>
                  </w:r>
                </w:p>
              </w:tc>
              <w:tc>
                <w:tcPr>
                  <w:tcW w:w="553" w:type="pct"/>
                  <w:vAlign w:val="center"/>
                </w:tcPr>
                <w:p w14:paraId="454235E8">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面源高度m</w:t>
                  </w:r>
                </w:p>
              </w:tc>
            </w:tr>
            <w:tr w14:paraId="5C8FA8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42" w:type="pct"/>
                  <w:vAlign w:val="center"/>
                </w:tcPr>
                <w:p w14:paraId="55E148F9">
                  <w:pPr>
                    <w:adjustRightInd w:val="0"/>
                    <w:snapToGrid w:val="0"/>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车间</w:t>
                  </w:r>
                </w:p>
              </w:tc>
              <w:tc>
                <w:tcPr>
                  <w:tcW w:w="807" w:type="pct"/>
                  <w:vAlign w:val="center"/>
                </w:tcPr>
                <w:p w14:paraId="4D05270D">
                  <w:pPr>
                    <w:adjustRightInd w:val="0"/>
                    <w:snapToGrid w:val="0"/>
                    <w:jc w:val="center"/>
                    <w:rPr>
                      <w:rFonts w:hint="default" w:ascii="Times New Roman" w:hAnsi="Times New Roman" w:eastAsia="宋体" w:cs="Times New Roman"/>
                      <w:color w:val="auto"/>
                      <w:kern w:val="44"/>
                      <w:sz w:val="21"/>
                      <w:szCs w:val="21"/>
                    </w:rPr>
                  </w:pPr>
                  <w:r>
                    <w:rPr>
                      <w:rFonts w:hint="default" w:ascii="Times New Roman" w:hAnsi="Times New Roman" w:eastAsia="宋体" w:cs="Times New Roman"/>
                      <w:bCs/>
                      <w:color w:val="auto"/>
                      <w:sz w:val="21"/>
                      <w:szCs w:val="21"/>
                      <w:highlight w:val="none"/>
                      <w:lang w:val="en-US" w:eastAsia="zh-CN"/>
                    </w:rPr>
                    <w:t>UV打印、</w:t>
                  </w:r>
                  <w:r>
                    <w:rPr>
                      <w:rFonts w:hint="default" w:ascii="Times New Roman" w:hAnsi="Times New Roman" w:eastAsia="宋体" w:cs="Times New Roman"/>
                      <w:color w:val="auto"/>
                      <w:sz w:val="21"/>
                      <w:szCs w:val="21"/>
                      <w:lang w:val="en-US" w:eastAsia="zh-CN"/>
                    </w:rPr>
                    <w:t>写真</w:t>
                  </w:r>
                  <w:r>
                    <w:rPr>
                      <w:rFonts w:hint="default" w:ascii="Times New Roman" w:hAnsi="Times New Roman" w:eastAsia="宋体" w:cs="Times New Roman"/>
                      <w:bCs/>
                      <w:color w:val="auto"/>
                      <w:kern w:val="2"/>
                      <w:sz w:val="21"/>
                      <w:szCs w:val="21"/>
                      <w:lang w:val="en-US" w:eastAsia="zh-CN" w:bidi="ar-SA"/>
                    </w:rPr>
                    <w:t>打印</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丝网印刷</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kern w:val="2"/>
                      <w:sz w:val="21"/>
                      <w:szCs w:val="21"/>
                      <w:lang w:val="en-US" w:eastAsia="zh-CN" w:bidi="ar-SA"/>
                    </w:rPr>
                    <w:t>喷头擦拭</w:t>
                  </w:r>
                </w:p>
              </w:tc>
              <w:tc>
                <w:tcPr>
                  <w:tcW w:w="679" w:type="pct"/>
                  <w:vAlign w:val="center"/>
                </w:tcPr>
                <w:p w14:paraId="20AC9100">
                  <w:pPr>
                    <w:adjustRightInd w:val="0"/>
                    <w:snapToGrid w:val="0"/>
                    <w:jc w:val="center"/>
                    <w:rPr>
                      <w:rFonts w:hint="default" w:ascii="Times New Roman" w:hAnsi="Times New Roman" w:eastAsia="宋体" w:cs="Times New Roman"/>
                      <w:color w:val="auto"/>
                      <w:kern w:val="44"/>
                      <w:sz w:val="21"/>
                      <w:szCs w:val="21"/>
                      <w:lang w:eastAsia="zh-CN"/>
                    </w:rPr>
                  </w:pPr>
                  <w:r>
                    <w:rPr>
                      <w:rFonts w:hint="default" w:ascii="Times New Roman" w:hAnsi="Times New Roman" w:eastAsia="宋体" w:cs="Times New Roman"/>
                      <w:color w:val="auto"/>
                      <w:kern w:val="44"/>
                      <w:sz w:val="21"/>
                      <w:szCs w:val="21"/>
                      <w:lang w:val="en-US" w:eastAsia="zh-CN"/>
                    </w:rPr>
                    <w:t>非甲烷总烃</w:t>
                  </w:r>
                </w:p>
              </w:tc>
              <w:tc>
                <w:tcPr>
                  <w:tcW w:w="464" w:type="pct"/>
                  <w:vAlign w:val="center"/>
                </w:tcPr>
                <w:p w14:paraId="33CAA2D5">
                  <w:pPr>
                    <w:adjustRightInd w:val="0"/>
                    <w:snapToGrid w:val="0"/>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0.016</w:t>
                  </w:r>
                </w:p>
              </w:tc>
              <w:tc>
                <w:tcPr>
                  <w:tcW w:w="601" w:type="pct"/>
                  <w:vAlign w:val="center"/>
                </w:tcPr>
                <w:p w14:paraId="23CA27EB">
                  <w:pPr>
                    <w:adjustRightInd w:val="0"/>
                    <w:snapToGrid w:val="0"/>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0"/>
                      <w:sz w:val="21"/>
                      <w:szCs w:val="21"/>
                      <w:lang w:val="en-US" w:eastAsia="zh-CN" w:bidi="ar"/>
                    </w:rPr>
                    <w:t>/</w:t>
                  </w:r>
                </w:p>
              </w:tc>
              <w:tc>
                <w:tcPr>
                  <w:tcW w:w="724" w:type="pct"/>
                  <w:vAlign w:val="center"/>
                </w:tcPr>
                <w:p w14:paraId="4C4D40CA">
                  <w:pPr>
                    <w:adjustRightInd w:val="0"/>
                    <w:snapToGrid w:val="0"/>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0.016</w:t>
                  </w:r>
                </w:p>
              </w:tc>
              <w:tc>
                <w:tcPr>
                  <w:tcW w:w="626" w:type="pct"/>
                  <w:vAlign w:val="center"/>
                </w:tcPr>
                <w:p w14:paraId="3E7BC60A">
                  <w:pPr>
                    <w:adjustRightInd w:val="0"/>
                    <w:snapToGrid w:val="0"/>
                    <w:jc w:val="center"/>
                    <w:rPr>
                      <w:rFonts w:hint="default" w:ascii="Times New Roman" w:hAnsi="Times New Roman" w:eastAsia="宋体" w:cs="Times New Roman"/>
                      <w:color w:val="auto"/>
                      <w:kern w:val="44"/>
                      <w:sz w:val="21"/>
                      <w:szCs w:val="21"/>
                      <w:lang w:val="en-US" w:eastAsia="zh-CN" w:bidi="ar-SA"/>
                    </w:rPr>
                  </w:pPr>
                  <w:r>
                    <w:rPr>
                      <w:rFonts w:hint="default" w:ascii="Times New Roman" w:hAnsi="Times New Roman" w:eastAsia="宋体" w:cs="Times New Roman"/>
                      <w:color w:val="auto"/>
                      <w:sz w:val="21"/>
                      <w:szCs w:val="21"/>
                      <w:lang w:val="en-US" w:eastAsia="zh-CN"/>
                    </w:rPr>
                    <w:t>1800</w:t>
                  </w:r>
                </w:p>
              </w:tc>
              <w:tc>
                <w:tcPr>
                  <w:tcW w:w="553" w:type="pct"/>
                  <w:vAlign w:val="center"/>
                </w:tcPr>
                <w:p w14:paraId="01B17825">
                  <w:pPr>
                    <w:adjustRightInd w:val="0"/>
                    <w:snapToGrid w:val="0"/>
                    <w:jc w:val="center"/>
                    <w:rPr>
                      <w:rFonts w:hint="default" w:ascii="Times New Roman" w:hAnsi="Times New Roman" w:eastAsia="宋体" w:cs="Times New Roman"/>
                      <w:color w:val="auto"/>
                      <w:kern w:val="44"/>
                      <w:sz w:val="21"/>
                      <w:szCs w:val="21"/>
                      <w:lang w:val="en-US" w:eastAsia="zh-CN"/>
                    </w:rPr>
                  </w:pPr>
                  <w:r>
                    <w:rPr>
                      <w:rFonts w:hint="default" w:ascii="Times New Roman" w:hAnsi="Times New Roman" w:eastAsia="宋体" w:cs="Times New Roman"/>
                      <w:color w:val="auto"/>
                      <w:kern w:val="44"/>
                      <w:sz w:val="21"/>
                      <w:szCs w:val="21"/>
                      <w:lang w:val="en-US" w:eastAsia="zh-CN"/>
                    </w:rPr>
                    <w:t>10</w:t>
                  </w:r>
                </w:p>
              </w:tc>
            </w:tr>
          </w:tbl>
          <w:p w14:paraId="0F68CD67">
            <w:pPr>
              <w:adjustRightInd w:val="0"/>
              <w:snapToGrid w:val="0"/>
              <w:spacing w:line="500" w:lineRule="exact"/>
              <w:ind w:firstLine="480" w:firstLineChars="200"/>
              <w:jc w:val="both"/>
              <w:rPr>
                <w:rFonts w:hint="default" w:ascii="Times New Roman" w:hAnsi="Times New Roman" w:eastAsia="宋体" w:cs="Times New Roman"/>
                <w:bCs/>
                <w:color w:val="auto"/>
                <w:sz w:val="24"/>
                <w:szCs w:val="24"/>
              </w:rPr>
            </w:pPr>
          </w:p>
          <w:p w14:paraId="5C4DE998">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color w:val="auto"/>
              </w:rPr>
            </w:pPr>
          </w:p>
        </w:tc>
      </w:tr>
    </w:tbl>
    <w:p w14:paraId="31E4C5A7">
      <w:pPr>
        <w:pStyle w:val="22"/>
        <w:spacing w:before="0" w:beforeAutospacing="0" w:after="0" w:afterAutospacing="0"/>
        <w:jc w:val="center"/>
        <w:outlineLvl w:val="0"/>
        <w:rPr>
          <w:rFonts w:hint="default" w:ascii="Times New Roman" w:hAnsi="Times New Roman" w:eastAsia="宋体" w:cs="Times New Roman"/>
          <w:snapToGrid w:val="0"/>
          <w:color w:val="auto"/>
          <w:sz w:val="30"/>
          <w:szCs w:val="30"/>
        </w:rPr>
        <w:sectPr>
          <w:headerReference r:id="rId6" w:type="default"/>
          <w:pgSz w:w="16838" w:h="11906"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tbl>
      <w:tblPr>
        <w:tblStyle w:val="27"/>
        <w:tblpPr w:leftFromText="180" w:rightFromText="180" w:vertAnchor="text" w:tblpXSpec="center" w:tblpY="1"/>
        <w:tblOverlap w:val="never"/>
        <w:tblW w:w="91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425"/>
      </w:tblGrid>
      <w:tr w14:paraId="13608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1" w:hRule="atLeast"/>
        </w:trPr>
        <w:tc>
          <w:tcPr>
            <w:tcW w:w="724" w:type="dxa"/>
            <w:tcMar>
              <w:left w:w="28" w:type="dxa"/>
              <w:right w:w="28" w:type="dxa"/>
            </w:tcMar>
            <w:vAlign w:val="center"/>
          </w:tcPr>
          <w:p w14:paraId="44848EA7">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运营</w:t>
            </w:r>
          </w:p>
          <w:p w14:paraId="34116A84">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期环</w:t>
            </w:r>
          </w:p>
          <w:p w14:paraId="5976957F">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境影</w:t>
            </w:r>
          </w:p>
          <w:p w14:paraId="1B127CA3">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响和</w:t>
            </w:r>
          </w:p>
          <w:p w14:paraId="5B6C2BC1">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保护</w:t>
            </w:r>
          </w:p>
          <w:p w14:paraId="188266A7">
            <w:pPr>
              <w:adjustRightInd w:val="0"/>
              <w:snapToGrid w:val="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措施</w:t>
            </w:r>
          </w:p>
        </w:tc>
        <w:tc>
          <w:tcPr>
            <w:tcW w:w="8425" w:type="dxa"/>
            <w:vAlign w:val="center"/>
          </w:tcPr>
          <w:p w14:paraId="30350E25">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非正常工况</w:t>
            </w:r>
          </w:p>
          <w:p w14:paraId="38B5B40D">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建设项目非正常工况是指生产运行阶段的开、停工及维修或环保设施达不到设计规定指标等工况。</w:t>
            </w:r>
          </w:p>
          <w:p w14:paraId="70C6F374">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设定有开停工管理制度，每班作业开始或结束时严格按照操作规程，基本无废气产生。不正常操作及设备故障的具体原因有意外负荷跳闸，仪表失灵导致操作失控、误操作等，也可因突然断电等引起。发生不正常操作及设备故障时，将视情况及时停产。</w:t>
            </w:r>
          </w:p>
          <w:p w14:paraId="30908E13">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本项目有机废气采用“二级活性炭吸附”装置处理，若活性炭吸附饱和未及时更换，则有机废气处理效率将达不到规定指标。</w:t>
            </w:r>
          </w:p>
          <w:p w14:paraId="2E57391E">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本项目考虑最大风险情况下，废气治理设备出现故障导致有组织废气未经有效处理直接排放</w:t>
            </w:r>
            <w:r>
              <w:rPr>
                <w:rFonts w:hint="default" w:ascii="Times New Roman" w:hAnsi="Times New Roman" w:eastAsia="宋体" w:cs="Times New Roman"/>
                <w:color w:val="auto"/>
                <w:sz w:val="24"/>
                <w:lang w:val="en-US" w:eastAsia="zh-CN"/>
              </w:rPr>
              <w:t>的</w:t>
            </w:r>
            <w:r>
              <w:rPr>
                <w:rFonts w:hint="default" w:ascii="Times New Roman" w:hAnsi="Times New Roman" w:eastAsia="宋体" w:cs="Times New Roman"/>
                <w:color w:val="auto"/>
                <w:sz w:val="24"/>
              </w:rPr>
              <w:t>情况进行分析</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本项目非正常工况时废气源强</w:t>
            </w:r>
            <w:r>
              <w:rPr>
                <w:rFonts w:hint="default" w:ascii="Times New Roman" w:hAnsi="Times New Roman" w:eastAsia="宋体" w:cs="Times New Roman"/>
                <w:color w:val="auto"/>
                <w:sz w:val="24"/>
                <w:lang w:val="en-US" w:eastAsia="zh-CN"/>
              </w:rPr>
              <w:t>如下表</w:t>
            </w:r>
            <w:r>
              <w:rPr>
                <w:rFonts w:hint="default" w:ascii="Times New Roman" w:hAnsi="Times New Roman" w:eastAsia="宋体" w:cs="Times New Roman"/>
                <w:color w:val="auto"/>
                <w:sz w:val="24"/>
              </w:rPr>
              <w:t>所示。</w:t>
            </w:r>
          </w:p>
          <w:p w14:paraId="72776A16">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表4-3  非正常工况时废气排放情况表</w:t>
            </w:r>
          </w:p>
          <w:tbl>
            <w:tblPr>
              <w:tblStyle w:val="28"/>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803"/>
              <w:gridCol w:w="1109"/>
              <w:gridCol w:w="655"/>
              <w:gridCol w:w="633"/>
              <w:gridCol w:w="926"/>
              <w:gridCol w:w="778"/>
              <w:gridCol w:w="658"/>
              <w:gridCol w:w="747"/>
              <w:gridCol w:w="671"/>
              <w:gridCol w:w="1218"/>
            </w:tblGrid>
            <w:tr w14:paraId="458870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490" w:type="pct"/>
                  <w:vMerge w:val="restart"/>
                  <w:vAlign w:val="center"/>
                </w:tcPr>
                <w:p w14:paraId="3DC48AAF">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排气筒编号</w:t>
                  </w:r>
                </w:p>
              </w:tc>
              <w:tc>
                <w:tcPr>
                  <w:tcW w:w="676" w:type="pct"/>
                  <w:vMerge w:val="restart"/>
                  <w:vAlign w:val="center"/>
                </w:tcPr>
                <w:p w14:paraId="6AB81B02">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排放工序</w:t>
                  </w:r>
                </w:p>
              </w:tc>
              <w:tc>
                <w:tcPr>
                  <w:tcW w:w="399" w:type="pct"/>
                  <w:vMerge w:val="restart"/>
                  <w:vAlign w:val="center"/>
                </w:tcPr>
                <w:p w14:paraId="0FB3D419">
                  <w:pPr>
                    <w:widowControl/>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kern w:val="0"/>
                      <w:sz w:val="21"/>
                      <w:szCs w:val="21"/>
                      <w:lang w:bidi="ar"/>
                    </w:rPr>
                    <w:t>非正常排放原因</w:t>
                  </w:r>
                </w:p>
              </w:tc>
              <w:tc>
                <w:tcPr>
                  <w:tcW w:w="386" w:type="pct"/>
                  <w:vMerge w:val="restart"/>
                  <w:vAlign w:val="center"/>
                </w:tcPr>
                <w:p w14:paraId="72E85D4B">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排气量m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/h</w:t>
                  </w:r>
                </w:p>
              </w:tc>
              <w:tc>
                <w:tcPr>
                  <w:tcW w:w="564" w:type="pct"/>
                  <w:vMerge w:val="restart"/>
                  <w:vAlign w:val="center"/>
                </w:tcPr>
                <w:p w14:paraId="5DBE1637">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污染物名称</w:t>
                  </w:r>
                </w:p>
              </w:tc>
              <w:tc>
                <w:tcPr>
                  <w:tcW w:w="875" w:type="pct"/>
                  <w:gridSpan w:val="2"/>
                  <w:vAlign w:val="center"/>
                </w:tcPr>
                <w:p w14:paraId="128F521B">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排放情况</w:t>
                  </w:r>
                </w:p>
              </w:tc>
              <w:tc>
                <w:tcPr>
                  <w:tcW w:w="455" w:type="pct"/>
                  <w:vMerge w:val="restart"/>
                  <w:vAlign w:val="center"/>
                </w:tcPr>
                <w:p w14:paraId="7052AEF1">
                  <w:pPr>
                    <w:widowControl/>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kern w:val="0"/>
                      <w:sz w:val="21"/>
                      <w:szCs w:val="21"/>
                      <w:lang w:bidi="ar"/>
                    </w:rPr>
                    <w:t>单次持续时间/h</w:t>
                  </w:r>
                </w:p>
              </w:tc>
              <w:tc>
                <w:tcPr>
                  <w:tcW w:w="409" w:type="pct"/>
                  <w:vMerge w:val="restart"/>
                  <w:vAlign w:val="center"/>
                </w:tcPr>
                <w:p w14:paraId="5CEF83E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0"/>
                      <w:sz w:val="21"/>
                      <w:szCs w:val="21"/>
                      <w:lang w:bidi="ar"/>
                    </w:rPr>
                    <w:t>年发生频</w:t>
                  </w:r>
                </w:p>
                <w:p w14:paraId="66DD6489">
                  <w:pPr>
                    <w:widowControl/>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kern w:val="0"/>
                      <w:sz w:val="21"/>
                      <w:szCs w:val="21"/>
                      <w:lang w:bidi="ar"/>
                    </w:rPr>
                    <w:t>次/次</w:t>
                  </w:r>
                </w:p>
              </w:tc>
              <w:tc>
                <w:tcPr>
                  <w:tcW w:w="742" w:type="pct"/>
                  <w:vMerge w:val="restart"/>
                  <w:vAlign w:val="center"/>
                </w:tcPr>
                <w:p w14:paraId="61CD7E12">
                  <w:pPr>
                    <w:widowControl/>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kern w:val="0"/>
                      <w:sz w:val="21"/>
                      <w:szCs w:val="21"/>
                      <w:lang w:bidi="ar"/>
                    </w:rPr>
                    <w:t>应对措施</w:t>
                  </w:r>
                </w:p>
              </w:tc>
            </w:tr>
            <w:tr w14:paraId="3C7AB7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490" w:type="pct"/>
                  <w:vMerge w:val="continue"/>
                  <w:vAlign w:val="center"/>
                </w:tcPr>
                <w:p w14:paraId="23B159A9">
                  <w:pPr>
                    <w:adjustRightInd w:val="0"/>
                    <w:snapToGrid w:val="0"/>
                    <w:jc w:val="center"/>
                    <w:rPr>
                      <w:rFonts w:hint="default" w:ascii="Times New Roman" w:hAnsi="Times New Roman" w:eastAsia="宋体" w:cs="Times New Roman"/>
                      <w:b/>
                      <w:color w:val="auto"/>
                      <w:sz w:val="21"/>
                      <w:szCs w:val="21"/>
                    </w:rPr>
                  </w:pPr>
                </w:p>
              </w:tc>
              <w:tc>
                <w:tcPr>
                  <w:tcW w:w="676" w:type="pct"/>
                  <w:vMerge w:val="continue"/>
                  <w:vAlign w:val="center"/>
                </w:tcPr>
                <w:p w14:paraId="21EA3770">
                  <w:pPr>
                    <w:adjustRightInd w:val="0"/>
                    <w:snapToGrid w:val="0"/>
                    <w:jc w:val="center"/>
                    <w:rPr>
                      <w:rFonts w:hint="default" w:ascii="Times New Roman" w:hAnsi="Times New Roman" w:eastAsia="宋体" w:cs="Times New Roman"/>
                      <w:b/>
                      <w:color w:val="auto"/>
                      <w:sz w:val="21"/>
                      <w:szCs w:val="21"/>
                    </w:rPr>
                  </w:pPr>
                </w:p>
              </w:tc>
              <w:tc>
                <w:tcPr>
                  <w:tcW w:w="399" w:type="pct"/>
                  <w:vMerge w:val="continue"/>
                  <w:vAlign w:val="center"/>
                </w:tcPr>
                <w:p w14:paraId="34A16B5D">
                  <w:pPr>
                    <w:widowControl/>
                    <w:jc w:val="center"/>
                    <w:rPr>
                      <w:rFonts w:hint="default" w:ascii="Times New Roman" w:hAnsi="Times New Roman" w:eastAsia="宋体" w:cs="Times New Roman"/>
                      <w:b/>
                      <w:bCs/>
                      <w:color w:val="auto"/>
                      <w:kern w:val="0"/>
                      <w:sz w:val="21"/>
                      <w:szCs w:val="21"/>
                      <w:lang w:bidi="ar"/>
                    </w:rPr>
                  </w:pPr>
                </w:p>
              </w:tc>
              <w:tc>
                <w:tcPr>
                  <w:tcW w:w="386" w:type="pct"/>
                  <w:vMerge w:val="continue"/>
                  <w:vAlign w:val="center"/>
                </w:tcPr>
                <w:p w14:paraId="7FF12A77">
                  <w:pPr>
                    <w:adjustRightInd w:val="0"/>
                    <w:snapToGrid w:val="0"/>
                    <w:jc w:val="center"/>
                    <w:rPr>
                      <w:rFonts w:hint="default" w:ascii="Times New Roman" w:hAnsi="Times New Roman" w:eastAsia="宋体" w:cs="Times New Roman"/>
                      <w:b/>
                      <w:color w:val="auto"/>
                      <w:sz w:val="21"/>
                      <w:szCs w:val="21"/>
                    </w:rPr>
                  </w:pPr>
                </w:p>
              </w:tc>
              <w:tc>
                <w:tcPr>
                  <w:tcW w:w="564" w:type="pct"/>
                  <w:vMerge w:val="continue"/>
                  <w:vAlign w:val="center"/>
                </w:tcPr>
                <w:p w14:paraId="0A1E957D">
                  <w:pPr>
                    <w:adjustRightInd w:val="0"/>
                    <w:snapToGrid w:val="0"/>
                    <w:jc w:val="center"/>
                    <w:rPr>
                      <w:rFonts w:hint="default" w:ascii="Times New Roman" w:hAnsi="Times New Roman" w:eastAsia="宋体" w:cs="Times New Roman"/>
                      <w:b/>
                      <w:color w:val="auto"/>
                      <w:sz w:val="21"/>
                      <w:szCs w:val="21"/>
                    </w:rPr>
                  </w:pPr>
                </w:p>
              </w:tc>
              <w:tc>
                <w:tcPr>
                  <w:tcW w:w="474" w:type="pct"/>
                  <w:vAlign w:val="center"/>
                </w:tcPr>
                <w:p w14:paraId="0EC104C5">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c>
                <w:tcPr>
                  <w:tcW w:w="400" w:type="pct"/>
                  <w:vAlign w:val="center"/>
                </w:tcPr>
                <w:p w14:paraId="52E7A179">
                  <w:pPr>
                    <w:adjustRightInd w:val="0"/>
                    <w:snapToGrid w:val="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455" w:type="pct"/>
                  <w:vMerge w:val="continue"/>
                  <w:vAlign w:val="center"/>
                </w:tcPr>
                <w:p w14:paraId="672C32D7">
                  <w:pPr>
                    <w:adjustRightInd w:val="0"/>
                    <w:snapToGrid w:val="0"/>
                    <w:jc w:val="center"/>
                    <w:rPr>
                      <w:rFonts w:hint="default" w:ascii="Times New Roman" w:hAnsi="Times New Roman" w:eastAsia="宋体" w:cs="Times New Roman"/>
                      <w:b/>
                      <w:color w:val="auto"/>
                      <w:sz w:val="21"/>
                      <w:szCs w:val="21"/>
                    </w:rPr>
                  </w:pPr>
                </w:p>
              </w:tc>
              <w:tc>
                <w:tcPr>
                  <w:tcW w:w="409" w:type="pct"/>
                  <w:vMerge w:val="continue"/>
                  <w:vAlign w:val="center"/>
                </w:tcPr>
                <w:p w14:paraId="78CFC454">
                  <w:pPr>
                    <w:adjustRightInd w:val="0"/>
                    <w:snapToGrid w:val="0"/>
                    <w:jc w:val="center"/>
                    <w:rPr>
                      <w:rFonts w:hint="default" w:ascii="Times New Roman" w:hAnsi="Times New Roman" w:eastAsia="宋体" w:cs="Times New Roman"/>
                      <w:b/>
                      <w:color w:val="auto"/>
                      <w:sz w:val="21"/>
                      <w:szCs w:val="21"/>
                    </w:rPr>
                  </w:pPr>
                </w:p>
              </w:tc>
              <w:tc>
                <w:tcPr>
                  <w:tcW w:w="742" w:type="pct"/>
                  <w:vMerge w:val="continue"/>
                  <w:vAlign w:val="center"/>
                </w:tcPr>
                <w:p w14:paraId="01FDF43B">
                  <w:pPr>
                    <w:adjustRightInd w:val="0"/>
                    <w:snapToGrid w:val="0"/>
                    <w:jc w:val="center"/>
                    <w:rPr>
                      <w:rFonts w:hint="default" w:ascii="Times New Roman" w:hAnsi="Times New Roman" w:eastAsia="宋体" w:cs="Times New Roman"/>
                      <w:b/>
                      <w:color w:val="auto"/>
                      <w:sz w:val="21"/>
                      <w:szCs w:val="21"/>
                    </w:rPr>
                  </w:pPr>
                </w:p>
              </w:tc>
            </w:tr>
            <w:tr w14:paraId="541F9E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490" w:type="pct"/>
                  <w:vAlign w:val="center"/>
                </w:tcPr>
                <w:p w14:paraId="31555501">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DA002</w:t>
                  </w:r>
                </w:p>
              </w:tc>
              <w:tc>
                <w:tcPr>
                  <w:tcW w:w="676" w:type="pct"/>
                  <w:vAlign w:val="center"/>
                </w:tcPr>
                <w:p w14:paraId="75A6FC0D">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highlight w:val="none"/>
                      <w:lang w:val="en-US" w:eastAsia="zh-CN"/>
                    </w:rPr>
                    <w:t>UV打印、</w:t>
                  </w:r>
                  <w:r>
                    <w:rPr>
                      <w:rFonts w:hint="default" w:ascii="Times New Roman" w:hAnsi="Times New Roman" w:eastAsia="宋体" w:cs="Times New Roman"/>
                      <w:color w:val="auto"/>
                      <w:sz w:val="21"/>
                      <w:szCs w:val="21"/>
                      <w:lang w:val="en-US" w:eastAsia="zh-CN"/>
                    </w:rPr>
                    <w:t>写真</w:t>
                  </w:r>
                  <w:r>
                    <w:rPr>
                      <w:rFonts w:hint="default" w:ascii="Times New Roman" w:hAnsi="Times New Roman" w:eastAsia="宋体" w:cs="Times New Roman"/>
                      <w:bCs/>
                      <w:color w:val="auto"/>
                      <w:kern w:val="2"/>
                      <w:sz w:val="21"/>
                      <w:szCs w:val="21"/>
                      <w:lang w:val="en-US" w:eastAsia="zh-CN" w:bidi="ar-SA"/>
                    </w:rPr>
                    <w:t>打印</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lang w:val="en-US" w:eastAsia="zh-CN"/>
                    </w:rPr>
                    <w:t>丝网印刷</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kern w:val="2"/>
                      <w:sz w:val="21"/>
                      <w:szCs w:val="21"/>
                      <w:lang w:val="en-US" w:eastAsia="zh-CN" w:bidi="ar-SA"/>
                    </w:rPr>
                    <w:t>喷头擦拭</w:t>
                  </w:r>
                </w:p>
              </w:tc>
              <w:tc>
                <w:tcPr>
                  <w:tcW w:w="399" w:type="pct"/>
                  <w:vAlign w:val="center"/>
                </w:tcPr>
                <w:p w14:paraId="43BF73BD">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废气处理设施故障</w:t>
                  </w:r>
                </w:p>
              </w:tc>
              <w:tc>
                <w:tcPr>
                  <w:tcW w:w="386" w:type="pct"/>
                  <w:vAlign w:val="center"/>
                </w:tcPr>
                <w:p w14:paraId="13478E42">
                  <w:pPr>
                    <w:pStyle w:val="21"/>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14000</w:t>
                  </w:r>
                </w:p>
              </w:tc>
              <w:tc>
                <w:tcPr>
                  <w:tcW w:w="564" w:type="pct"/>
                  <w:vAlign w:val="center"/>
                </w:tcPr>
                <w:p w14:paraId="2956EDAF">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lang w:val="en-US" w:eastAsia="zh-CN" w:bidi="ar"/>
                    </w:rPr>
                    <w:t>非甲烷总烃</w:t>
                  </w:r>
                </w:p>
              </w:tc>
              <w:tc>
                <w:tcPr>
                  <w:tcW w:w="778" w:type="dxa"/>
                  <w:vAlign w:val="center"/>
                </w:tcPr>
                <w:p w14:paraId="1D807F52">
                  <w:pPr>
                    <w:pStyle w:val="21"/>
                    <w:spacing w:after="0" w:line="240" w:lineRule="auto"/>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2"/>
                      <w:lang w:val="en-US" w:eastAsia="zh-CN"/>
                    </w:rPr>
                    <w:t>37.14</w:t>
                  </w:r>
                </w:p>
              </w:tc>
              <w:tc>
                <w:tcPr>
                  <w:tcW w:w="658" w:type="dxa"/>
                  <w:vAlign w:val="center"/>
                </w:tcPr>
                <w:p w14:paraId="1530E495">
                  <w:pPr>
                    <w:pStyle w:val="21"/>
                    <w:spacing w:after="0" w:line="240" w:lineRule="auto"/>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Cs w:val="22"/>
                      <w:lang w:val="en-US" w:eastAsia="zh-CN"/>
                    </w:rPr>
                    <w:t>0.52</w:t>
                  </w:r>
                </w:p>
              </w:tc>
              <w:tc>
                <w:tcPr>
                  <w:tcW w:w="455" w:type="pct"/>
                  <w:vAlign w:val="center"/>
                </w:tcPr>
                <w:p w14:paraId="62842721">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w:t>
                  </w:r>
                </w:p>
              </w:tc>
              <w:tc>
                <w:tcPr>
                  <w:tcW w:w="409" w:type="pct"/>
                  <w:vAlign w:val="center"/>
                </w:tcPr>
                <w:p w14:paraId="79FC9A19">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≤1</w:t>
                  </w:r>
                </w:p>
              </w:tc>
              <w:tc>
                <w:tcPr>
                  <w:tcW w:w="742" w:type="pct"/>
                  <w:vAlign w:val="center"/>
                </w:tcPr>
                <w:p w14:paraId="40432311">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加强维护、选用可靠设备、废气日常监测与记录，加强管理</w:t>
                  </w:r>
                </w:p>
              </w:tc>
            </w:tr>
          </w:tbl>
          <w:p w14:paraId="00C0C4A9">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5、废气</w:t>
            </w:r>
            <w:r>
              <w:rPr>
                <w:rFonts w:hint="default" w:ascii="Times New Roman" w:hAnsi="Times New Roman" w:eastAsia="宋体" w:cs="Times New Roman"/>
                <w:b/>
                <w:bCs/>
                <w:color w:val="auto"/>
                <w:sz w:val="24"/>
              </w:rPr>
              <w:t>排放口基本情况</w:t>
            </w:r>
            <w:r>
              <w:rPr>
                <w:rFonts w:hint="default" w:ascii="Times New Roman" w:hAnsi="Times New Roman" w:eastAsia="宋体" w:cs="Times New Roman"/>
                <w:b/>
                <w:bCs/>
                <w:color w:val="auto"/>
                <w:sz w:val="24"/>
                <w:lang w:val="en-US" w:eastAsia="zh-CN"/>
              </w:rPr>
              <w:t>及监测方案</w:t>
            </w:r>
          </w:p>
          <w:p w14:paraId="35D38E86">
            <w:pPr>
              <w:adjustRightInd w:val="0"/>
              <w:snapToGrid w:val="0"/>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本项目废气排放口基本情况见表4-4，监测方案见表4-5。</w:t>
            </w:r>
          </w:p>
          <w:p w14:paraId="2C4D66AE">
            <w:pPr>
              <w:keepNext w:val="0"/>
              <w:keepLines w:val="0"/>
              <w:pageBreakBefore w:val="0"/>
              <w:widowControl w:val="0"/>
              <w:kinsoku/>
              <w:wordWrap/>
              <w:overflowPunct/>
              <w:topLinePunct w:val="0"/>
              <w:autoSpaceDE/>
              <w:autoSpaceDN/>
              <w:bidi w:val="0"/>
              <w:snapToGrid w:val="0"/>
              <w:spacing w:line="500" w:lineRule="exact"/>
              <w:jc w:val="center"/>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Cs w:val="21"/>
              </w:rPr>
              <w:t>表4-</w:t>
            </w:r>
            <w:r>
              <w:rPr>
                <w:rFonts w:hint="default" w:ascii="Times New Roman" w:hAnsi="Times New Roman" w:eastAsia="宋体" w:cs="Times New Roman"/>
                <w:b/>
                <w:color w:val="auto"/>
                <w:szCs w:val="21"/>
                <w:lang w:val="en-US" w:eastAsia="zh-CN"/>
              </w:rPr>
              <w:t>4</w:t>
            </w:r>
            <w:r>
              <w:rPr>
                <w:rFonts w:hint="default" w:ascii="Times New Roman" w:hAnsi="Times New Roman" w:eastAsia="宋体" w:cs="Times New Roman"/>
                <w:b/>
                <w:color w:val="auto"/>
                <w:szCs w:val="21"/>
              </w:rPr>
              <w:t xml:space="preserve"> </w:t>
            </w:r>
            <w:r>
              <w:rPr>
                <w:rFonts w:hint="default" w:ascii="Times New Roman" w:hAnsi="Times New Roman" w:eastAsia="宋体" w:cs="Times New Roman"/>
                <w:b/>
                <w:color w:val="auto"/>
                <w:szCs w:val="21"/>
                <w:lang w:val="en-US" w:eastAsia="zh-CN"/>
              </w:rPr>
              <w:t xml:space="preserve"> </w:t>
            </w:r>
            <w:r>
              <w:rPr>
                <w:rFonts w:hint="default" w:ascii="Times New Roman" w:hAnsi="Times New Roman" w:eastAsia="宋体" w:cs="Times New Roman"/>
                <w:b/>
                <w:color w:val="auto"/>
                <w:szCs w:val="21"/>
              </w:rPr>
              <w:t>排放口基本情况表</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75"/>
              <w:gridCol w:w="266"/>
              <w:gridCol w:w="1046"/>
              <w:gridCol w:w="949"/>
              <w:gridCol w:w="427"/>
              <w:gridCol w:w="560"/>
              <w:gridCol w:w="596"/>
              <w:gridCol w:w="792"/>
              <w:gridCol w:w="964"/>
              <w:gridCol w:w="964"/>
              <w:gridCol w:w="970"/>
            </w:tblGrid>
            <w:tr w14:paraId="16DF55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11" w:type="pct"/>
                  <w:vMerge w:val="restart"/>
                  <w:vAlign w:val="center"/>
                </w:tcPr>
                <w:p w14:paraId="1F09BADE">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排气筒编号</w:t>
                  </w:r>
                </w:p>
              </w:tc>
              <w:tc>
                <w:tcPr>
                  <w:tcW w:w="162" w:type="pct"/>
                  <w:vMerge w:val="restart"/>
                  <w:vAlign w:val="center"/>
                </w:tcPr>
                <w:p w14:paraId="2563627C">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类型</w:t>
                  </w:r>
                </w:p>
              </w:tc>
              <w:tc>
                <w:tcPr>
                  <w:tcW w:w="1215" w:type="pct"/>
                  <w:gridSpan w:val="2"/>
                  <w:vAlign w:val="center"/>
                </w:tcPr>
                <w:p w14:paraId="4655EC4C">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地理坐标</w:t>
                  </w:r>
                </w:p>
              </w:tc>
              <w:tc>
                <w:tcPr>
                  <w:tcW w:w="260" w:type="pct"/>
                  <w:vMerge w:val="restart"/>
                  <w:vAlign w:val="center"/>
                </w:tcPr>
                <w:p w14:paraId="1DEB06A9">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排气筒高度m</w:t>
                  </w:r>
                </w:p>
              </w:tc>
              <w:tc>
                <w:tcPr>
                  <w:tcW w:w="341" w:type="pct"/>
                  <w:vMerge w:val="restart"/>
                  <w:vAlign w:val="center"/>
                </w:tcPr>
                <w:p w14:paraId="21F19D38">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出口内径m</w:t>
                  </w:r>
                </w:p>
              </w:tc>
              <w:tc>
                <w:tcPr>
                  <w:tcW w:w="363" w:type="pct"/>
                  <w:vMerge w:val="restart"/>
                  <w:vAlign w:val="center"/>
                </w:tcPr>
                <w:p w14:paraId="466DA55A">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排气温度℃</w:t>
                  </w:r>
                </w:p>
              </w:tc>
              <w:tc>
                <w:tcPr>
                  <w:tcW w:w="482" w:type="pct"/>
                  <w:vMerge w:val="restart"/>
                  <w:vAlign w:val="center"/>
                </w:tcPr>
                <w:p w14:paraId="5479E70C">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bCs/>
                      <w:color w:val="auto"/>
                      <w:szCs w:val="21"/>
                    </w:rPr>
                    <w:t>污染物类型</w:t>
                  </w:r>
                </w:p>
              </w:tc>
              <w:tc>
                <w:tcPr>
                  <w:tcW w:w="1764" w:type="pct"/>
                  <w:gridSpan w:val="3"/>
                  <w:vAlign w:val="center"/>
                </w:tcPr>
                <w:p w14:paraId="5FF9192C">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排放标准</w:t>
                  </w:r>
                </w:p>
              </w:tc>
            </w:tr>
            <w:tr w14:paraId="0BFAA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11" w:type="pct"/>
                  <w:vMerge w:val="continue"/>
                  <w:vAlign w:val="center"/>
                </w:tcPr>
                <w:p w14:paraId="5A18313C">
                  <w:pPr>
                    <w:pStyle w:val="45"/>
                    <w:rPr>
                      <w:rFonts w:hint="default" w:ascii="Times New Roman" w:hAnsi="Times New Roman" w:eastAsia="宋体" w:cs="Times New Roman"/>
                      <w:b/>
                      <w:color w:val="auto"/>
                      <w:sz w:val="21"/>
                      <w:szCs w:val="21"/>
                    </w:rPr>
                  </w:pPr>
                </w:p>
              </w:tc>
              <w:tc>
                <w:tcPr>
                  <w:tcW w:w="162" w:type="pct"/>
                  <w:vMerge w:val="continue"/>
                  <w:vAlign w:val="center"/>
                </w:tcPr>
                <w:p w14:paraId="297E334B">
                  <w:pPr>
                    <w:pStyle w:val="45"/>
                    <w:rPr>
                      <w:rFonts w:hint="default" w:ascii="Times New Roman" w:hAnsi="Times New Roman" w:eastAsia="宋体" w:cs="Times New Roman"/>
                      <w:b/>
                      <w:color w:val="auto"/>
                      <w:sz w:val="21"/>
                      <w:szCs w:val="21"/>
                    </w:rPr>
                  </w:pPr>
                </w:p>
              </w:tc>
              <w:tc>
                <w:tcPr>
                  <w:tcW w:w="637" w:type="pct"/>
                  <w:vAlign w:val="center"/>
                </w:tcPr>
                <w:p w14:paraId="0250B959">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经度</w:t>
                  </w:r>
                </w:p>
              </w:tc>
              <w:tc>
                <w:tcPr>
                  <w:tcW w:w="578" w:type="pct"/>
                  <w:vAlign w:val="center"/>
                </w:tcPr>
                <w:p w14:paraId="65D5D1E8">
                  <w:pPr>
                    <w:pStyle w:val="45"/>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纬度</w:t>
                  </w:r>
                </w:p>
              </w:tc>
              <w:tc>
                <w:tcPr>
                  <w:tcW w:w="260" w:type="pct"/>
                  <w:vMerge w:val="continue"/>
                  <w:vAlign w:val="center"/>
                </w:tcPr>
                <w:p w14:paraId="56968347">
                  <w:pPr>
                    <w:pStyle w:val="45"/>
                    <w:rPr>
                      <w:rFonts w:hint="default" w:ascii="Times New Roman" w:hAnsi="Times New Roman" w:eastAsia="宋体" w:cs="Times New Roman"/>
                      <w:b/>
                      <w:color w:val="auto"/>
                      <w:sz w:val="21"/>
                      <w:szCs w:val="21"/>
                    </w:rPr>
                  </w:pPr>
                </w:p>
              </w:tc>
              <w:tc>
                <w:tcPr>
                  <w:tcW w:w="341" w:type="pct"/>
                  <w:vMerge w:val="continue"/>
                  <w:vAlign w:val="center"/>
                </w:tcPr>
                <w:p w14:paraId="64865BE4">
                  <w:pPr>
                    <w:pStyle w:val="45"/>
                    <w:rPr>
                      <w:rFonts w:hint="default" w:ascii="Times New Roman" w:hAnsi="Times New Roman" w:eastAsia="宋体" w:cs="Times New Roman"/>
                      <w:b/>
                      <w:color w:val="auto"/>
                      <w:sz w:val="21"/>
                      <w:szCs w:val="21"/>
                    </w:rPr>
                  </w:pPr>
                </w:p>
              </w:tc>
              <w:tc>
                <w:tcPr>
                  <w:tcW w:w="363" w:type="pct"/>
                  <w:vMerge w:val="continue"/>
                  <w:vAlign w:val="center"/>
                </w:tcPr>
                <w:p w14:paraId="5910E308">
                  <w:pPr>
                    <w:pStyle w:val="45"/>
                    <w:rPr>
                      <w:rFonts w:hint="default" w:ascii="Times New Roman" w:hAnsi="Times New Roman" w:eastAsia="宋体" w:cs="Times New Roman"/>
                      <w:b/>
                      <w:color w:val="auto"/>
                      <w:sz w:val="21"/>
                      <w:szCs w:val="21"/>
                    </w:rPr>
                  </w:pPr>
                </w:p>
              </w:tc>
              <w:tc>
                <w:tcPr>
                  <w:tcW w:w="482" w:type="pct"/>
                  <w:vMerge w:val="continue"/>
                  <w:vAlign w:val="center"/>
                </w:tcPr>
                <w:p w14:paraId="6D4676FB">
                  <w:pPr>
                    <w:pStyle w:val="45"/>
                    <w:rPr>
                      <w:rFonts w:hint="default" w:ascii="Times New Roman" w:hAnsi="Times New Roman" w:eastAsia="宋体" w:cs="Times New Roman"/>
                      <w:b/>
                      <w:color w:val="auto"/>
                      <w:szCs w:val="21"/>
                    </w:rPr>
                  </w:pPr>
                </w:p>
              </w:tc>
              <w:tc>
                <w:tcPr>
                  <w:tcW w:w="587" w:type="pct"/>
                  <w:vAlign w:val="center"/>
                </w:tcPr>
                <w:p w14:paraId="3468D713">
                  <w:pPr>
                    <w:tabs>
                      <w:tab w:val="left" w:pos="1418"/>
                    </w:tabs>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标准名称</w:t>
                  </w:r>
                </w:p>
              </w:tc>
              <w:tc>
                <w:tcPr>
                  <w:tcW w:w="587" w:type="pct"/>
                  <w:vAlign w:val="center"/>
                </w:tcPr>
                <w:p w14:paraId="6219838E">
                  <w:pPr>
                    <w:tabs>
                      <w:tab w:val="left" w:pos="1418"/>
                    </w:tabs>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浓度限值mg/m</w:t>
                  </w:r>
                  <w:r>
                    <w:rPr>
                      <w:rFonts w:hint="default" w:ascii="Times New Roman" w:hAnsi="Times New Roman" w:eastAsia="宋体" w:cs="Times New Roman"/>
                      <w:b/>
                      <w:color w:val="auto"/>
                      <w:vertAlign w:val="superscript"/>
                    </w:rPr>
                    <w:t>3</w:t>
                  </w:r>
                </w:p>
              </w:tc>
              <w:tc>
                <w:tcPr>
                  <w:tcW w:w="588" w:type="pct"/>
                  <w:vAlign w:val="center"/>
                </w:tcPr>
                <w:p w14:paraId="6BBD8546">
                  <w:pPr>
                    <w:tabs>
                      <w:tab w:val="left" w:pos="1418"/>
                    </w:tabs>
                    <w:jc w:val="center"/>
                    <w:rPr>
                      <w:rFonts w:hint="default" w:ascii="Times New Roman" w:hAnsi="Times New Roman" w:eastAsia="宋体" w:cs="Times New Roman"/>
                      <w:b/>
                      <w:color w:val="auto"/>
                      <w:lang w:val="en-US" w:eastAsia="zh-CN"/>
                    </w:rPr>
                  </w:pPr>
                  <w:r>
                    <w:rPr>
                      <w:rFonts w:hint="default" w:ascii="Times New Roman" w:hAnsi="Times New Roman" w:eastAsia="宋体" w:cs="Times New Roman"/>
                      <w:b/>
                      <w:color w:val="auto"/>
                      <w:lang w:val="en-US" w:eastAsia="zh-CN"/>
                    </w:rPr>
                    <w:t>排放速率kg/h</w:t>
                  </w:r>
                </w:p>
              </w:tc>
            </w:tr>
            <w:tr w14:paraId="384E7A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411" w:type="pct"/>
                  <w:vAlign w:val="center"/>
                </w:tcPr>
                <w:p w14:paraId="39799DFB">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DA002</w:t>
                  </w:r>
                </w:p>
              </w:tc>
              <w:tc>
                <w:tcPr>
                  <w:tcW w:w="162" w:type="pct"/>
                  <w:vAlign w:val="center"/>
                </w:tcPr>
                <w:p w14:paraId="1412BB16">
                  <w:pPr>
                    <w:pStyle w:val="4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637" w:type="pct"/>
                  <w:vAlign w:val="center"/>
                </w:tcPr>
                <w:p w14:paraId="10C55B73">
                  <w:pPr>
                    <w:pStyle w:val="6"/>
                    <w:adjustRightInd w:val="0"/>
                    <w:snapToGrid w:val="0"/>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119.656940</w:t>
                  </w:r>
                </w:p>
              </w:tc>
              <w:tc>
                <w:tcPr>
                  <w:tcW w:w="578" w:type="pct"/>
                  <w:vAlign w:val="center"/>
                </w:tcPr>
                <w:p w14:paraId="3D009BA6">
                  <w:pPr>
                    <w:pStyle w:val="45"/>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31.752995</w:t>
                  </w:r>
                </w:p>
              </w:tc>
              <w:tc>
                <w:tcPr>
                  <w:tcW w:w="260" w:type="pct"/>
                  <w:vAlign w:val="center"/>
                </w:tcPr>
                <w:p w14:paraId="1FBD56DB">
                  <w:pPr>
                    <w:pStyle w:val="4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341" w:type="pct"/>
                  <w:vAlign w:val="center"/>
                </w:tcPr>
                <w:p w14:paraId="791BA49F">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0.8</w:t>
                  </w:r>
                </w:p>
              </w:tc>
              <w:tc>
                <w:tcPr>
                  <w:tcW w:w="363" w:type="pct"/>
                  <w:vAlign w:val="center"/>
                </w:tcPr>
                <w:p w14:paraId="190B63DC">
                  <w:pPr>
                    <w:pStyle w:val="4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482" w:type="pct"/>
                  <w:vAlign w:val="center"/>
                </w:tcPr>
                <w:p w14:paraId="096A08A4">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kern w:val="0"/>
                      <w:sz w:val="21"/>
                      <w:szCs w:val="21"/>
                      <w:lang w:val="en-US" w:eastAsia="zh-CN" w:bidi="ar"/>
                    </w:rPr>
                    <w:t>非甲烷总烃</w:t>
                  </w:r>
                </w:p>
              </w:tc>
              <w:tc>
                <w:tcPr>
                  <w:tcW w:w="587" w:type="pct"/>
                  <w:vAlign w:val="center"/>
                </w:tcPr>
                <w:p w14:paraId="6928075C">
                  <w:pPr>
                    <w:pStyle w:val="6"/>
                    <w:adjustRightInd w:val="0"/>
                    <w:snapToGrid w:val="0"/>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DB32／4438-2022</w:t>
                  </w:r>
                </w:p>
              </w:tc>
              <w:tc>
                <w:tcPr>
                  <w:tcW w:w="587" w:type="pct"/>
                  <w:vAlign w:val="center"/>
                </w:tcPr>
                <w:p w14:paraId="1581032C">
                  <w:pPr>
                    <w:pStyle w:val="6"/>
                    <w:adjustRightInd w:val="0"/>
                    <w:snapToGrid w:val="0"/>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w:t>
                  </w:r>
                </w:p>
              </w:tc>
              <w:tc>
                <w:tcPr>
                  <w:tcW w:w="588" w:type="pct"/>
                  <w:vAlign w:val="center"/>
                </w:tcPr>
                <w:p w14:paraId="4F07DA02">
                  <w:pPr>
                    <w:pStyle w:val="6"/>
                    <w:adjustRightInd w:val="0"/>
                    <w:snapToGrid w:val="0"/>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r>
          </w:tbl>
          <w:p w14:paraId="204C1FDE">
            <w:pPr>
              <w:adjustRightInd w:val="0"/>
              <w:snapToGrid w:val="0"/>
              <w:spacing w:line="50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参照《</w:t>
            </w:r>
            <w:r>
              <w:rPr>
                <w:rFonts w:hint="default" w:ascii="Times New Roman" w:hAnsi="Times New Roman" w:eastAsia="宋体" w:cs="Times New Roman"/>
                <w:color w:val="auto"/>
                <w:sz w:val="24"/>
                <w:szCs w:val="24"/>
              </w:rPr>
              <w:t>排污单位自行监测技术指南 印刷工业</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rPr>
              <w:t>（HJ 1246—2022）</w:t>
            </w:r>
            <w:r>
              <w:rPr>
                <w:rFonts w:hint="default" w:ascii="Times New Roman" w:hAnsi="Times New Roman" w:eastAsia="宋体" w:cs="Times New Roman"/>
                <w:color w:val="auto"/>
                <w:sz w:val="24"/>
                <w:szCs w:val="24"/>
                <w:highlight w:val="none"/>
                <w:lang w:val="en-US" w:eastAsia="zh-CN"/>
              </w:rPr>
              <w:t>中相关要</w:t>
            </w:r>
            <w:r>
              <w:rPr>
                <w:rFonts w:hint="default" w:ascii="Times New Roman" w:hAnsi="Times New Roman" w:eastAsia="宋体" w:cs="Times New Roman"/>
                <w:color w:val="auto"/>
                <w:sz w:val="24"/>
                <w:highlight w:val="none"/>
                <w:lang w:val="en-US" w:eastAsia="zh-CN"/>
              </w:rPr>
              <w:t>求。</w:t>
            </w:r>
          </w:p>
          <w:p w14:paraId="412FFC9A">
            <w:pPr>
              <w:keepNext w:val="0"/>
              <w:keepLines w:val="0"/>
              <w:pageBreakBefore w:val="0"/>
              <w:widowControl w:val="0"/>
              <w:kinsoku/>
              <w:wordWrap/>
              <w:overflowPunct/>
              <w:topLinePunct w:val="0"/>
              <w:autoSpaceDE/>
              <w:autoSpaceDN/>
              <w:bidi w:val="0"/>
              <w:snapToGrid w:val="0"/>
              <w:spacing w:line="500" w:lineRule="exact"/>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表4-</w:t>
            </w:r>
            <w:r>
              <w:rPr>
                <w:rFonts w:hint="default" w:ascii="Times New Roman" w:hAnsi="Times New Roman" w:eastAsia="宋体" w:cs="Times New Roman"/>
                <w:b/>
                <w:color w:val="auto"/>
                <w:sz w:val="21"/>
                <w:szCs w:val="21"/>
                <w:highlight w:val="none"/>
                <w:lang w:val="en-US" w:eastAsia="zh-CN"/>
              </w:rPr>
              <w:t>6 本项目</w:t>
            </w:r>
            <w:r>
              <w:rPr>
                <w:rFonts w:hint="default" w:ascii="Times New Roman" w:hAnsi="Times New Roman" w:eastAsia="宋体" w:cs="Times New Roman"/>
                <w:b/>
                <w:color w:val="auto"/>
                <w:sz w:val="21"/>
                <w:szCs w:val="21"/>
                <w:highlight w:val="none"/>
              </w:rPr>
              <w:t>废气</w:t>
            </w:r>
            <w:r>
              <w:rPr>
                <w:rFonts w:hint="default" w:ascii="Times New Roman" w:hAnsi="Times New Roman" w:eastAsia="宋体" w:cs="Times New Roman"/>
                <w:b/>
                <w:color w:val="auto"/>
                <w:sz w:val="21"/>
                <w:szCs w:val="21"/>
                <w:highlight w:val="none"/>
                <w:lang w:val="en-US" w:eastAsia="zh-CN"/>
              </w:rPr>
              <w:t>自行</w:t>
            </w:r>
            <w:r>
              <w:rPr>
                <w:rFonts w:hint="default" w:ascii="Times New Roman" w:hAnsi="Times New Roman" w:eastAsia="宋体" w:cs="Times New Roman"/>
                <w:b/>
                <w:color w:val="auto"/>
                <w:sz w:val="21"/>
                <w:szCs w:val="21"/>
                <w:highlight w:val="none"/>
              </w:rPr>
              <w:t>监测</w:t>
            </w:r>
            <w:r>
              <w:rPr>
                <w:rFonts w:hint="default" w:ascii="Times New Roman" w:hAnsi="Times New Roman" w:eastAsia="宋体" w:cs="Times New Roman"/>
                <w:b/>
                <w:color w:val="auto"/>
                <w:sz w:val="21"/>
                <w:szCs w:val="21"/>
                <w:highlight w:val="none"/>
                <w:lang w:val="en-US" w:eastAsia="zh-CN"/>
              </w:rPr>
              <w:t>方案</w:t>
            </w:r>
          </w:p>
          <w:tbl>
            <w:tblPr>
              <w:tblStyle w:val="27"/>
              <w:tblW w:w="4842"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28" w:type="dxa"/>
                <w:left w:w="79" w:type="dxa"/>
                <w:bottom w:w="28" w:type="dxa"/>
                <w:right w:w="79" w:type="dxa"/>
              </w:tblCellMar>
            </w:tblPr>
            <w:tblGrid>
              <w:gridCol w:w="1023"/>
              <w:gridCol w:w="2644"/>
              <w:gridCol w:w="3030"/>
              <w:gridCol w:w="1253"/>
            </w:tblGrid>
            <w:tr w14:paraId="57EC10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79" w:type="dxa"/>
                  <w:bottom w:w="28" w:type="dxa"/>
                  <w:right w:w="79" w:type="dxa"/>
                </w:tblCellMar>
              </w:tblPrEx>
              <w:trPr>
                <w:trHeight w:val="340" w:hRule="atLeast"/>
                <w:jc w:val="center"/>
              </w:trPr>
              <w:tc>
                <w:tcPr>
                  <w:tcW w:w="643" w:type="pct"/>
                  <w:vAlign w:val="center"/>
                </w:tcPr>
                <w:p w14:paraId="4AA4E4D3">
                  <w:pPr>
                    <w:adjustRightInd w:val="0"/>
                    <w:snapToGrid w:val="0"/>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b/>
                      <w:color w:val="auto"/>
                      <w:szCs w:val="21"/>
                      <w:lang w:val="en-US" w:eastAsia="zh-CN"/>
                    </w:rPr>
                    <w:t>类别</w:t>
                  </w:r>
                </w:p>
              </w:tc>
              <w:tc>
                <w:tcPr>
                  <w:tcW w:w="1662" w:type="pct"/>
                  <w:vAlign w:val="center"/>
                </w:tcPr>
                <w:p w14:paraId="2BDC3B95">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监测点位</w:t>
                  </w:r>
                </w:p>
              </w:tc>
              <w:tc>
                <w:tcPr>
                  <w:tcW w:w="1905" w:type="pct"/>
                  <w:vAlign w:val="center"/>
                </w:tcPr>
                <w:p w14:paraId="4EAC5BE2">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监测项目</w:t>
                  </w:r>
                </w:p>
              </w:tc>
              <w:tc>
                <w:tcPr>
                  <w:tcW w:w="788" w:type="pct"/>
                  <w:vAlign w:val="center"/>
                </w:tcPr>
                <w:p w14:paraId="43DD58B6">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监测频率</w:t>
                  </w:r>
                </w:p>
              </w:tc>
            </w:tr>
            <w:tr w14:paraId="44744F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79" w:type="dxa"/>
                  <w:bottom w:w="28" w:type="dxa"/>
                  <w:right w:w="79" w:type="dxa"/>
                </w:tblCellMar>
              </w:tblPrEx>
              <w:trPr>
                <w:trHeight w:val="340" w:hRule="atLeast"/>
                <w:jc w:val="center"/>
              </w:trPr>
              <w:tc>
                <w:tcPr>
                  <w:tcW w:w="643" w:type="pct"/>
                  <w:vAlign w:val="center"/>
                </w:tcPr>
                <w:p w14:paraId="4432C7CC">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有组织</w:t>
                  </w:r>
                </w:p>
              </w:tc>
              <w:tc>
                <w:tcPr>
                  <w:tcW w:w="1662" w:type="pct"/>
                  <w:vAlign w:val="center"/>
                </w:tcPr>
                <w:p w14:paraId="29FB9E4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DA002</w:t>
                  </w:r>
                </w:p>
              </w:tc>
              <w:tc>
                <w:tcPr>
                  <w:tcW w:w="1905" w:type="pct"/>
                  <w:vAlign w:val="center"/>
                </w:tcPr>
                <w:p w14:paraId="3C8A9DE3">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 w:val="21"/>
                      <w:szCs w:val="21"/>
                      <w:lang w:val="en-US" w:eastAsia="zh-CN" w:bidi="ar"/>
                    </w:rPr>
                    <w:t>非甲烷总烃</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甲苯</w:t>
                  </w:r>
                </w:p>
              </w:tc>
              <w:tc>
                <w:tcPr>
                  <w:tcW w:w="788" w:type="pct"/>
                  <w:vAlign w:val="center"/>
                </w:tcPr>
                <w:p w14:paraId="6306EB39">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1次</w:t>
                  </w:r>
                  <w:r>
                    <w:rPr>
                      <w:rFonts w:hint="default" w:ascii="Times New Roman" w:hAnsi="Times New Roman" w:eastAsia="宋体" w:cs="Times New Roman"/>
                      <w:color w:val="auto"/>
                      <w:szCs w:val="21"/>
                      <w:lang w:val="en-US" w:eastAsia="zh-CN"/>
                    </w:rPr>
                    <w:t>/年</w:t>
                  </w:r>
                </w:p>
              </w:tc>
            </w:tr>
            <w:tr w14:paraId="4D722A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79" w:type="dxa"/>
                  <w:bottom w:w="28" w:type="dxa"/>
                  <w:right w:w="79" w:type="dxa"/>
                </w:tblCellMar>
              </w:tblPrEx>
              <w:trPr>
                <w:trHeight w:val="340" w:hRule="atLeast"/>
                <w:jc w:val="center"/>
              </w:trPr>
              <w:tc>
                <w:tcPr>
                  <w:tcW w:w="643" w:type="pct"/>
                  <w:vMerge w:val="restart"/>
                  <w:vAlign w:val="center"/>
                </w:tcPr>
                <w:p w14:paraId="57DCE71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无组织</w:t>
                  </w:r>
                </w:p>
              </w:tc>
              <w:tc>
                <w:tcPr>
                  <w:tcW w:w="1662" w:type="pct"/>
                  <w:vAlign w:val="center"/>
                </w:tcPr>
                <w:p w14:paraId="2185F2C2">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厂界外</w:t>
                  </w:r>
                </w:p>
              </w:tc>
              <w:tc>
                <w:tcPr>
                  <w:tcW w:w="1905" w:type="pct"/>
                  <w:vAlign w:val="center"/>
                </w:tcPr>
                <w:p w14:paraId="022F0512">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非甲烷总烃、甲苯</w:t>
                  </w:r>
                </w:p>
              </w:tc>
              <w:tc>
                <w:tcPr>
                  <w:tcW w:w="788" w:type="pct"/>
                  <w:vAlign w:val="center"/>
                </w:tcPr>
                <w:p w14:paraId="19C2997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1次</w:t>
                  </w:r>
                  <w:r>
                    <w:rPr>
                      <w:rFonts w:hint="default" w:ascii="Times New Roman" w:hAnsi="Times New Roman" w:eastAsia="宋体" w:cs="Times New Roman"/>
                      <w:color w:val="auto"/>
                      <w:szCs w:val="21"/>
                      <w:lang w:val="en-US" w:eastAsia="zh-CN"/>
                    </w:rPr>
                    <w:t>/年</w:t>
                  </w:r>
                </w:p>
              </w:tc>
            </w:tr>
            <w:tr w14:paraId="576F6A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28" w:type="dxa"/>
                  <w:left w:w="79" w:type="dxa"/>
                  <w:bottom w:w="28" w:type="dxa"/>
                  <w:right w:w="79" w:type="dxa"/>
                </w:tblCellMar>
              </w:tblPrEx>
              <w:trPr>
                <w:trHeight w:val="340" w:hRule="atLeast"/>
                <w:jc w:val="center"/>
              </w:trPr>
              <w:tc>
                <w:tcPr>
                  <w:tcW w:w="643" w:type="pct"/>
                  <w:vMerge w:val="continue"/>
                  <w:vAlign w:val="center"/>
                </w:tcPr>
                <w:p w14:paraId="388FDE8A">
                  <w:pPr>
                    <w:adjustRightInd w:val="0"/>
                    <w:snapToGrid w:val="0"/>
                    <w:jc w:val="center"/>
                    <w:rPr>
                      <w:rFonts w:hint="default" w:ascii="Times New Roman" w:hAnsi="Times New Roman" w:eastAsia="宋体" w:cs="Times New Roman"/>
                      <w:color w:val="auto"/>
                      <w:szCs w:val="21"/>
                      <w:lang w:val="en-US" w:eastAsia="zh-CN"/>
                    </w:rPr>
                  </w:pPr>
                </w:p>
              </w:tc>
              <w:tc>
                <w:tcPr>
                  <w:tcW w:w="1662" w:type="pct"/>
                  <w:vAlign w:val="center"/>
                </w:tcPr>
                <w:p w14:paraId="35380F29">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厂区内</w:t>
                  </w:r>
                </w:p>
              </w:tc>
              <w:tc>
                <w:tcPr>
                  <w:tcW w:w="1905" w:type="pct"/>
                  <w:vAlign w:val="center"/>
                </w:tcPr>
                <w:p w14:paraId="2FB7EB4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非甲烷总烃</w:t>
                  </w:r>
                </w:p>
              </w:tc>
              <w:tc>
                <w:tcPr>
                  <w:tcW w:w="788" w:type="pct"/>
                  <w:vAlign w:val="center"/>
                </w:tcPr>
                <w:p w14:paraId="64040792">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1次</w:t>
                  </w:r>
                  <w:r>
                    <w:rPr>
                      <w:rFonts w:hint="default" w:ascii="Times New Roman" w:hAnsi="Times New Roman" w:eastAsia="宋体" w:cs="Times New Roman"/>
                      <w:color w:val="auto"/>
                      <w:szCs w:val="21"/>
                      <w:lang w:val="en-US" w:eastAsia="zh-CN"/>
                    </w:rPr>
                    <w:t>/年</w:t>
                  </w:r>
                </w:p>
              </w:tc>
            </w:tr>
          </w:tbl>
          <w:p w14:paraId="2145EC02">
            <w:pPr>
              <w:adjustRightInd w:val="0"/>
              <w:snapToGrid w:val="0"/>
              <w:spacing w:line="500" w:lineRule="exact"/>
              <w:ind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val="en-US" w:eastAsia="zh-CN"/>
              </w:rPr>
              <w:t>6、</w:t>
            </w:r>
            <w:r>
              <w:rPr>
                <w:rFonts w:hint="default" w:ascii="Times New Roman" w:hAnsi="Times New Roman" w:eastAsia="宋体" w:cs="Times New Roman"/>
                <w:b/>
                <w:color w:val="auto"/>
                <w:sz w:val="24"/>
              </w:rPr>
              <w:t>大气环境影响分析</w:t>
            </w:r>
          </w:p>
          <w:p w14:paraId="0A2FFF8F">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1）大气环境防护距离</w:t>
            </w:r>
          </w:p>
          <w:p w14:paraId="24192815">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根据分析，本项目未捕集</w:t>
            </w:r>
            <w:r>
              <w:rPr>
                <w:rFonts w:hint="default" w:ascii="Times New Roman" w:hAnsi="Times New Roman" w:eastAsia="宋体" w:cs="Times New Roman"/>
                <w:color w:val="auto"/>
                <w:sz w:val="24"/>
                <w:lang w:eastAsia="zh-CN"/>
              </w:rPr>
              <w:t>的工艺</w:t>
            </w:r>
            <w:r>
              <w:rPr>
                <w:rFonts w:hint="default" w:ascii="Times New Roman" w:hAnsi="Times New Roman" w:eastAsia="宋体" w:cs="Times New Roman"/>
                <w:color w:val="auto"/>
                <w:sz w:val="24"/>
                <w:lang w:val="en-US" w:eastAsia="zh-CN"/>
              </w:rPr>
              <w:t>废气</w:t>
            </w:r>
            <w:r>
              <w:rPr>
                <w:rFonts w:hint="default" w:ascii="Times New Roman" w:hAnsi="Times New Roman" w:eastAsia="宋体" w:cs="Times New Roman"/>
                <w:color w:val="auto"/>
                <w:sz w:val="24"/>
              </w:rPr>
              <w:t>无组织排放，大气环境防护距离计算模式采用环境保护部环境工程评估中心环境质量模拟重点实验室软件，经计算，本项目无组织排放废气计算结果无超标点。本项目不需设定大气环境防护距离。</w:t>
            </w:r>
          </w:p>
          <w:p w14:paraId="52C6BC3A">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2）卫生防护距离</w:t>
            </w:r>
          </w:p>
          <w:p w14:paraId="07981E9A">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根据《大气有害物质无组织排放卫生防护距离推导技术导则》(GB/T39499-2020)，各类工业企业卫生防护距离按下式计算：</w:t>
            </w:r>
          </w:p>
          <w:p w14:paraId="317B0208">
            <w:pPr>
              <w:adjustRightInd w:val="0"/>
              <w:snapToGrid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position w:val="-30"/>
                <w:sz w:val="24"/>
              </w:rPr>
              <w:object>
                <v:shape id="_x0000_i1025" o:spt="75" type="#_x0000_t75" style="height:38.15pt;width:153.15pt;" o:ole="t" filled="f" coordsize="21600,21600">
                  <v:path/>
                  <v:fill on="f" focussize="0,0"/>
                  <v:stroke/>
                  <v:imagedata r:id="rId32" o:title=""/>
                  <o:lock v:ext="edit" aspectratio="t"/>
                  <w10:wrap type="none"/>
                  <w10:anchorlock/>
                </v:shape>
                <o:OLEObject Type="Embed" ProgID="Equation.3" ShapeID="_x0000_i1025" DrawAspect="Content" ObjectID="_1468075725" r:id="rId31">
                  <o:LockedField>false</o:LockedField>
                </o:OLEObject>
              </w:object>
            </w:r>
          </w:p>
          <w:p w14:paraId="0430A876">
            <w:pPr>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p>
          <w:p w14:paraId="4B2D7709">
            <w:pPr>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m</w:t>
            </w:r>
            <w:r>
              <w:rPr>
                <w:rFonts w:hint="default" w:ascii="Times New Roman" w:hAnsi="Times New Roman" w:eastAsia="宋体" w:cs="Times New Roman"/>
                <w:color w:val="auto"/>
                <w:sz w:val="24"/>
              </w:rPr>
              <w:t>—大气有害物质环境空气质量的标准限值，单位为毫克每立方米(mg/m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14:paraId="134B187F">
            <w:pPr>
              <w:snapToGrid w:val="0"/>
              <w:spacing w:line="500" w:lineRule="exact"/>
              <w:ind w:firstLine="480" w:firstLineChars="200"/>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L—大气有害物质卫生防护距离初值，单位为米(m)</w:t>
            </w:r>
            <w:r>
              <w:rPr>
                <w:rFonts w:hint="default" w:ascii="Times New Roman" w:hAnsi="Times New Roman" w:eastAsia="宋体" w:cs="Times New Roman"/>
                <w:color w:val="auto"/>
                <w:sz w:val="24"/>
                <w:lang w:eastAsia="zh-CN"/>
              </w:rPr>
              <w:t>；</w:t>
            </w:r>
          </w:p>
          <w:p w14:paraId="2B9A15DB">
            <w:pPr>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r—大气有害物质无组织排放源所在生产单元的等效半径，单位为米(m)；</w:t>
            </w:r>
          </w:p>
          <w:p w14:paraId="0146E331">
            <w:pPr>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A、B、C、D—卫生防护距离初值计算系数，该地区的平均</w:t>
            </w:r>
            <w:r>
              <w:rPr>
                <w:rFonts w:hint="default" w:ascii="Times New Roman" w:hAnsi="Times New Roman" w:eastAsia="宋体" w:cs="Times New Roman"/>
                <w:color w:val="auto"/>
                <w:sz w:val="24"/>
                <w:szCs w:val="22"/>
              </w:rPr>
              <w:t>风速</w:t>
            </w:r>
            <w:r>
              <w:rPr>
                <w:rFonts w:hint="default" w:ascii="Times New Roman" w:hAnsi="Times New Roman" w:eastAsia="宋体" w:cs="Times New Roman"/>
                <w:color w:val="auto"/>
                <w:sz w:val="24"/>
              </w:rPr>
              <w:t>为2.9m/s，</w:t>
            </w:r>
            <w:r>
              <w:rPr>
                <w:rFonts w:hint="default" w:ascii="Times New Roman" w:hAnsi="Times New Roman" w:eastAsia="宋体" w:cs="Times New Roman"/>
                <w:color w:val="auto"/>
                <w:sz w:val="24"/>
                <w:lang w:val="en-US" w:eastAsia="zh-CN"/>
              </w:rPr>
              <w:t>参数</w:t>
            </w:r>
            <w:r>
              <w:rPr>
                <w:rFonts w:hint="default" w:ascii="Times New Roman" w:hAnsi="Times New Roman" w:eastAsia="宋体" w:cs="Times New Roman"/>
                <w:color w:val="auto"/>
                <w:sz w:val="24"/>
              </w:rPr>
              <w:t>的选取见下表。</w:t>
            </w:r>
          </w:p>
          <w:p w14:paraId="60864168">
            <w:pPr>
              <w:adjustRightInd w:val="0"/>
              <w:snapToGrid w:val="0"/>
              <w:spacing w:line="50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表4-</w:t>
            </w:r>
            <w:r>
              <w:rPr>
                <w:rFonts w:hint="default" w:ascii="Times New Roman" w:hAnsi="Times New Roman" w:eastAsia="宋体" w:cs="Times New Roman"/>
                <w:b/>
                <w:color w:val="auto"/>
                <w:szCs w:val="21"/>
                <w:lang w:val="en-US" w:eastAsia="zh-CN"/>
              </w:rPr>
              <w:t xml:space="preserve">7 </w:t>
            </w:r>
            <w:r>
              <w:rPr>
                <w:rFonts w:hint="default" w:ascii="Times New Roman" w:hAnsi="Times New Roman" w:eastAsia="宋体" w:cs="Times New Roman"/>
                <w:b/>
                <w:color w:val="auto"/>
                <w:szCs w:val="21"/>
              </w:rPr>
              <w:t>卫生防护距离计算系数</w:t>
            </w:r>
          </w:p>
          <w:tbl>
            <w:tblPr>
              <w:tblStyle w:val="28"/>
              <w:tblW w:w="488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4"/>
              <w:gridCol w:w="746"/>
              <w:gridCol w:w="745"/>
              <w:gridCol w:w="746"/>
              <w:gridCol w:w="749"/>
              <w:gridCol w:w="746"/>
              <w:gridCol w:w="746"/>
              <w:gridCol w:w="749"/>
              <w:gridCol w:w="746"/>
              <w:gridCol w:w="746"/>
              <w:gridCol w:w="744"/>
            </w:tblGrid>
            <w:tr w14:paraId="6C1BAF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restart"/>
                  <w:vAlign w:val="center"/>
                </w:tcPr>
                <w:p w14:paraId="17D013E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计</w:t>
                  </w:r>
                </w:p>
                <w:p w14:paraId="7BCD9D9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算</w:t>
                  </w:r>
                </w:p>
                <w:p w14:paraId="3DBEC2B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系</w:t>
                  </w:r>
                </w:p>
                <w:p w14:paraId="75F1389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数</w:t>
                  </w:r>
                </w:p>
              </w:tc>
              <w:tc>
                <w:tcPr>
                  <w:tcW w:w="466" w:type="pct"/>
                  <w:vMerge w:val="restart"/>
                  <w:vAlign w:val="center"/>
                </w:tcPr>
                <w:p w14:paraId="4DDDC9F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5年平均风速</w:t>
                  </w:r>
                </w:p>
                <w:p w14:paraId="23BF25A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m/s</w:t>
                  </w:r>
                </w:p>
              </w:tc>
              <w:tc>
                <w:tcPr>
                  <w:tcW w:w="4187" w:type="pct"/>
                  <w:gridSpan w:val="9"/>
                  <w:vAlign w:val="center"/>
                </w:tcPr>
                <w:p w14:paraId="3DEB948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卫生防护距离L，m</w:t>
                  </w:r>
                </w:p>
              </w:tc>
            </w:tr>
            <w:tr w14:paraId="2F8EE0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09C6C570">
                  <w:pPr>
                    <w:jc w:val="center"/>
                    <w:rPr>
                      <w:rFonts w:hint="default" w:ascii="Times New Roman" w:hAnsi="Times New Roman" w:eastAsia="宋体" w:cs="Times New Roman"/>
                      <w:color w:val="auto"/>
                      <w:sz w:val="24"/>
                    </w:rPr>
                  </w:pPr>
                </w:p>
              </w:tc>
              <w:tc>
                <w:tcPr>
                  <w:tcW w:w="466" w:type="pct"/>
                  <w:vMerge w:val="continue"/>
                  <w:vAlign w:val="center"/>
                </w:tcPr>
                <w:p w14:paraId="0E87E2C7">
                  <w:pPr>
                    <w:jc w:val="center"/>
                    <w:rPr>
                      <w:rFonts w:hint="default" w:ascii="Times New Roman" w:hAnsi="Times New Roman" w:eastAsia="宋体" w:cs="Times New Roman"/>
                      <w:color w:val="auto"/>
                      <w:sz w:val="24"/>
                    </w:rPr>
                  </w:pPr>
                </w:p>
              </w:tc>
              <w:tc>
                <w:tcPr>
                  <w:tcW w:w="1397" w:type="pct"/>
                  <w:gridSpan w:val="3"/>
                  <w:vAlign w:val="center"/>
                </w:tcPr>
                <w:p w14:paraId="5E414E3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L≤1000</w:t>
                  </w:r>
                </w:p>
              </w:tc>
              <w:tc>
                <w:tcPr>
                  <w:tcW w:w="1397" w:type="pct"/>
                  <w:gridSpan w:val="3"/>
                  <w:vAlign w:val="center"/>
                </w:tcPr>
                <w:p w14:paraId="0E2DCF2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L≤1000</w:t>
                  </w:r>
                </w:p>
              </w:tc>
              <w:tc>
                <w:tcPr>
                  <w:tcW w:w="1392" w:type="pct"/>
                  <w:gridSpan w:val="3"/>
                  <w:vAlign w:val="center"/>
                </w:tcPr>
                <w:p w14:paraId="1F0CC92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L≤1000</w:t>
                  </w:r>
                </w:p>
              </w:tc>
            </w:tr>
            <w:tr w14:paraId="20BE1A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51E6F313">
                  <w:pPr>
                    <w:jc w:val="center"/>
                    <w:rPr>
                      <w:rFonts w:hint="default" w:ascii="Times New Roman" w:hAnsi="Times New Roman" w:eastAsia="宋体" w:cs="Times New Roman"/>
                      <w:color w:val="auto"/>
                      <w:sz w:val="24"/>
                    </w:rPr>
                  </w:pPr>
                </w:p>
              </w:tc>
              <w:tc>
                <w:tcPr>
                  <w:tcW w:w="466" w:type="pct"/>
                  <w:vMerge w:val="continue"/>
                  <w:vAlign w:val="center"/>
                </w:tcPr>
                <w:p w14:paraId="3C525B86">
                  <w:pPr>
                    <w:jc w:val="center"/>
                    <w:rPr>
                      <w:rFonts w:hint="default" w:ascii="Times New Roman" w:hAnsi="Times New Roman" w:eastAsia="宋体" w:cs="Times New Roman"/>
                      <w:color w:val="auto"/>
                      <w:sz w:val="24"/>
                    </w:rPr>
                  </w:pPr>
                </w:p>
              </w:tc>
              <w:tc>
                <w:tcPr>
                  <w:tcW w:w="4187" w:type="pct"/>
                  <w:gridSpan w:val="9"/>
                  <w:vAlign w:val="center"/>
                </w:tcPr>
                <w:p w14:paraId="7B960A0C">
                  <w:pPr>
                    <w:pStyle w:val="73"/>
                    <w:spacing w:line="240" w:lineRule="auto"/>
                    <w:ind w:firstLine="422"/>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工业大气污染源构成类别</w:t>
                  </w:r>
                </w:p>
              </w:tc>
            </w:tr>
            <w:tr w14:paraId="2D25F5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27B59111">
                  <w:pPr>
                    <w:jc w:val="center"/>
                    <w:rPr>
                      <w:rFonts w:hint="default" w:ascii="Times New Roman" w:hAnsi="Times New Roman" w:eastAsia="宋体" w:cs="Times New Roman"/>
                      <w:color w:val="auto"/>
                      <w:sz w:val="24"/>
                    </w:rPr>
                  </w:pPr>
                </w:p>
              </w:tc>
              <w:tc>
                <w:tcPr>
                  <w:tcW w:w="466" w:type="pct"/>
                  <w:vMerge w:val="continue"/>
                  <w:vAlign w:val="center"/>
                </w:tcPr>
                <w:p w14:paraId="6E15F22D">
                  <w:pPr>
                    <w:jc w:val="center"/>
                    <w:rPr>
                      <w:rFonts w:hint="default" w:ascii="Times New Roman" w:hAnsi="Times New Roman" w:eastAsia="宋体" w:cs="Times New Roman"/>
                      <w:color w:val="auto"/>
                      <w:sz w:val="24"/>
                    </w:rPr>
                  </w:pPr>
                </w:p>
              </w:tc>
              <w:tc>
                <w:tcPr>
                  <w:tcW w:w="465" w:type="pct"/>
                  <w:vAlign w:val="center"/>
                </w:tcPr>
                <w:p w14:paraId="66D9401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Ⅰ</w:t>
                  </w:r>
                </w:p>
              </w:tc>
              <w:tc>
                <w:tcPr>
                  <w:tcW w:w="465" w:type="pct"/>
                  <w:vAlign w:val="center"/>
                </w:tcPr>
                <w:p w14:paraId="437B184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Ⅱ</w:t>
                  </w:r>
                </w:p>
              </w:tc>
              <w:tc>
                <w:tcPr>
                  <w:tcW w:w="465" w:type="pct"/>
                  <w:vAlign w:val="center"/>
                </w:tcPr>
                <w:p w14:paraId="064879A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Ⅲ</w:t>
                  </w:r>
                </w:p>
              </w:tc>
              <w:tc>
                <w:tcPr>
                  <w:tcW w:w="465" w:type="pct"/>
                  <w:vAlign w:val="center"/>
                </w:tcPr>
                <w:p w14:paraId="663B0E8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Ⅰ</w:t>
                  </w:r>
                </w:p>
              </w:tc>
              <w:tc>
                <w:tcPr>
                  <w:tcW w:w="465" w:type="pct"/>
                  <w:vAlign w:val="center"/>
                </w:tcPr>
                <w:p w14:paraId="6DE1013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Ⅱ</w:t>
                  </w:r>
                </w:p>
              </w:tc>
              <w:tc>
                <w:tcPr>
                  <w:tcW w:w="465" w:type="pct"/>
                  <w:vAlign w:val="center"/>
                </w:tcPr>
                <w:p w14:paraId="2690B1A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Ⅲ</w:t>
                  </w:r>
                </w:p>
              </w:tc>
              <w:tc>
                <w:tcPr>
                  <w:tcW w:w="465" w:type="pct"/>
                  <w:vAlign w:val="center"/>
                </w:tcPr>
                <w:p w14:paraId="0E8DB65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Ⅰ</w:t>
                  </w:r>
                </w:p>
              </w:tc>
              <w:tc>
                <w:tcPr>
                  <w:tcW w:w="465" w:type="pct"/>
                  <w:vAlign w:val="center"/>
                </w:tcPr>
                <w:p w14:paraId="747F5B8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Ⅱ</w:t>
                  </w:r>
                </w:p>
              </w:tc>
              <w:tc>
                <w:tcPr>
                  <w:tcW w:w="460" w:type="pct"/>
                  <w:vAlign w:val="center"/>
                </w:tcPr>
                <w:p w14:paraId="6872CD5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Ⅲ</w:t>
                  </w:r>
                </w:p>
              </w:tc>
            </w:tr>
            <w:tr w14:paraId="5ECD2A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restart"/>
                  <w:vAlign w:val="center"/>
                </w:tcPr>
                <w:p w14:paraId="51284A5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A</w:t>
                  </w:r>
                </w:p>
              </w:tc>
              <w:tc>
                <w:tcPr>
                  <w:tcW w:w="466" w:type="pct"/>
                  <w:vAlign w:val="center"/>
                </w:tcPr>
                <w:p w14:paraId="466E570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465" w:type="pct"/>
                  <w:vAlign w:val="center"/>
                </w:tcPr>
                <w:p w14:paraId="0340B15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4846005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113EA52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5576895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03CB9BE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2734CD7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400</w:t>
                  </w:r>
                </w:p>
              </w:tc>
              <w:tc>
                <w:tcPr>
                  <w:tcW w:w="465" w:type="pct"/>
                  <w:vAlign w:val="center"/>
                </w:tcPr>
                <w:p w14:paraId="0E485BC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p>
              </w:tc>
              <w:tc>
                <w:tcPr>
                  <w:tcW w:w="465" w:type="pct"/>
                  <w:vAlign w:val="center"/>
                </w:tcPr>
                <w:p w14:paraId="0229A65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p>
              </w:tc>
              <w:tc>
                <w:tcPr>
                  <w:tcW w:w="460" w:type="pct"/>
                  <w:vAlign w:val="center"/>
                </w:tcPr>
                <w:p w14:paraId="4C4198D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80</w:t>
                  </w:r>
                </w:p>
              </w:tc>
            </w:tr>
            <w:tr w14:paraId="5CB740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7EF6664F">
                  <w:pPr>
                    <w:jc w:val="center"/>
                    <w:rPr>
                      <w:rFonts w:hint="default" w:ascii="Times New Roman" w:hAnsi="Times New Roman" w:eastAsia="宋体" w:cs="Times New Roman"/>
                      <w:color w:val="auto"/>
                      <w:sz w:val="24"/>
                    </w:rPr>
                  </w:pPr>
                </w:p>
              </w:tc>
              <w:tc>
                <w:tcPr>
                  <w:tcW w:w="466" w:type="pct"/>
                  <w:vAlign w:val="center"/>
                </w:tcPr>
                <w:p w14:paraId="5A644987">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rPr>
                    <w:t>2～4</w:t>
                  </w:r>
                </w:p>
              </w:tc>
              <w:tc>
                <w:tcPr>
                  <w:tcW w:w="465" w:type="pct"/>
                  <w:vAlign w:val="center"/>
                </w:tcPr>
                <w:p w14:paraId="304FAC8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700</w:t>
                  </w:r>
                </w:p>
              </w:tc>
              <w:tc>
                <w:tcPr>
                  <w:tcW w:w="465" w:type="pct"/>
                  <w:shd w:val="clear" w:color="auto" w:fill="F1F1F1" w:themeFill="background1" w:themeFillShade="F2"/>
                  <w:vAlign w:val="center"/>
                </w:tcPr>
                <w:p w14:paraId="3FD8A9D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470</w:t>
                  </w:r>
                </w:p>
              </w:tc>
              <w:tc>
                <w:tcPr>
                  <w:tcW w:w="465" w:type="pct"/>
                  <w:vAlign w:val="center"/>
                </w:tcPr>
                <w:p w14:paraId="5890765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350</w:t>
                  </w:r>
                </w:p>
              </w:tc>
              <w:tc>
                <w:tcPr>
                  <w:tcW w:w="465" w:type="pct"/>
                  <w:vAlign w:val="center"/>
                </w:tcPr>
                <w:p w14:paraId="3CCF2B8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700</w:t>
                  </w:r>
                </w:p>
              </w:tc>
              <w:tc>
                <w:tcPr>
                  <w:tcW w:w="465" w:type="pct"/>
                  <w:vAlign w:val="center"/>
                </w:tcPr>
                <w:p w14:paraId="1408612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470</w:t>
                  </w:r>
                </w:p>
              </w:tc>
              <w:tc>
                <w:tcPr>
                  <w:tcW w:w="465" w:type="pct"/>
                  <w:vAlign w:val="center"/>
                </w:tcPr>
                <w:p w14:paraId="4910E77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350</w:t>
                  </w:r>
                </w:p>
              </w:tc>
              <w:tc>
                <w:tcPr>
                  <w:tcW w:w="465" w:type="pct"/>
                  <w:vAlign w:val="center"/>
                </w:tcPr>
                <w:p w14:paraId="0AABAAF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380</w:t>
                  </w:r>
                </w:p>
              </w:tc>
              <w:tc>
                <w:tcPr>
                  <w:tcW w:w="465" w:type="pct"/>
                  <w:vAlign w:val="center"/>
                </w:tcPr>
                <w:p w14:paraId="33A5B90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250</w:t>
                  </w:r>
                </w:p>
              </w:tc>
              <w:tc>
                <w:tcPr>
                  <w:tcW w:w="460" w:type="pct"/>
                  <w:vAlign w:val="center"/>
                </w:tcPr>
                <w:p w14:paraId="5E4AE6B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190</w:t>
                  </w:r>
                </w:p>
              </w:tc>
            </w:tr>
            <w:tr w14:paraId="2B7B42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32AC5B0B">
                  <w:pPr>
                    <w:jc w:val="center"/>
                    <w:rPr>
                      <w:rFonts w:hint="default" w:ascii="Times New Roman" w:hAnsi="Times New Roman" w:eastAsia="宋体" w:cs="Times New Roman"/>
                      <w:color w:val="auto"/>
                      <w:sz w:val="24"/>
                    </w:rPr>
                  </w:pPr>
                </w:p>
              </w:tc>
              <w:tc>
                <w:tcPr>
                  <w:tcW w:w="466" w:type="pct"/>
                  <w:vAlign w:val="center"/>
                </w:tcPr>
                <w:p w14:paraId="575807C0">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rPr>
                    <w:t>＞4</w:t>
                  </w:r>
                </w:p>
              </w:tc>
              <w:tc>
                <w:tcPr>
                  <w:tcW w:w="465" w:type="pct"/>
                  <w:vAlign w:val="center"/>
                </w:tcPr>
                <w:p w14:paraId="398E66C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530</w:t>
                  </w:r>
                </w:p>
              </w:tc>
              <w:tc>
                <w:tcPr>
                  <w:tcW w:w="465" w:type="pct"/>
                  <w:vAlign w:val="center"/>
                </w:tcPr>
                <w:p w14:paraId="4770136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350</w:t>
                  </w:r>
                </w:p>
              </w:tc>
              <w:tc>
                <w:tcPr>
                  <w:tcW w:w="465" w:type="pct"/>
                  <w:vAlign w:val="center"/>
                </w:tcPr>
                <w:p w14:paraId="3B09E51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260</w:t>
                  </w:r>
                </w:p>
              </w:tc>
              <w:tc>
                <w:tcPr>
                  <w:tcW w:w="465" w:type="pct"/>
                  <w:vAlign w:val="center"/>
                </w:tcPr>
                <w:p w14:paraId="79AC6D3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530</w:t>
                  </w:r>
                </w:p>
              </w:tc>
              <w:tc>
                <w:tcPr>
                  <w:tcW w:w="465" w:type="pct"/>
                  <w:vAlign w:val="center"/>
                </w:tcPr>
                <w:p w14:paraId="7FA116E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350</w:t>
                  </w:r>
                </w:p>
              </w:tc>
              <w:tc>
                <w:tcPr>
                  <w:tcW w:w="465" w:type="pct"/>
                  <w:vAlign w:val="center"/>
                </w:tcPr>
                <w:p w14:paraId="70F1AA0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260</w:t>
                  </w:r>
                </w:p>
              </w:tc>
              <w:tc>
                <w:tcPr>
                  <w:tcW w:w="465" w:type="pct"/>
                  <w:vAlign w:val="center"/>
                </w:tcPr>
                <w:p w14:paraId="6D0C188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290</w:t>
                  </w:r>
                </w:p>
              </w:tc>
              <w:tc>
                <w:tcPr>
                  <w:tcW w:w="465" w:type="pct"/>
                  <w:vAlign w:val="center"/>
                </w:tcPr>
                <w:p w14:paraId="0C63401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190</w:t>
                  </w:r>
                </w:p>
              </w:tc>
              <w:tc>
                <w:tcPr>
                  <w:tcW w:w="460" w:type="pct"/>
                  <w:vAlign w:val="center"/>
                </w:tcPr>
                <w:p w14:paraId="74E230C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140</w:t>
                  </w:r>
                </w:p>
              </w:tc>
            </w:tr>
            <w:tr w14:paraId="293978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restart"/>
                  <w:vAlign w:val="center"/>
                </w:tcPr>
                <w:p w14:paraId="0B9066C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B</w:t>
                  </w:r>
                </w:p>
              </w:tc>
              <w:tc>
                <w:tcPr>
                  <w:tcW w:w="466" w:type="pct"/>
                  <w:vAlign w:val="center"/>
                </w:tcPr>
                <w:p w14:paraId="4E622F5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397" w:type="pct"/>
                  <w:gridSpan w:val="3"/>
                  <w:vAlign w:val="center"/>
                </w:tcPr>
                <w:p w14:paraId="4579B2AF">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0.01</w:t>
                  </w:r>
                </w:p>
              </w:tc>
              <w:tc>
                <w:tcPr>
                  <w:tcW w:w="1397" w:type="pct"/>
                  <w:gridSpan w:val="3"/>
                  <w:vAlign w:val="center"/>
                </w:tcPr>
                <w:p w14:paraId="419C8DE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0.015</w:t>
                  </w:r>
                </w:p>
              </w:tc>
              <w:tc>
                <w:tcPr>
                  <w:tcW w:w="1392" w:type="pct"/>
                  <w:gridSpan w:val="3"/>
                  <w:vAlign w:val="center"/>
                </w:tcPr>
                <w:p w14:paraId="311348A3">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0.015</w:t>
                  </w:r>
                </w:p>
              </w:tc>
            </w:tr>
            <w:tr w14:paraId="327155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7495BC22">
                  <w:pPr>
                    <w:jc w:val="center"/>
                    <w:rPr>
                      <w:rFonts w:hint="default" w:ascii="Times New Roman" w:hAnsi="Times New Roman" w:eastAsia="宋体" w:cs="Times New Roman"/>
                      <w:color w:val="auto"/>
                      <w:sz w:val="24"/>
                    </w:rPr>
                  </w:pPr>
                </w:p>
              </w:tc>
              <w:tc>
                <w:tcPr>
                  <w:tcW w:w="466" w:type="pct"/>
                  <w:vAlign w:val="center"/>
                </w:tcPr>
                <w:p w14:paraId="6E6C4A36">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rPr>
                    <w:t>＞2</w:t>
                  </w:r>
                </w:p>
              </w:tc>
              <w:tc>
                <w:tcPr>
                  <w:tcW w:w="1397" w:type="pct"/>
                  <w:gridSpan w:val="3"/>
                  <w:shd w:val="clear" w:color="auto" w:fill="F1F1F1" w:themeFill="background1" w:themeFillShade="F2"/>
                  <w:vAlign w:val="center"/>
                </w:tcPr>
                <w:p w14:paraId="0172D65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0.021</w:t>
                  </w:r>
                </w:p>
              </w:tc>
              <w:tc>
                <w:tcPr>
                  <w:tcW w:w="1397" w:type="pct"/>
                  <w:gridSpan w:val="3"/>
                  <w:vAlign w:val="center"/>
                </w:tcPr>
                <w:p w14:paraId="36BBF50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0.036</w:t>
                  </w:r>
                </w:p>
              </w:tc>
              <w:tc>
                <w:tcPr>
                  <w:tcW w:w="1392" w:type="pct"/>
                  <w:gridSpan w:val="3"/>
                  <w:vAlign w:val="center"/>
                </w:tcPr>
                <w:p w14:paraId="2AC2FDB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0.036</w:t>
                  </w:r>
                </w:p>
              </w:tc>
            </w:tr>
            <w:tr w14:paraId="6C2E57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restart"/>
                  <w:vAlign w:val="center"/>
                </w:tcPr>
                <w:p w14:paraId="55EB78B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C</w:t>
                  </w:r>
                </w:p>
              </w:tc>
              <w:tc>
                <w:tcPr>
                  <w:tcW w:w="466" w:type="pct"/>
                  <w:vAlign w:val="center"/>
                </w:tcPr>
                <w:p w14:paraId="0226A06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397" w:type="pct"/>
                  <w:gridSpan w:val="3"/>
                  <w:vAlign w:val="center"/>
                </w:tcPr>
                <w:p w14:paraId="4594EEB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1.85</w:t>
                  </w:r>
                </w:p>
              </w:tc>
              <w:tc>
                <w:tcPr>
                  <w:tcW w:w="1397" w:type="pct"/>
                  <w:gridSpan w:val="3"/>
                  <w:vAlign w:val="center"/>
                </w:tcPr>
                <w:p w14:paraId="3E04381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1.79</w:t>
                  </w:r>
                </w:p>
              </w:tc>
              <w:tc>
                <w:tcPr>
                  <w:tcW w:w="1392" w:type="pct"/>
                  <w:gridSpan w:val="3"/>
                  <w:vAlign w:val="center"/>
                </w:tcPr>
                <w:p w14:paraId="5E86120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1.79</w:t>
                  </w:r>
                </w:p>
              </w:tc>
            </w:tr>
            <w:tr w14:paraId="15DBA6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35B2EF6E">
                  <w:pPr>
                    <w:jc w:val="center"/>
                    <w:rPr>
                      <w:rFonts w:hint="default" w:ascii="Times New Roman" w:hAnsi="Times New Roman" w:eastAsia="宋体" w:cs="Times New Roman"/>
                      <w:color w:val="auto"/>
                      <w:sz w:val="24"/>
                    </w:rPr>
                  </w:pPr>
                </w:p>
              </w:tc>
              <w:tc>
                <w:tcPr>
                  <w:tcW w:w="466" w:type="pct"/>
                  <w:vAlign w:val="center"/>
                </w:tcPr>
                <w:p w14:paraId="70A7D227">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rPr>
                    <w:t>＞2</w:t>
                  </w:r>
                </w:p>
              </w:tc>
              <w:tc>
                <w:tcPr>
                  <w:tcW w:w="1397" w:type="pct"/>
                  <w:gridSpan w:val="3"/>
                  <w:shd w:val="clear" w:color="auto" w:fill="F1F1F1" w:themeFill="background1" w:themeFillShade="F2"/>
                  <w:vAlign w:val="center"/>
                </w:tcPr>
                <w:p w14:paraId="666CE03E">
                  <w:pPr>
                    <w:shd w:val="clear" w:fill="F1F1F1" w:themeFill="background1" w:themeFillShade="F2"/>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1.85</w:t>
                  </w:r>
                </w:p>
              </w:tc>
              <w:tc>
                <w:tcPr>
                  <w:tcW w:w="1397" w:type="pct"/>
                  <w:gridSpan w:val="3"/>
                  <w:vAlign w:val="center"/>
                </w:tcPr>
                <w:p w14:paraId="7ECE435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1.77</w:t>
                  </w:r>
                </w:p>
              </w:tc>
              <w:tc>
                <w:tcPr>
                  <w:tcW w:w="1392" w:type="pct"/>
                  <w:gridSpan w:val="3"/>
                  <w:vAlign w:val="center"/>
                </w:tcPr>
                <w:p w14:paraId="2FD3AAAB">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1.77</w:t>
                  </w:r>
                </w:p>
              </w:tc>
            </w:tr>
            <w:tr w14:paraId="3179B1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restart"/>
                  <w:vAlign w:val="center"/>
                </w:tcPr>
                <w:p w14:paraId="21F4CA6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D</w:t>
                  </w:r>
                </w:p>
              </w:tc>
              <w:tc>
                <w:tcPr>
                  <w:tcW w:w="466" w:type="pct"/>
                  <w:vAlign w:val="center"/>
                </w:tcPr>
                <w:p w14:paraId="21F3FF16">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397" w:type="pct"/>
                  <w:gridSpan w:val="3"/>
                  <w:vAlign w:val="center"/>
                </w:tcPr>
                <w:p w14:paraId="375BEB65">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0.78</w:t>
                  </w:r>
                </w:p>
              </w:tc>
              <w:tc>
                <w:tcPr>
                  <w:tcW w:w="1397" w:type="pct"/>
                  <w:gridSpan w:val="3"/>
                  <w:vAlign w:val="center"/>
                </w:tcPr>
                <w:p w14:paraId="0DBCCFB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0.78</w:t>
                  </w:r>
                </w:p>
              </w:tc>
              <w:tc>
                <w:tcPr>
                  <w:tcW w:w="1392" w:type="pct"/>
                  <w:gridSpan w:val="3"/>
                  <w:vAlign w:val="center"/>
                </w:tcPr>
                <w:p w14:paraId="4C75CE1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0.57</w:t>
                  </w:r>
                </w:p>
              </w:tc>
            </w:tr>
            <w:tr w14:paraId="7A5745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6" w:type="pct"/>
                  <w:vMerge w:val="continue"/>
                  <w:vAlign w:val="center"/>
                </w:tcPr>
                <w:p w14:paraId="120C4611">
                  <w:pPr>
                    <w:jc w:val="center"/>
                    <w:rPr>
                      <w:rFonts w:hint="default" w:ascii="Times New Roman" w:hAnsi="Times New Roman" w:eastAsia="宋体" w:cs="Times New Roman"/>
                      <w:color w:val="auto"/>
                      <w:sz w:val="24"/>
                    </w:rPr>
                  </w:pPr>
                </w:p>
              </w:tc>
              <w:tc>
                <w:tcPr>
                  <w:tcW w:w="466" w:type="pct"/>
                  <w:vAlign w:val="center"/>
                </w:tcPr>
                <w:p w14:paraId="16611443">
                  <w:pPr>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rPr>
                    <w:t>＞2</w:t>
                  </w:r>
                </w:p>
              </w:tc>
              <w:tc>
                <w:tcPr>
                  <w:tcW w:w="1397" w:type="pct"/>
                  <w:gridSpan w:val="3"/>
                  <w:shd w:val="clear" w:color="auto" w:fill="F1F1F1" w:themeFill="background1" w:themeFillShade="F2"/>
                  <w:vAlign w:val="center"/>
                </w:tcPr>
                <w:p w14:paraId="6A600794">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0.84</w:t>
                  </w:r>
                </w:p>
              </w:tc>
              <w:tc>
                <w:tcPr>
                  <w:tcW w:w="1397" w:type="pct"/>
                  <w:gridSpan w:val="3"/>
                  <w:vAlign w:val="center"/>
                </w:tcPr>
                <w:p w14:paraId="0313AC98">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0.84</w:t>
                  </w:r>
                </w:p>
              </w:tc>
              <w:tc>
                <w:tcPr>
                  <w:tcW w:w="1392" w:type="pct"/>
                  <w:gridSpan w:val="3"/>
                  <w:vAlign w:val="center"/>
                </w:tcPr>
                <w:p w14:paraId="6125AE3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0.76</w:t>
                  </w:r>
                </w:p>
              </w:tc>
            </w:tr>
          </w:tbl>
          <w:p w14:paraId="2F2CD31B">
            <w:pPr>
              <w:adjustRightInd w:val="0"/>
              <w:snapToGrid w:val="0"/>
              <w:spacing w:line="500" w:lineRule="exact"/>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根据《制定地方大气污染物排放标准的技术方法》（GB/T39449-2020），卫生防护距离在100m以内时，级差为50m；超过100m，但小于或等于1000m时，级差为100m；超过1000m时，级差为200m。当按两种或两种以上的有害气体的 Q/Cm值计算的卫生防护距离在同一级别时，该类工业企业的卫生防护距离级别应提高一级。经计算，</w:t>
            </w:r>
            <w:r>
              <w:rPr>
                <w:rFonts w:hint="default" w:ascii="Times New Roman" w:hAnsi="Times New Roman" w:eastAsia="宋体" w:cs="Times New Roman"/>
                <w:color w:val="auto"/>
                <w:sz w:val="24"/>
              </w:rPr>
              <w:t>本项目卫生防护距离计算结果见下表。</w:t>
            </w:r>
          </w:p>
          <w:p w14:paraId="40251463">
            <w:pPr>
              <w:adjustRightInd w:val="0"/>
              <w:snapToGrid w:val="0"/>
              <w:spacing w:line="50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表4-</w:t>
            </w:r>
            <w:r>
              <w:rPr>
                <w:rFonts w:hint="default" w:ascii="Times New Roman" w:hAnsi="Times New Roman" w:eastAsia="宋体" w:cs="Times New Roman"/>
                <w:b/>
                <w:color w:val="auto"/>
                <w:szCs w:val="21"/>
                <w:lang w:val="en-US" w:eastAsia="zh-CN"/>
              </w:rPr>
              <w:t>8 本项目</w:t>
            </w:r>
            <w:r>
              <w:rPr>
                <w:rFonts w:hint="default" w:ascii="Times New Roman" w:hAnsi="Times New Roman" w:eastAsia="宋体" w:cs="Times New Roman"/>
                <w:b/>
                <w:color w:val="auto"/>
                <w:szCs w:val="21"/>
              </w:rPr>
              <w:t>污染物卫生防护距离计算表</w:t>
            </w:r>
          </w:p>
          <w:tbl>
            <w:tblPr>
              <w:tblStyle w:val="28"/>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957"/>
              <w:gridCol w:w="1426"/>
              <w:gridCol w:w="1177"/>
              <w:gridCol w:w="955"/>
              <w:gridCol w:w="1541"/>
              <w:gridCol w:w="1093"/>
              <w:gridCol w:w="1049"/>
            </w:tblGrid>
            <w:tr w14:paraId="086FD0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4" w:type="pct"/>
                  <w:vAlign w:val="center"/>
                </w:tcPr>
                <w:p w14:paraId="5692ACD3">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污染源</w:t>
                  </w:r>
                </w:p>
              </w:tc>
              <w:tc>
                <w:tcPr>
                  <w:tcW w:w="869" w:type="pct"/>
                  <w:vAlign w:val="center"/>
                </w:tcPr>
                <w:p w14:paraId="59B0EB11">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影响因子</w:t>
                  </w:r>
                </w:p>
              </w:tc>
              <w:tc>
                <w:tcPr>
                  <w:tcW w:w="717" w:type="pct"/>
                  <w:vAlign w:val="center"/>
                </w:tcPr>
                <w:p w14:paraId="259EF441">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Qc</w:t>
                  </w:r>
                </w:p>
                <w:p w14:paraId="7CE1D23A">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（kg/h）</w:t>
                  </w:r>
                </w:p>
              </w:tc>
              <w:tc>
                <w:tcPr>
                  <w:tcW w:w="582" w:type="pct"/>
                  <w:vAlign w:val="center"/>
                </w:tcPr>
                <w:p w14:paraId="294ADCDD">
                  <w:pPr>
                    <w:jc w:val="center"/>
                    <w:rPr>
                      <w:rFonts w:hint="default" w:ascii="Times New Roman" w:hAnsi="Times New Roman" w:eastAsia="宋体" w:cs="Times New Roman"/>
                      <w:b/>
                      <w:color w:val="auto"/>
                      <w:lang w:eastAsia="zh-CN"/>
                    </w:rPr>
                  </w:pPr>
                  <w:r>
                    <w:rPr>
                      <w:rFonts w:hint="default" w:ascii="Times New Roman" w:hAnsi="Times New Roman" w:eastAsia="宋体" w:cs="Times New Roman"/>
                      <w:b/>
                      <w:color w:val="auto"/>
                      <w:lang w:eastAsia="zh-CN"/>
                    </w:rPr>
                    <w:t>占地面积</w:t>
                  </w:r>
                  <w:r>
                    <w:rPr>
                      <w:rFonts w:hint="default" w:ascii="Times New Roman" w:hAnsi="Times New Roman" w:eastAsia="宋体" w:cs="Times New Roman"/>
                      <w:b/>
                      <w:color w:val="auto"/>
                    </w:rPr>
                    <w:t>（m</w:t>
                  </w:r>
                  <w:r>
                    <w:rPr>
                      <w:rFonts w:hint="default" w:ascii="Times New Roman" w:hAnsi="Times New Roman" w:eastAsia="宋体" w:cs="Times New Roman"/>
                      <w:b/>
                      <w:color w:val="auto"/>
                      <w:vertAlign w:val="superscript"/>
                      <w:lang w:val="en-US" w:eastAsia="zh-CN"/>
                    </w:rPr>
                    <w:t>2</w:t>
                  </w:r>
                  <w:r>
                    <w:rPr>
                      <w:rFonts w:hint="default" w:ascii="Times New Roman" w:hAnsi="Times New Roman" w:eastAsia="宋体" w:cs="Times New Roman"/>
                      <w:b/>
                      <w:color w:val="auto"/>
                    </w:rPr>
                    <w:t>）</w:t>
                  </w:r>
                </w:p>
              </w:tc>
              <w:tc>
                <w:tcPr>
                  <w:tcW w:w="939" w:type="pct"/>
                  <w:vAlign w:val="center"/>
                </w:tcPr>
                <w:p w14:paraId="16DEFE76">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Cm</w:t>
                  </w:r>
                </w:p>
                <w:p w14:paraId="3669A510">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（mg/m</w:t>
                  </w:r>
                  <w:r>
                    <w:rPr>
                      <w:rFonts w:hint="default" w:ascii="Times New Roman" w:hAnsi="Times New Roman" w:eastAsia="宋体" w:cs="Times New Roman"/>
                      <w:b/>
                      <w:color w:val="auto"/>
                      <w:vertAlign w:val="superscript"/>
                    </w:rPr>
                    <w:t>3</w:t>
                  </w:r>
                  <w:r>
                    <w:rPr>
                      <w:rFonts w:hint="default" w:ascii="Times New Roman" w:hAnsi="Times New Roman" w:eastAsia="宋体" w:cs="Times New Roman"/>
                      <w:b/>
                      <w:color w:val="auto"/>
                    </w:rPr>
                    <w:t>）</w:t>
                  </w:r>
                </w:p>
              </w:tc>
              <w:tc>
                <w:tcPr>
                  <w:tcW w:w="666" w:type="pct"/>
                  <w:vAlign w:val="center"/>
                </w:tcPr>
                <w:p w14:paraId="4F318020">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L计算</w:t>
                  </w:r>
                </w:p>
                <w:p w14:paraId="5A1C49BE">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（m）</w:t>
                  </w:r>
                </w:p>
              </w:tc>
              <w:tc>
                <w:tcPr>
                  <w:tcW w:w="639" w:type="pct"/>
                  <w:vAlign w:val="center"/>
                </w:tcPr>
                <w:p w14:paraId="3ACACA24">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L</w:t>
                  </w:r>
                </w:p>
                <w:p w14:paraId="5E0FA2EE">
                  <w:pPr>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（m）</w:t>
                  </w:r>
                </w:p>
              </w:tc>
            </w:tr>
            <w:tr w14:paraId="483BD9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40" w:hRule="atLeast"/>
                <w:jc w:val="center"/>
              </w:trPr>
              <w:tc>
                <w:tcPr>
                  <w:tcW w:w="584" w:type="pct"/>
                  <w:vAlign w:val="center"/>
                </w:tcPr>
                <w:p w14:paraId="2AFBDA2F">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44"/>
                      <w:szCs w:val="21"/>
                      <w:lang w:val="en-US" w:eastAsia="zh-CN"/>
                    </w:rPr>
                    <w:t>车间</w:t>
                  </w:r>
                </w:p>
              </w:tc>
              <w:tc>
                <w:tcPr>
                  <w:tcW w:w="869" w:type="pct"/>
                  <w:vAlign w:val="center"/>
                </w:tcPr>
                <w:p w14:paraId="331C94E4">
                  <w:pPr>
                    <w:pStyle w:val="18"/>
                    <w:tabs>
                      <w:tab w:val="clear" w:pos="4153"/>
                      <w:tab w:val="clear" w:pos="8306"/>
                    </w:tabs>
                    <w:adjustRightIn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非甲烷总烃</w:t>
                  </w:r>
                </w:p>
              </w:tc>
              <w:tc>
                <w:tcPr>
                  <w:tcW w:w="717" w:type="pct"/>
                  <w:vAlign w:val="center"/>
                </w:tcPr>
                <w:p w14:paraId="7B925641">
                  <w:pPr>
                    <w:pStyle w:val="6"/>
                    <w:adjustRightInd w:val="0"/>
                    <w:snapToGrid w:val="0"/>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0.027</w:t>
                  </w:r>
                </w:p>
              </w:tc>
              <w:tc>
                <w:tcPr>
                  <w:tcW w:w="582" w:type="pct"/>
                  <w:vAlign w:val="center"/>
                </w:tcPr>
                <w:p w14:paraId="6310129A">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 w:val="21"/>
                      <w:szCs w:val="21"/>
                      <w:lang w:val="en-US" w:eastAsia="zh-CN"/>
                    </w:rPr>
                    <w:t>1800</w:t>
                  </w:r>
                </w:p>
              </w:tc>
              <w:tc>
                <w:tcPr>
                  <w:tcW w:w="939" w:type="pct"/>
                  <w:vAlign w:val="center"/>
                </w:tcPr>
                <w:p w14:paraId="5E5A1B16">
                  <w:pPr>
                    <w:pStyle w:val="6"/>
                    <w:adjustRightInd w:val="0"/>
                    <w:snapToGrid w:val="0"/>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val="en-US" w:eastAsia="zh-CN"/>
                    </w:rPr>
                    <w:t>2.0</w:t>
                  </w:r>
                </w:p>
              </w:tc>
              <w:tc>
                <w:tcPr>
                  <w:tcW w:w="666" w:type="pct"/>
                  <w:vAlign w:val="center"/>
                </w:tcPr>
                <w:p w14:paraId="155171BA">
                  <w:pPr>
                    <w:adjustRightInd w:val="0"/>
                    <w:snapToGrid w:val="0"/>
                    <w:ind w:firstLine="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&lt;50</w:t>
                  </w:r>
                </w:p>
              </w:tc>
              <w:tc>
                <w:tcPr>
                  <w:tcW w:w="639" w:type="pct"/>
                  <w:vAlign w:val="center"/>
                </w:tcPr>
                <w:p w14:paraId="25DCD08F">
                  <w:pPr>
                    <w:tabs>
                      <w:tab w:val="left" w:pos="1418"/>
                    </w:tabs>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w:t>
                  </w:r>
                </w:p>
              </w:tc>
            </w:tr>
          </w:tbl>
          <w:p w14:paraId="3A33D7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rPr>
              <w:t>由上表可知，</w:t>
            </w:r>
            <w:r>
              <w:rPr>
                <w:rFonts w:hint="default" w:ascii="Times New Roman" w:hAnsi="Times New Roman" w:eastAsia="宋体" w:cs="Times New Roman"/>
                <w:color w:val="auto"/>
                <w:sz w:val="24"/>
                <w:highlight w:val="none"/>
              </w:rPr>
              <w:t>本项目建成后，</w:t>
            </w: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卫生防护距离为</w:t>
            </w:r>
            <w:r>
              <w:rPr>
                <w:rFonts w:hint="default" w:ascii="Times New Roman" w:hAnsi="Times New Roman" w:eastAsia="宋体" w:cs="Times New Roman"/>
                <w:color w:val="auto"/>
                <w:sz w:val="24"/>
                <w:highlight w:val="none"/>
                <w:lang w:val="en-US" w:eastAsia="zh-CN"/>
              </w:rPr>
              <w:t>车间</w:t>
            </w:r>
            <w:r>
              <w:rPr>
                <w:rFonts w:hint="default" w:ascii="Times New Roman" w:hAnsi="Times New Roman" w:eastAsia="宋体" w:cs="Times New Roman"/>
                <w:color w:val="auto"/>
                <w:sz w:val="24"/>
                <w:highlight w:val="none"/>
              </w:rPr>
              <w:t>外扩</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0m形成的区域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全厂</w:t>
            </w:r>
            <w:r>
              <w:rPr>
                <w:rFonts w:hint="default" w:ascii="Times New Roman" w:hAnsi="Times New Roman" w:eastAsia="宋体" w:cs="Times New Roman"/>
                <w:color w:val="auto"/>
                <w:sz w:val="24"/>
                <w:highlight w:val="none"/>
              </w:rPr>
              <w:t>卫生防护距离为</w:t>
            </w:r>
            <w:r>
              <w:rPr>
                <w:rFonts w:hint="default" w:ascii="Times New Roman" w:hAnsi="Times New Roman" w:eastAsia="宋体" w:cs="Times New Roman"/>
                <w:color w:val="auto"/>
                <w:sz w:val="24"/>
                <w:highlight w:val="none"/>
                <w:lang w:val="en-US" w:eastAsia="zh-CN"/>
              </w:rPr>
              <w:t>车间</w:t>
            </w:r>
            <w:r>
              <w:rPr>
                <w:rFonts w:hint="default" w:ascii="Times New Roman" w:hAnsi="Times New Roman" w:eastAsia="宋体" w:cs="Times New Roman"/>
                <w:color w:val="auto"/>
                <w:sz w:val="24"/>
                <w:highlight w:val="none"/>
              </w:rPr>
              <w:t>外扩</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0m形成的区域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经实地勘察，项目卫生防护距离内目前无居住、医院、学校等环境敏感点，将来也不得建设环境敏感点，以避免环境纠纷。</w:t>
            </w:r>
          </w:p>
          <w:p w14:paraId="49E3E64F">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3）异味影响分析</w:t>
            </w:r>
          </w:p>
          <w:p w14:paraId="6781E8BF">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本评价采用日本的恶臭强度6级分级法对项目臭气影响进行分析，臭气强度分级表见下表。</w:t>
            </w:r>
          </w:p>
          <w:p w14:paraId="1B1AF382">
            <w:pPr>
              <w:pStyle w:val="100"/>
              <w:bidi w:val="0"/>
              <w:rPr>
                <w:rFonts w:hint="default" w:ascii="Times New Roman" w:hAnsi="Times New Roman" w:eastAsia="宋体" w:cs="Times New Roman"/>
                <w:color w:val="auto"/>
              </w:rPr>
            </w:pPr>
            <w:r>
              <w:rPr>
                <w:rFonts w:hint="default" w:ascii="Times New Roman" w:hAnsi="Times New Roman" w:eastAsia="宋体" w:cs="Times New Roman"/>
                <w:color w:val="auto"/>
              </w:rPr>
              <w:t>表4-</w:t>
            </w:r>
            <w:r>
              <w:rPr>
                <w:rFonts w:hint="default" w:ascii="Times New Roman" w:hAnsi="Times New Roman" w:eastAsia="宋体" w:cs="Times New Roman"/>
                <w:color w:val="auto"/>
                <w:lang w:val="en-US" w:eastAsia="zh-CN"/>
              </w:rPr>
              <w:t xml:space="preserve">9 </w:t>
            </w:r>
            <w:r>
              <w:rPr>
                <w:rFonts w:hint="default" w:ascii="Times New Roman" w:hAnsi="Times New Roman" w:eastAsia="宋体" w:cs="Times New Roman"/>
                <w:color w:val="auto"/>
              </w:rPr>
              <w:t>臭气强度分级表</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76"/>
              <w:gridCol w:w="5633"/>
            </w:tblGrid>
            <w:tr w14:paraId="35521B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43CBC651">
                  <w:pPr>
                    <w:pStyle w:val="101"/>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强度等级</w:t>
                  </w:r>
                </w:p>
              </w:tc>
              <w:tc>
                <w:tcPr>
                  <w:tcW w:w="3431" w:type="pct"/>
                  <w:noWrap w:val="0"/>
                  <w:vAlign w:val="center"/>
                </w:tcPr>
                <w:p w14:paraId="1C59AD74">
                  <w:pPr>
                    <w:pStyle w:val="101"/>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嗅觉判别标准</w:t>
                  </w:r>
                </w:p>
              </w:tc>
            </w:tr>
            <w:tr w14:paraId="209FAA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16B3D680">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0</w:t>
                  </w:r>
                </w:p>
              </w:tc>
              <w:tc>
                <w:tcPr>
                  <w:tcW w:w="3431" w:type="pct"/>
                  <w:noWrap w:val="0"/>
                  <w:vAlign w:val="center"/>
                </w:tcPr>
                <w:p w14:paraId="338618EC">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无臭</w:t>
                  </w:r>
                </w:p>
              </w:tc>
            </w:tr>
            <w:tr w14:paraId="00D510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18601894">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3431" w:type="pct"/>
                  <w:noWrap w:val="0"/>
                  <w:vAlign w:val="center"/>
                </w:tcPr>
                <w:p w14:paraId="7A42A647">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勉强可以感到轻微臭味（检知阈值浓度）</w:t>
                  </w:r>
                </w:p>
              </w:tc>
            </w:tr>
            <w:tr w14:paraId="399BA4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12FCB2FF">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3431" w:type="pct"/>
                  <w:noWrap w:val="0"/>
                  <w:vAlign w:val="center"/>
                </w:tcPr>
                <w:p w14:paraId="38D3F031">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容易感到轻微臭味（认知阈值浓度）</w:t>
                  </w:r>
                </w:p>
              </w:tc>
            </w:tr>
            <w:tr w14:paraId="4FD747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3562191C">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3431" w:type="pct"/>
                  <w:noWrap w:val="0"/>
                  <w:vAlign w:val="center"/>
                </w:tcPr>
                <w:p w14:paraId="19A69F97">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明显感到臭味（可嗅出臭气种类）</w:t>
                  </w:r>
                </w:p>
              </w:tc>
            </w:tr>
            <w:tr w14:paraId="6C2507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4CDB3E19">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3431" w:type="pct"/>
                  <w:noWrap w:val="0"/>
                  <w:vAlign w:val="center"/>
                </w:tcPr>
                <w:p w14:paraId="24296C04">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强烈臭味</w:t>
                  </w:r>
                </w:p>
              </w:tc>
            </w:tr>
            <w:tr w14:paraId="2592E9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9" w:type="pct"/>
                  <w:noWrap w:val="0"/>
                  <w:vAlign w:val="center"/>
                </w:tcPr>
                <w:p w14:paraId="1827813A">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5</w:t>
                  </w:r>
                </w:p>
              </w:tc>
              <w:tc>
                <w:tcPr>
                  <w:tcW w:w="3431" w:type="pct"/>
                  <w:noWrap w:val="0"/>
                  <w:vAlign w:val="center"/>
                </w:tcPr>
                <w:p w14:paraId="3DD8625B">
                  <w:pPr>
                    <w:pStyle w:val="101"/>
                    <w:bidi w:val="0"/>
                    <w:rPr>
                      <w:rFonts w:hint="default" w:ascii="Times New Roman" w:hAnsi="Times New Roman" w:eastAsia="宋体" w:cs="Times New Roman"/>
                      <w:color w:val="auto"/>
                    </w:rPr>
                  </w:pPr>
                  <w:r>
                    <w:rPr>
                      <w:rFonts w:hint="default" w:ascii="Times New Roman" w:hAnsi="Times New Roman" w:eastAsia="宋体" w:cs="Times New Roman"/>
                      <w:color w:val="auto"/>
                    </w:rPr>
                    <w:t>无法忍受的强烈臭味</w:t>
                  </w:r>
                </w:p>
              </w:tc>
            </w:tr>
          </w:tbl>
          <w:p w14:paraId="23DC0A1A">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类区域臭气强度级别限值为：一类区执行一级控制标准，臭气强度2.5级；二类区执行二级控制标准，臭气强度限值为3级。“说明”强调指出：“将厂边界环境臭气强度控制在3级左右，是人们可以接受的水平”。</w:t>
            </w:r>
          </w:p>
          <w:p w14:paraId="32C5AE43">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产生臭气工序主要为印刷工序。本项目最大臭气强度等级为2级，污染程度为中等污染，污染范围的半径＜200m，其中达到2级的半径＜100m。项目卫生防护距离为生产车间边界外扩100m形成的包络线范围，根据现场调查，车间周边100m范围内无环境敏感点，对其影响较小，100m外恶臭气味（异味）可基本消除，对敏感目标影响不大。</w:t>
            </w:r>
          </w:p>
          <w:p w14:paraId="5F9DDD19">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为了减少恶臭对周围环境的影响，建设项目采取如下措施：</w:t>
            </w:r>
          </w:p>
          <w:p w14:paraId="5EDEE3F9">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1、印刷废气采用整体密闭负压收集，并强化设计、管理，提高收集率。</w:t>
            </w:r>
          </w:p>
          <w:p w14:paraId="4493ADCB">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2、本项目在厂界周围种植树木绿化，同时厂区内布置相应的绿化带，并栽种对有毒气体具有抗性的绿化植物，利用植物对有害气体的吸收作用进行净化空气，减少项目异味对周边环境的影响。</w:t>
            </w:r>
          </w:p>
          <w:p w14:paraId="676D743F">
            <w:pPr>
              <w:pStyle w:val="103"/>
              <w:bidi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该项目在采取以上措施后，臭气强度等级可降至0-1级，对周围环境的影响将大大降低。</w:t>
            </w:r>
          </w:p>
          <w:p w14:paraId="558E039E">
            <w:pPr>
              <w:pStyle w:val="103"/>
              <w:bidi w:val="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综上所述，项目恶臭对周边环境影响较小。</w:t>
            </w:r>
          </w:p>
          <w:p w14:paraId="762ADB82">
            <w:pPr>
              <w:keepNext w:val="0"/>
              <w:keepLines w:val="0"/>
              <w:pageBreakBefore w:val="0"/>
              <w:widowControl w:val="0"/>
              <w:tabs>
                <w:tab w:val="left" w:pos="1155"/>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7、排气筒设置合理性分析及相关标识要求</w:t>
            </w:r>
          </w:p>
          <w:p w14:paraId="0CD11D66">
            <w:pPr>
              <w:keepNext w:val="0"/>
              <w:keepLines w:val="0"/>
              <w:pageBreakBefore w:val="0"/>
              <w:widowControl w:val="0"/>
              <w:tabs>
                <w:tab w:val="left" w:pos="1155"/>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目根据废气产生情况、污染物性质和处理方式，设置1根废气排气筒。所有排气筒高度均符合相关规定要求，并遵循排放同类污染物的排气筒合并的原则，尽量减少排气筒设置。排气筒中各污染物排放浓度及排放速率均能稳定达标，经本报告大气环境影响预测，对周围大气环境影响较小，可确保大气环境质量达标。因此，本项目中排气筒设置合理。</w:t>
            </w:r>
          </w:p>
          <w:p w14:paraId="49318EA8">
            <w:pPr>
              <w:keepNext w:val="0"/>
              <w:keepLines w:val="0"/>
              <w:pageBreakBefore w:val="0"/>
              <w:widowControl w:val="0"/>
              <w:tabs>
                <w:tab w:val="left" w:pos="1155"/>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8、废气排放环境影响分析</w:t>
            </w:r>
          </w:p>
          <w:p w14:paraId="54D6E4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常州市目前属于环境空气质量不达标区，为改善大气环境质量，常州市印发、实施了多项改善大气环境质量、强化废气排放管控的方案和举措，在积极采取管控措施后，常州市环境空气质量将得到持续改善。</w:t>
            </w:r>
          </w:p>
          <w:p w14:paraId="21C51B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Cs/>
                <w:color w:val="auto"/>
                <w:sz w:val="24"/>
                <w:lang w:val="en-US" w:eastAsia="zh-CN"/>
              </w:rPr>
              <w:t>本项目排放的大气污染物为非甲烷总</w:t>
            </w:r>
            <w:r>
              <w:rPr>
                <w:rFonts w:hint="default" w:ascii="Times New Roman" w:hAnsi="Times New Roman" w:eastAsia="宋体" w:cs="Times New Roman"/>
                <w:bCs/>
                <w:color w:val="auto"/>
                <w:sz w:val="24"/>
                <w:szCs w:val="24"/>
                <w:lang w:val="en-US" w:eastAsia="zh-CN"/>
              </w:rPr>
              <w:t>烃</w:t>
            </w:r>
            <w:r>
              <w:rPr>
                <w:rFonts w:hint="default" w:ascii="Times New Roman" w:hAnsi="Times New Roman" w:eastAsia="宋体" w:cs="Times New Roman"/>
                <w:color w:val="auto"/>
                <w:sz w:val="24"/>
                <w:szCs w:val="32"/>
                <w:lang w:eastAsia="zh-CN"/>
              </w:rPr>
              <w:t>、</w:t>
            </w:r>
            <w:r>
              <w:rPr>
                <w:rFonts w:hint="default" w:ascii="Times New Roman" w:hAnsi="Times New Roman" w:eastAsia="宋体" w:cs="Times New Roman"/>
                <w:color w:val="auto"/>
                <w:sz w:val="24"/>
                <w:szCs w:val="32"/>
                <w:lang w:val="en-US" w:eastAsia="zh-CN"/>
              </w:rPr>
              <w:t>甲苯</w:t>
            </w:r>
            <w:r>
              <w:rPr>
                <w:rFonts w:hint="default" w:ascii="Times New Roman" w:hAnsi="Times New Roman" w:eastAsia="宋体" w:cs="Times New Roman"/>
                <w:bCs/>
                <w:color w:val="auto"/>
                <w:sz w:val="24"/>
                <w:szCs w:val="24"/>
                <w:lang w:val="en-US" w:eastAsia="zh-CN"/>
              </w:rPr>
              <w:t>，针对</w:t>
            </w:r>
            <w:r>
              <w:rPr>
                <w:rFonts w:hint="default" w:ascii="Times New Roman" w:hAnsi="Times New Roman" w:eastAsia="宋体" w:cs="Times New Roman"/>
                <w:bCs/>
                <w:color w:val="auto"/>
                <w:sz w:val="24"/>
                <w:lang w:val="en-US" w:eastAsia="zh-CN"/>
              </w:rPr>
              <w:t>各产污环节，采取了合适可行的污染治理措施，经收集处理后的污染物排放强度较低，且本项目</w:t>
            </w:r>
            <w:r>
              <w:rPr>
                <w:rFonts w:hint="default" w:ascii="Times New Roman" w:hAnsi="Times New Roman" w:eastAsia="宋体" w:cs="Times New Roman"/>
                <w:bCs/>
                <w:color w:val="auto"/>
                <w:sz w:val="24"/>
                <w:highlight w:val="none"/>
              </w:rPr>
              <w:t>满足</w:t>
            </w:r>
            <w:r>
              <w:rPr>
                <w:rFonts w:hint="default" w:ascii="Times New Roman" w:hAnsi="Times New Roman" w:eastAsia="宋体" w:cs="Times New Roman"/>
                <w:bCs/>
                <w:color w:val="auto"/>
                <w:sz w:val="24"/>
                <w:highlight w:val="none"/>
                <w:lang w:val="en-US" w:eastAsia="zh-CN"/>
              </w:rPr>
              <w:t>大气</w:t>
            </w:r>
            <w:r>
              <w:rPr>
                <w:rFonts w:hint="default" w:ascii="Times New Roman" w:hAnsi="Times New Roman" w:eastAsia="宋体" w:cs="Times New Roman"/>
                <w:bCs/>
                <w:color w:val="auto"/>
                <w:sz w:val="24"/>
                <w:highlight w:val="none"/>
              </w:rPr>
              <w:t>卫生防护距离设置要求</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故</w:t>
            </w:r>
            <w:r>
              <w:rPr>
                <w:rFonts w:hint="default" w:ascii="Times New Roman" w:hAnsi="Times New Roman" w:eastAsia="宋体" w:cs="Times New Roman"/>
                <w:bCs/>
                <w:color w:val="auto"/>
                <w:sz w:val="24"/>
                <w:szCs w:val="22"/>
              </w:rPr>
              <w:t>本项目废气</w:t>
            </w:r>
            <w:r>
              <w:rPr>
                <w:rFonts w:hint="default" w:ascii="Times New Roman" w:hAnsi="Times New Roman" w:eastAsia="宋体" w:cs="Times New Roman"/>
                <w:bCs/>
                <w:color w:val="auto"/>
                <w:sz w:val="24"/>
                <w:szCs w:val="22"/>
                <w:lang w:val="en-US" w:eastAsia="zh-CN"/>
              </w:rPr>
              <w:t>排放的</w:t>
            </w:r>
            <w:r>
              <w:rPr>
                <w:rFonts w:hint="default" w:ascii="Times New Roman" w:hAnsi="Times New Roman" w:eastAsia="宋体" w:cs="Times New Roman"/>
                <w:bCs/>
                <w:color w:val="auto"/>
                <w:sz w:val="24"/>
                <w:szCs w:val="22"/>
              </w:rPr>
              <w:t>环境影响较小。</w:t>
            </w:r>
          </w:p>
          <w:p w14:paraId="061C578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eastAsia="zh-CN"/>
              </w:rPr>
              <w:t>二</w:t>
            </w:r>
            <w:r>
              <w:rPr>
                <w:rFonts w:hint="default" w:ascii="Times New Roman" w:hAnsi="Times New Roman" w:eastAsia="宋体" w:cs="Times New Roman"/>
                <w:b/>
                <w:color w:val="auto"/>
                <w:sz w:val="24"/>
              </w:rPr>
              <w:t>、废水</w:t>
            </w:r>
          </w:p>
          <w:p w14:paraId="22C62A7D">
            <w:pPr>
              <w:pStyle w:val="86"/>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Cs/>
                <w:color w:val="FF0000"/>
                <w:kern w:val="2"/>
                <w:sz w:val="24"/>
                <w:szCs w:val="24"/>
                <w:lang w:val="en-US" w:eastAsia="zh-CN" w:bidi="ar-SA"/>
              </w:rPr>
            </w:pPr>
            <w:r>
              <w:rPr>
                <w:rFonts w:hint="default" w:ascii="Times New Roman" w:hAnsi="Times New Roman" w:eastAsia="宋体" w:cs="Times New Roman"/>
                <w:bCs/>
                <w:color w:val="auto"/>
                <w:kern w:val="2"/>
                <w:sz w:val="24"/>
                <w:szCs w:val="24"/>
                <w:lang w:val="en-US" w:eastAsia="zh-CN" w:bidi="ar-SA"/>
              </w:rPr>
              <w:t>项目不新增劳动定员，不新增生活污水，</w:t>
            </w:r>
            <w:r>
              <w:rPr>
                <w:rFonts w:hint="eastAsia" w:cs="Times New Roman"/>
                <w:b w:val="0"/>
                <w:bCs/>
                <w:color w:val="auto"/>
                <w:szCs w:val="24"/>
                <w:lang w:val="en-US" w:eastAsia="zh-CN"/>
              </w:rPr>
              <w:t>无生产废水外排。</w:t>
            </w:r>
          </w:p>
          <w:p w14:paraId="0442DA9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color w:val="auto"/>
                <w:sz w:val="24"/>
                <w:highlight w:val="none"/>
                <w:lang w:eastAsia="zh-CN"/>
              </w:rPr>
              <w:t>三</w:t>
            </w:r>
            <w:r>
              <w:rPr>
                <w:rFonts w:hint="default" w:ascii="Times New Roman" w:hAnsi="Times New Roman" w:eastAsia="宋体" w:cs="Times New Roman"/>
                <w:b/>
                <w:color w:val="auto"/>
                <w:sz w:val="24"/>
                <w:highlight w:val="none"/>
              </w:rPr>
              <w:t>、噪声</w:t>
            </w:r>
          </w:p>
          <w:p w14:paraId="1ADB8C7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lang w:val="en-US" w:eastAsia="zh-CN"/>
              </w:rPr>
              <w:t>1、噪声产生及排放情况</w:t>
            </w:r>
          </w:p>
          <w:p w14:paraId="1DB831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本项目高噪声源主要为写真机、UV打印机和废气设施风机等设备，项目噪声源距离1米处声压级在70~80dB(A)之间。</w:t>
            </w:r>
          </w:p>
          <w:p w14:paraId="230F47F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2"/>
              </w:rPr>
            </w:pPr>
            <w:r>
              <w:rPr>
                <w:rFonts w:hint="default" w:ascii="Times New Roman" w:hAnsi="Times New Roman" w:eastAsia="宋体" w:cs="Times New Roman"/>
                <w:bCs/>
                <w:color w:val="auto"/>
                <w:sz w:val="24"/>
                <w:highlight w:val="none"/>
                <w:lang w:val="en-US" w:eastAsia="zh-CN"/>
              </w:rPr>
              <w:t>项目采取的主要治理措施有：合理布局，充分利用厂区建筑物隔声、降噪；在高噪声、高振动设备底部设置减振垫铁；设备加强日常的维护，确保设备的正常运行，避免产生异常噪声。项目主要噪声源产生及排放情况如下表所示。</w:t>
            </w:r>
          </w:p>
        </w:tc>
      </w:tr>
    </w:tbl>
    <w:p w14:paraId="359CB630">
      <w:pPr>
        <w:pStyle w:val="22"/>
        <w:spacing w:before="0" w:beforeAutospacing="0" w:after="0" w:afterAutospacing="0"/>
        <w:jc w:val="center"/>
        <w:outlineLvl w:val="0"/>
        <w:rPr>
          <w:rFonts w:hint="default" w:ascii="Times New Roman" w:hAnsi="Times New Roman" w:eastAsia="宋体" w:cs="Times New Roman"/>
          <w:snapToGrid w:val="0"/>
          <w:color w:val="auto"/>
          <w:sz w:val="30"/>
          <w:szCs w:val="30"/>
        </w:rPr>
        <w:sectPr>
          <w:headerReference r:id="rId7" w:type="default"/>
          <w:pgSz w:w="11906" w:h="16838"/>
          <w:pgMar w:top="1417" w:right="1417" w:bottom="1417" w:left="1417" w:header="851" w:footer="1134" w:gutter="0"/>
          <w:pgBorders>
            <w:top w:val="none" w:sz="0" w:space="0"/>
            <w:left w:val="none" w:sz="0" w:space="0"/>
            <w:bottom w:val="none" w:sz="0" w:space="0"/>
            <w:right w:val="none" w:sz="0" w:space="0"/>
          </w:pgBorders>
          <w:cols w:space="720" w:num="1"/>
          <w:docGrid w:linePitch="312" w:charSpace="0"/>
        </w:sect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1AB3D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3652" w:type="dxa"/>
          </w:tcPr>
          <w:p w14:paraId="49AF5F1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表4-1</w:t>
            </w:r>
            <w:r>
              <w:rPr>
                <w:rFonts w:hint="default" w:ascii="Times New Roman" w:hAnsi="Times New Roman" w:eastAsia="宋体" w:cs="Times New Roman"/>
                <w:b/>
                <w:bCs/>
                <w:color w:val="auto"/>
                <w:sz w:val="21"/>
                <w:szCs w:val="21"/>
                <w:lang w:val="en-US" w:eastAsia="zh-CN"/>
              </w:rPr>
              <w:t xml:space="preserve">0 </w:t>
            </w:r>
            <w:r>
              <w:rPr>
                <w:rFonts w:hint="default" w:ascii="Times New Roman" w:hAnsi="Times New Roman" w:eastAsia="宋体" w:cs="Times New Roman"/>
                <w:b/>
                <w:bCs/>
                <w:color w:val="auto"/>
                <w:sz w:val="21"/>
                <w:szCs w:val="21"/>
              </w:rPr>
              <w:t>本项目主要噪声污染源一览表</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室内声源</w:t>
            </w:r>
            <w:r>
              <w:rPr>
                <w:rFonts w:hint="default" w:ascii="Times New Roman" w:hAnsi="Times New Roman" w:eastAsia="宋体" w:cs="Times New Roman"/>
                <w:b/>
                <w:bCs/>
                <w:color w:val="auto"/>
                <w:sz w:val="21"/>
                <w:szCs w:val="21"/>
                <w:lang w:eastAsia="zh-CN"/>
              </w:rPr>
              <w:t>）</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758"/>
              <w:gridCol w:w="1767"/>
              <w:gridCol w:w="527"/>
              <w:gridCol w:w="1229"/>
              <w:gridCol w:w="1197"/>
              <w:gridCol w:w="626"/>
              <w:gridCol w:w="626"/>
              <w:gridCol w:w="686"/>
              <w:gridCol w:w="780"/>
              <w:gridCol w:w="774"/>
              <w:gridCol w:w="600"/>
              <w:gridCol w:w="1078"/>
              <w:gridCol w:w="1078"/>
              <w:gridCol w:w="1151"/>
            </w:tblGrid>
            <w:tr w14:paraId="75C85D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vMerge w:val="restart"/>
                  <w:noWrap w:val="0"/>
                  <w:vAlign w:val="center"/>
                </w:tcPr>
                <w:p w14:paraId="1BDBEF63">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序号</w:t>
                  </w:r>
                </w:p>
              </w:tc>
              <w:tc>
                <w:tcPr>
                  <w:tcW w:w="282" w:type="pct"/>
                  <w:vMerge w:val="restart"/>
                  <w:noWrap w:val="0"/>
                  <w:vAlign w:val="center"/>
                </w:tcPr>
                <w:p w14:paraId="197AA9E6">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建筑物名称</w:t>
                  </w:r>
                </w:p>
              </w:tc>
              <w:tc>
                <w:tcPr>
                  <w:tcW w:w="657" w:type="pct"/>
                  <w:vMerge w:val="restart"/>
                  <w:noWrap w:val="0"/>
                  <w:vAlign w:val="center"/>
                </w:tcPr>
                <w:p w14:paraId="513327A7">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声源名称</w:t>
                  </w:r>
                </w:p>
              </w:tc>
              <w:tc>
                <w:tcPr>
                  <w:tcW w:w="196" w:type="pct"/>
                  <w:vMerge w:val="restart"/>
                  <w:noWrap w:val="0"/>
                  <w:vAlign w:val="center"/>
                </w:tcPr>
                <w:p w14:paraId="09B53259">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bCs/>
                      <w:color w:val="auto"/>
                      <w:lang w:val="en-US" w:eastAsia="zh-CN"/>
                    </w:rPr>
                    <w:t>数量</w:t>
                  </w:r>
                </w:p>
              </w:tc>
              <w:tc>
                <w:tcPr>
                  <w:tcW w:w="457" w:type="pct"/>
                  <w:noWrap w:val="0"/>
                  <w:vAlign w:val="center"/>
                </w:tcPr>
                <w:p w14:paraId="06773446">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声源源强</w:t>
                  </w:r>
                </w:p>
              </w:tc>
              <w:tc>
                <w:tcPr>
                  <w:tcW w:w="445" w:type="pct"/>
                  <w:vMerge w:val="restart"/>
                  <w:noWrap w:val="0"/>
                  <w:vAlign w:val="center"/>
                </w:tcPr>
                <w:p w14:paraId="3902CA07">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声源控制措施</w:t>
                  </w:r>
                </w:p>
              </w:tc>
              <w:tc>
                <w:tcPr>
                  <w:tcW w:w="721" w:type="pct"/>
                  <w:gridSpan w:val="3"/>
                  <w:noWrap w:val="0"/>
                  <w:vAlign w:val="center"/>
                </w:tcPr>
                <w:p w14:paraId="6D578074">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空间相对位置/m</w:t>
                  </w:r>
                </w:p>
              </w:tc>
              <w:tc>
                <w:tcPr>
                  <w:tcW w:w="290" w:type="pct"/>
                  <w:vMerge w:val="restart"/>
                  <w:noWrap w:val="0"/>
                  <w:vAlign w:val="center"/>
                </w:tcPr>
                <w:p w14:paraId="5B4C15C2">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距室内边界</w:t>
                  </w:r>
                  <w:r>
                    <w:rPr>
                      <w:rFonts w:hint="default" w:ascii="Times New Roman" w:hAnsi="Times New Roman" w:eastAsia="宋体" w:cs="Times New Roman"/>
                      <w:b/>
                      <w:color w:val="auto"/>
                      <w:lang w:eastAsia="zh-CN"/>
                    </w:rPr>
                    <w:t>最近</w:t>
                  </w:r>
                  <w:r>
                    <w:rPr>
                      <w:rFonts w:hint="default" w:ascii="Times New Roman" w:hAnsi="Times New Roman" w:eastAsia="宋体" w:cs="Times New Roman"/>
                      <w:b/>
                      <w:color w:val="auto"/>
                    </w:rPr>
                    <w:t>距离/m</w:t>
                  </w:r>
                </w:p>
              </w:tc>
              <w:tc>
                <w:tcPr>
                  <w:tcW w:w="288" w:type="pct"/>
                  <w:vMerge w:val="restart"/>
                  <w:noWrap w:val="0"/>
                  <w:vAlign w:val="center"/>
                </w:tcPr>
                <w:p w14:paraId="5E448843">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室内边界声级</w:t>
                  </w:r>
                </w:p>
              </w:tc>
              <w:tc>
                <w:tcPr>
                  <w:tcW w:w="223" w:type="pct"/>
                  <w:vMerge w:val="restart"/>
                  <w:noWrap w:val="0"/>
                  <w:vAlign w:val="center"/>
                </w:tcPr>
                <w:p w14:paraId="0E70BD53">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运行时段</w:t>
                  </w:r>
                </w:p>
              </w:tc>
              <w:tc>
                <w:tcPr>
                  <w:tcW w:w="401" w:type="pct"/>
                  <w:vMerge w:val="restart"/>
                  <w:noWrap w:val="0"/>
                  <w:vAlign w:val="center"/>
                </w:tcPr>
                <w:p w14:paraId="446A6ABE">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建筑物插入损失/dB(A)</w:t>
                  </w:r>
                </w:p>
              </w:tc>
              <w:tc>
                <w:tcPr>
                  <w:tcW w:w="829" w:type="pct"/>
                  <w:gridSpan w:val="2"/>
                  <w:noWrap w:val="0"/>
                  <w:vAlign w:val="center"/>
                </w:tcPr>
                <w:p w14:paraId="4DECC578">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建筑物外噪声</w:t>
                  </w:r>
                </w:p>
              </w:tc>
            </w:tr>
            <w:tr w14:paraId="5EC060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vMerge w:val="continue"/>
                  <w:noWrap w:val="0"/>
                  <w:vAlign w:val="center"/>
                </w:tcPr>
                <w:p w14:paraId="513A68F2">
                  <w:pPr>
                    <w:adjustRightInd w:val="0"/>
                    <w:snapToGrid w:val="0"/>
                    <w:ind w:left="-105" w:leftChars="-50" w:right="-105" w:rightChars="-50"/>
                    <w:jc w:val="center"/>
                    <w:rPr>
                      <w:rFonts w:hint="default" w:ascii="Times New Roman" w:hAnsi="Times New Roman" w:eastAsia="宋体" w:cs="Times New Roman"/>
                      <w:b/>
                      <w:color w:val="auto"/>
                    </w:rPr>
                  </w:pPr>
                </w:p>
              </w:tc>
              <w:tc>
                <w:tcPr>
                  <w:tcW w:w="282" w:type="pct"/>
                  <w:vMerge w:val="continue"/>
                  <w:noWrap w:val="0"/>
                  <w:vAlign w:val="center"/>
                </w:tcPr>
                <w:p w14:paraId="04CE50AC">
                  <w:pPr>
                    <w:adjustRightInd w:val="0"/>
                    <w:snapToGrid w:val="0"/>
                    <w:ind w:left="-105" w:leftChars="-50" w:right="-105" w:rightChars="-50"/>
                    <w:jc w:val="center"/>
                    <w:rPr>
                      <w:rFonts w:hint="default" w:ascii="Times New Roman" w:hAnsi="Times New Roman" w:eastAsia="宋体" w:cs="Times New Roman"/>
                      <w:b/>
                      <w:color w:val="auto"/>
                    </w:rPr>
                  </w:pPr>
                </w:p>
              </w:tc>
              <w:tc>
                <w:tcPr>
                  <w:tcW w:w="657" w:type="pct"/>
                  <w:vMerge w:val="continue"/>
                  <w:noWrap w:val="0"/>
                  <w:vAlign w:val="center"/>
                </w:tcPr>
                <w:p w14:paraId="2330F8C9">
                  <w:pPr>
                    <w:adjustRightInd w:val="0"/>
                    <w:snapToGrid w:val="0"/>
                    <w:ind w:left="-105" w:leftChars="-50" w:right="-105" w:rightChars="-50"/>
                    <w:jc w:val="center"/>
                    <w:rPr>
                      <w:rFonts w:hint="default" w:ascii="Times New Roman" w:hAnsi="Times New Roman" w:eastAsia="宋体" w:cs="Times New Roman"/>
                      <w:b/>
                      <w:color w:val="auto"/>
                    </w:rPr>
                  </w:pPr>
                </w:p>
              </w:tc>
              <w:tc>
                <w:tcPr>
                  <w:tcW w:w="196" w:type="pct"/>
                  <w:vMerge w:val="continue"/>
                  <w:noWrap w:val="0"/>
                  <w:vAlign w:val="center"/>
                </w:tcPr>
                <w:p w14:paraId="7A1A28B0">
                  <w:pPr>
                    <w:adjustRightInd w:val="0"/>
                    <w:snapToGrid w:val="0"/>
                    <w:ind w:left="-105" w:leftChars="-50" w:right="-105" w:rightChars="-50"/>
                    <w:jc w:val="center"/>
                    <w:rPr>
                      <w:rFonts w:hint="default" w:ascii="Times New Roman" w:hAnsi="Times New Roman" w:eastAsia="宋体" w:cs="Times New Roman"/>
                      <w:b/>
                      <w:color w:val="auto"/>
                    </w:rPr>
                  </w:pPr>
                </w:p>
              </w:tc>
              <w:tc>
                <w:tcPr>
                  <w:tcW w:w="457" w:type="pct"/>
                  <w:noWrap w:val="0"/>
                  <w:vAlign w:val="center"/>
                </w:tcPr>
                <w:p w14:paraId="60B7DA6E">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声</w:t>
                  </w:r>
                  <w:r>
                    <w:rPr>
                      <w:rFonts w:hint="default" w:ascii="Times New Roman" w:hAnsi="Times New Roman" w:eastAsia="宋体" w:cs="Times New Roman"/>
                      <w:b/>
                      <w:color w:val="auto"/>
                      <w:lang w:eastAsia="zh-CN"/>
                    </w:rPr>
                    <w:t>功率</w:t>
                  </w:r>
                  <w:r>
                    <w:rPr>
                      <w:rFonts w:hint="default" w:ascii="Times New Roman" w:hAnsi="Times New Roman" w:eastAsia="宋体" w:cs="Times New Roman"/>
                      <w:b/>
                      <w:color w:val="auto"/>
                    </w:rPr>
                    <w:t>级/dB(A)</w:t>
                  </w:r>
                </w:p>
              </w:tc>
              <w:tc>
                <w:tcPr>
                  <w:tcW w:w="445" w:type="pct"/>
                  <w:vMerge w:val="continue"/>
                  <w:noWrap w:val="0"/>
                  <w:vAlign w:val="center"/>
                </w:tcPr>
                <w:p w14:paraId="57490B2D">
                  <w:pPr>
                    <w:adjustRightInd w:val="0"/>
                    <w:snapToGrid w:val="0"/>
                    <w:ind w:left="-105" w:leftChars="-50" w:right="-105" w:rightChars="-50"/>
                    <w:jc w:val="center"/>
                    <w:rPr>
                      <w:rFonts w:hint="default" w:ascii="Times New Roman" w:hAnsi="Times New Roman" w:eastAsia="宋体" w:cs="Times New Roman"/>
                      <w:b/>
                      <w:color w:val="auto"/>
                    </w:rPr>
                  </w:pPr>
                </w:p>
              </w:tc>
              <w:tc>
                <w:tcPr>
                  <w:tcW w:w="233" w:type="pct"/>
                  <w:noWrap w:val="0"/>
                  <w:vAlign w:val="center"/>
                </w:tcPr>
                <w:p w14:paraId="388EADE9">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X</w:t>
                  </w:r>
                </w:p>
              </w:tc>
              <w:tc>
                <w:tcPr>
                  <w:tcW w:w="233" w:type="pct"/>
                  <w:noWrap w:val="0"/>
                  <w:vAlign w:val="center"/>
                </w:tcPr>
                <w:p w14:paraId="3D8088C6">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Y</w:t>
                  </w:r>
                </w:p>
              </w:tc>
              <w:tc>
                <w:tcPr>
                  <w:tcW w:w="255" w:type="pct"/>
                  <w:noWrap w:val="0"/>
                  <w:vAlign w:val="center"/>
                </w:tcPr>
                <w:p w14:paraId="5B6AF49D">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Z</w:t>
                  </w:r>
                </w:p>
              </w:tc>
              <w:tc>
                <w:tcPr>
                  <w:tcW w:w="290" w:type="pct"/>
                  <w:vMerge w:val="continue"/>
                  <w:noWrap w:val="0"/>
                  <w:vAlign w:val="center"/>
                </w:tcPr>
                <w:p w14:paraId="7711B92F">
                  <w:pPr>
                    <w:adjustRightInd w:val="0"/>
                    <w:snapToGrid w:val="0"/>
                    <w:ind w:left="-105" w:leftChars="-50" w:right="-105" w:rightChars="-50"/>
                    <w:jc w:val="center"/>
                    <w:rPr>
                      <w:rFonts w:hint="default" w:ascii="Times New Roman" w:hAnsi="Times New Roman" w:eastAsia="宋体" w:cs="Times New Roman"/>
                      <w:b/>
                      <w:color w:val="auto"/>
                    </w:rPr>
                  </w:pPr>
                </w:p>
              </w:tc>
              <w:tc>
                <w:tcPr>
                  <w:tcW w:w="288" w:type="pct"/>
                  <w:vMerge w:val="continue"/>
                  <w:noWrap w:val="0"/>
                  <w:vAlign w:val="center"/>
                </w:tcPr>
                <w:p w14:paraId="52A01EE8">
                  <w:pPr>
                    <w:adjustRightInd w:val="0"/>
                    <w:snapToGrid w:val="0"/>
                    <w:ind w:left="-105" w:leftChars="-50" w:right="-105" w:rightChars="-50"/>
                    <w:jc w:val="center"/>
                    <w:rPr>
                      <w:rFonts w:hint="default" w:ascii="Times New Roman" w:hAnsi="Times New Roman" w:eastAsia="宋体" w:cs="Times New Roman"/>
                      <w:b/>
                      <w:color w:val="auto"/>
                    </w:rPr>
                  </w:pPr>
                </w:p>
              </w:tc>
              <w:tc>
                <w:tcPr>
                  <w:tcW w:w="223" w:type="pct"/>
                  <w:vMerge w:val="continue"/>
                  <w:noWrap w:val="0"/>
                  <w:vAlign w:val="center"/>
                </w:tcPr>
                <w:p w14:paraId="781CEE41">
                  <w:pPr>
                    <w:adjustRightInd w:val="0"/>
                    <w:snapToGrid w:val="0"/>
                    <w:ind w:left="-105" w:leftChars="-50" w:right="-105" w:rightChars="-50"/>
                    <w:jc w:val="center"/>
                    <w:rPr>
                      <w:rFonts w:hint="default" w:ascii="Times New Roman" w:hAnsi="Times New Roman" w:eastAsia="宋体" w:cs="Times New Roman"/>
                      <w:b/>
                      <w:color w:val="auto"/>
                    </w:rPr>
                  </w:pPr>
                </w:p>
              </w:tc>
              <w:tc>
                <w:tcPr>
                  <w:tcW w:w="401" w:type="pct"/>
                  <w:vMerge w:val="continue"/>
                  <w:noWrap w:val="0"/>
                  <w:vAlign w:val="center"/>
                </w:tcPr>
                <w:p w14:paraId="6B92341F">
                  <w:pPr>
                    <w:adjustRightInd w:val="0"/>
                    <w:snapToGrid w:val="0"/>
                    <w:ind w:left="-105" w:leftChars="-50" w:right="-105" w:rightChars="-50"/>
                    <w:jc w:val="center"/>
                    <w:rPr>
                      <w:rFonts w:hint="default" w:ascii="Times New Roman" w:hAnsi="Times New Roman" w:eastAsia="宋体" w:cs="Times New Roman"/>
                      <w:b/>
                      <w:color w:val="auto"/>
                    </w:rPr>
                  </w:pPr>
                </w:p>
              </w:tc>
              <w:tc>
                <w:tcPr>
                  <w:tcW w:w="401" w:type="pct"/>
                  <w:noWrap w:val="0"/>
                  <w:vAlign w:val="center"/>
                </w:tcPr>
                <w:p w14:paraId="132555DA">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声压级/dB(A)</w:t>
                  </w:r>
                </w:p>
              </w:tc>
              <w:tc>
                <w:tcPr>
                  <w:tcW w:w="428" w:type="pct"/>
                  <w:noWrap w:val="0"/>
                  <w:vAlign w:val="center"/>
                </w:tcPr>
                <w:p w14:paraId="46EBD280">
                  <w:pPr>
                    <w:adjustRightInd w:val="0"/>
                    <w:snapToGrid w:val="0"/>
                    <w:ind w:left="-105" w:leftChars="-50" w:right="-105" w:rightChars="-50"/>
                    <w:jc w:val="center"/>
                    <w:rPr>
                      <w:rFonts w:hint="default" w:ascii="Times New Roman" w:hAnsi="Times New Roman" w:eastAsia="宋体" w:cs="Times New Roman"/>
                      <w:b/>
                      <w:color w:val="auto"/>
                    </w:rPr>
                  </w:pPr>
                  <w:r>
                    <w:rPr>
                      <w:rFonts w:hint="default" w:ascii="Times New Roman" w:hAnsi="Times New Roman" w:eastAsia="宋体" w:cs="Times New Roman"/>
                      <w:b/>
                      <w:color w:val="auto"/>
                    </w:rPr>
                    <w:t>建筑物外距离</w:t>
                  </w:r>
                </w:p>
              </w:tc>
            </w:tr>
            <w:tr w14:paraId="4C11BD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noWrap w:val="0"/>
                  <w:vAlign w:val="center"/>
                </w:tcPr>
                <w:p w14:paraId="1C0B3902">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1</w:t>
                  </w:r>
                </w:p>
              </w:tc>
              <w:tc>
                <w:tcPr>
                  <w:tcW w:w="282" w:type="pct"/>
                  <w:vMerge w:val="restart"/>
                  <w:noWrap w:val="0"/>
                  <w:vAlign w:val="center"/>
                </w:tcPr>
                <w:p w14:paraId="563088E8">
                  <w:pPr>
                    <w:adjustRightInd w:val="0"/>
                    <w:snapToGrid w:val="0"/>
                    <w:ind w:left="-105" w:leftChars="-50" w:right="-105" w:rightChars="-5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车间</w:t>
                  </w:r>
                </w:p>
              </w:tc>
              <w:tc>
                <w:tcPr>
                  <w:tcW w:w="657" w:type="pct"/>
                  <w:noWrap w:val="0"/>
                  <w:vAlign w:val="center"/>
                </w:tcPr>
                <w:p w14:paraId="71CD157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1#写真机</w:t>
                  </w:r>
                </w:p>
              </w:tc>
              <w:tc>
                <w:tcPr>
                  <w:tcW w:w="196" w:type="pct"/>
                  <w:noWrap w:val="0"/>
                  <w:vAlign w:val="center"/>
                </w:tcPr>
                <w:p w14:paraId="5BBAFB76">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Cs/>
                      <w:color w:val="auto"/>
                      <w:kern w:val="2"/>
                      <w:sz w:val="21"/>
                      <w:szCs w:val="21"/>
                      <w:lang w:val="en-US" w:eastAsia="zh-CN" w:bidi="ar-SA"/>
                    </w:rPr>
                    <w:t>1</w:t>
                  </w:r>
                </w:p>
              </w:tc>
              <w:tc>
                <w:tcPr>
                  <w:tcW w:w="457" w:type="pct"/>
                  <w:noWrap w:val="0"/>
                  <w:vAlign w:val="center"/>
                </w:tcPr>
                <w:p w14:paraId="413B1A45">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70</w:t>
                  </w:r>
                </w:p>
              </w:tc>
              <w:tc>
                <w:tcPr>
                  <w:tcW w:w="445" w:type="pct"/>
                  <w:vMerge w:val="restart"/>
                  <w:noWrap w:val="0"/>
                  <w:vAlign w:val="center"/>
                </w:tcPr>
                <w:p w14:paraId="561A9B63">
                  <w:pPr>
                    <w:adjustRightInd w:val="0"/>
                    <w:snapToGrid w:val="0"/>
                    <w:ind w:left="-105" w:leftChars="-50" w:right="-105" w:rightChars="-50"/>
                    <w:jc w:val="center"/>
                    <w:rPr>
                      <w:rFonts w:hint="default" w:ascii="Times New Roman" w:hAnsi="Times New Roman" w:eastAsia="宋体" w:cs="Times New Roman"/>
                      <w:bCs/>
                      <w:color w:val="auto"/>
                      <w:szCs w:val="20"/>
                    </w:rPr>
                  </w:pPr>
                  <w:r>
                    <w:rPr>
                      <w:rFonts w:hint="default" w:ascii="Times New Roman" w:hAnsi="Times New Roman" w:eastAsia="宋体" w:cs="Times New Roman"/>
                      <w:bCs/>
                      <w:color w:val="auto"/>
                      <w:szCs w:val="20"/>
                    </w:rPr>
                    <w:t>减振、厂房隔音</w:t>
                  </w:r>
                </w:p>
              </w:tc>
              <w:tc>
                <w:tcPr>
                  <w:tcW w:w="233" w:type="pct"/>
                  <w:noWrap w:val="0"/>
                  <w:vAlign w:val="center"/>
                </w:tcPr>
                <w:p w14:paraId="7FC817AD">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w:t>
                  </w:r>
                </w:p>
              </w:tc>
              <w:tc>
                <w:tcPr>
                  <w:tcW w:w="233" w:type="pct"/>
                  <w:noWrap w:val="0"/>
                  <w:vAlign w:val="center"/>
                </w:tcPr>
                <w:p w14:paraId="012AA99A">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27</w:t>
                  </w:r>
                </w:p>
              </w:tc>
              <w:tc>
                <w:tcPr>
                  <w:tcW w:w="255" w:type="pct"/>
                  <w:noWrap w:val="0"/>
                  <w:vAlign w:val="center"/>
                </w:tcPr>
                <w:p w14:paraId="7D2CA13A">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290" w:type="pct"/>
                  <w:noWrap w:val="0"/>
                  <w:vAlign w:val="center"/>
                </w:tcPr>
                <w:p w14:paraId="6966CA68">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288" w:type="pct"/>
                  <w:noWrap w:val="0"/>
                  <w:vAlign w:val="center"/>
                </w:tcPr>
                <w:p w14:paraId="3CF474D3">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63.9</w:t>
                  </w:r>
                </w:p>
              </w:tc>
              <w:tc>
                <w:tcPr>
                  <w:tcW w:w="223" w:type="pct"/>
                  <w:noWrap w:val="0"/>
                  <w:vAlign w:val="center"/>
                </w:tcPr>
                <w:p w14:paraId="4F686E38">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h</w:t>
                  </w:r>
                </w:p>
              </w:tc>
              <w:tc>
                <w:tcPr>
                  <w:tcW w:w="401" w:type="pct"/>
                  <w:noWrap w:val="0"/>
                  <w:vAlign w:val="center"/>
                </w:tcPr>
                <w:p w14:paraId="6AD3817F">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401" w:type="pct"/>
                  <w:noWrap w:val="0"/>
                  <w:vAlign w:val="center"/>
                </w:tcPr>
                <w:p w14:paraId="7B9F20B0">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43.9</w:t>
                  </w:r>
                </w:p>
              </w:tc>
              <w:tc>
                <w:tcPr>
                  <w:tcW w:w="428" w:type="pct"/>
                  <w:noWrap w:val="0"/>
                  <w:vAlign w:val="center"/>
                </w:tcPr>
                <w:p w14:paraId="52330024">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1m</w:t>
                  </w:r>
                </w:p>
              </w:tc>
            </w:tr>
            <w:tr w14:paraId="1F8AFD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noWrap w:val="0"/>
                  <w:vAlign w:val="center"/>
                </w:tcPr>
                <w:p w14:paraId="05EE9306">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282" w:type="pct"/>
                  <w:vMerge w:val="continue"/>
                  <w:noWrap w:val="0"/>
                  <w:vAlign w:val="center"/>
                </w:tcPr>
                <w:p w14:paraId="63D8E857">
                  <w:pPr>
                    <w:adjustRightInd w:val="0"/>
                    <w:snapToGrid w:val="0"/>
                    <w:ind w:left="-105" w:leftChars="-50" w:right="-105" w:rightChars="-50"/>
                    <w:jc w:val="center"/>
                    <w:rPr>
                      <w:rFonts w:hint="default" w:ascii="Times New Roman" w:hAnsi="Times New Roman" w:eastAsia="宋体" w:cs="Times New Roman"/>
                      <w:color w:val="auto"/>
                    </w:rPr>
                  </w:pPr>
                </w:p>
              </w:tc>
              <w:tc>
                <w:tcPr>
                  <w:tcW w:w="657" w:type="pct"/>
                  <w:noWrap w:val="0"/>
                  <w:vAlign w:val="center"/>
                </w:tcPr>
                <w:p w14:paraId="7781E1E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2#写真机</w:t>
                  </w:r>
                </w:p>
              </w:tc>
              <w:tc>
                <w:tcPr>
                  <w:tcW w:w="196" w:type="pct"/>
                  <w:noWrap w:val="0"/>
                  <w:vAlign w:val="center"/>
                </w:tcPr>
                <w:p w14:paraId="44365B94">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Cs/>
                      <w:color w:val="auto"/>
                      <w:kern w:val="2"/>
                      <w:sz w:val="21"/>
                      <w:szCs w:val="21"/>
                      <w:lang w:val="en-US" w:eastAsia="zh-CN" w:bidi="ar-SA"/>
                    </w:rPr>
                    <w:t>1</w:t>
                  </w:r>
                </w:p>
              </w:tc>
              <w:tc>
                <w:tcPr>
                  <w:tcW w:w="457" w:type="pct"/>
                  <w:noWrap w:val="0"/>
                  <w:vAlign w:val="center"/>
                </w:tcPr>
                <w:p w14:paraId="4AB511A8">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70</w:t>
                  </w:r>
                </w:p>
              </w:tc>
              <w:tc>
                <w:tcPr>
                  <w:tcW w:w="445" w:type="pct"/>
                  <w:vMerge w:val="continue"/>
                  <w:noWrap w:val="0"/>
                  <w:vAlign w:val="center"/>
                </w:tcPr>
                <w:p w14:paraId="60B105E0">
                  <w:pPr>
                    <w:adjustRightInd w:val="0"/>
                    <w:snapToGrid w:val="0"/>
                    <w:ind w:left="-105" w:leftChars="-50" w:right="-105" w:rightChars="-50"/>
                    <w:jc w:val="center"/>
                    <w:rPr>
                      <w:rFonts w:hint="default" w:ascii="Times New Roman" w:hAnsi="Times New Roman" w:eastAsia="宋体" w:cs="Times New Roman"/>
                      <w:bCs/>
                      <w:color w:val="auto"/>
                      <w:szCs w:val="20"/>
                    </w:rPr>
                  </w:pPr>
                </w:p>
              </w:tc>
              <w:tc>
                <w:tcPr>
                  <w:tcW w:w="233" w:type="pct"/>
                  <w:noWrap w:val="0"/>
                  <w:vAlign w:val="center"/>
                </w:tcPr>
                <w:p w14:paraId="19E6EA62">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w:t>
                  </w:r>
                </w:p>
              </w:tc>
              <w:tc>
                <w:tcPr>
                  <w:tcW w:w="233" w:type="pct"/>
                  <w:noWrap w:val="0"/>
                  <w:vAlign w:val="center"/>
                </w:tcPr>
                <w:p w14:paraId="5EA294B0">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23</w:t>
                  </w:r>
                </w:p>
              </w:tc>
              <w:tc>
                <w:tcPr>
                  <w:tcW w:w="255" w:type="pct"/>
                  <w:noWrap w:val="0"/>
                  <w:vAlign w:val="center"/>
                </w:tcPr>
                <w:p w14:paraId="0A49C612">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290" w:type="pct"/>
                  <w:noWrap w:val="0"/>
                  <w:vAlign w:val="center"/>
                </w:tcPr>
                <w:p w14:paraId="675B400B">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288" w:type="pct"/>
                  <w:noWrap w:val="0"/>
                  <w:vAlign w:val="center"/>
                </w:tcPr>
                <w:p w14:paraId="29B9C41B">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63.9</w:t>
                  </w:r>
                </w:p>
              </w:tc>
              <w:tc>
                <w:tcPr>
                  <w:tcW w:w="223" w:type="pct"/>
                  <w:noWrap w:val="0"/>
                  <w:vAlign w:val="center"/>
                </w:tcPr>
                <w:p w14:paraId="5D74EC1A">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h</w:t>
                  </w:r>
                </w:p>
              </w:tc>
              <w:tc>
                <w:tcPr>
                  <w:tcW w:w="401" w:type="pct"/>
                  <w:noWrap w:val="0"/>
                  <w:vAlign w:val="center"/>
                </w:tcPr>
                <w:p w14:paraId="1DC85120">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401" w:type="pct"/>
                  <w:noWrap w:val="0"/>
                  <w:vAlign w:val="center"/>
                </w:tcPr>
                <w:p w14:paraId="5D1278A3">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43.9</w:t>
                  </w:r>
                </w:p>
              </w:tc>
              <w:tc>
                <w:tcPr>
                  <w:tcW w:w="428" w:type="pct"/>
                  <w:noWrap w:val="0"/>
                  <w:vAlign w:val="center"/>
                </w:tcPr>
                <w:p w14:paraId="268BFA33">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1m</w:t>
                  </w:r>
                </w:p>
              </w:tc>
            </w:tr>
            <w:tr w14:paraId="0B6189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noWrap w:val="0"/>
                  <w:vAlign w:val="center"/>
                </w:tcPr>
                <w:p w14:paraId="07BD0E01">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282" w:type="pct"/>
                  <w:vMerge w:val="continue"/>
                  <w:noWrap w:val="0"/>
                  <w:vAlign w:val="center"/>
                </w:tcPr>
                <w:p w14:paraId="1EEE57F4">
                  <w:pPr>
                    <w:adjustRightInd w:val="0"/>
                    <w:snapToGrid w:val="0"/>
                    <w:ind w:left="-105" w:leftChars="-50" w:right="-105" w:rightChars="-50"/>
                    <w:jc w:val="center"/>
                    <w:rPr>
                      <w:rFonts w:hint="default" w:ascii="Times New Roman" w:hAnsi="Times New Roman" w:eastAsia="宋体" w:cs="Times New Roman"/>
                      <w:color w:val="auto"/>
                    </w:rPr>
                  </w:pPr>
                </w:p>
              </w:tc>
              <w:tc>
                <w:tcPr>
                  <w:tcW w:w="657" w:type="pct"/>
                  <w:noWrap w:val="0"/>
                  <w:vAlign w:val="center"/>
                </w:tcPr>
                <w:p w14:paraId="139BE6E2">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3#写真机</w:t>
                  </w:r>
                </w:p>
              </w:tc>
              <w:tc>
                <w:tcPr>
                  <w:tcW w:w="196" w:type="pct"/>
                  <w:noWrap w:val="0"/>
                  <w:vAlign w:val="center"/>
                </w:tcPr>
                <w:p w14:paraId="76B01048">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Cs/>
                      <w:color w:val="auto"/>
                      <w:sz w:val="21"/>
                      <w:szCs w:val="21"/>
                      <w:lang w:val="en-US" w:eastAsia="zh-CN"/>
                    </w:rPr>
                    <w:t>1</w:t>
                  </w:r>
                </w:p>
              </w:tc>
              <w:tc>
                <w:tcPr>
                  <w:tcW w:w="457" w:type="pct"/>
                  <w:noWrap w:val="0"/>
                  <w:vAlign w:val="center"/>
                </w:tcPr>
                <w:p w14:paraId="4AA2486C">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70</w:t>
                  </w:r>
                </w:p>
              </w:tc>
              <w:tc>
                <w:tcPr>
                  <w:tcW w:w="445" w:type="pct"/>
                  <w:vMerge w:val="continue"/>
                  <w:noWrap w:val="0"/>
                  <w:vAlign w:val="center"/>
                </w:tcPr>
                <w:p w14:paraId="7F3DDBDE">
                  <w:pPr>
                    <w:adjustRightInd w:val="0"/>
                    <w:snapToGrid w:val="0"/>
                    <w:ind w:left="-105" w:leftChars="-50" w:right="-105" w:rightChars="-50"/>
                    <w:jc w:val="center"/>
                    <w:rPr>
                      <w:rFonts w:hint="default" w:ascii="Times New Roman" w:hAnsi="Times New Roman" w:eastAsia="宋体" w:cs="Times New Roman"/>
                      <w:bCs/>
                      <w:color w:val="auto"/>
                      <w:szCs w:val="20"/>
                    </w:rPr>
                  </w:pPr>
                </w:p>
              </w:tc>
              <w:tc>
                <w:tcPr>
                  <w:tcW w:w="233" w:type="pct"/>
                  <w:noWrap w:val="0"/>
                  <w:vAlign w:val="center"/>
                </w:tcPr>
                <w:p w14:paraId="4680B92D">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w:t>
                  </w:r>
                </w:p>
              </w:tc>
              <w:tc>
                <w:tcPr>
                  <w:tcW w:w="233" w:type="pct"/>
                  <w:noWrap w:val="0"/>
                  <w:vAlign w:val="center"/>
                </w:tcPr>
                <w:p w14:paraId="1D1E4C40">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19</w:t>
                  </w:r>
                </w:p>
              </w:tc>
              <w:tc>
                <w:tcPr>
                  <w:tcW w:w="255" w:type="pct"/>
                  <w:noWrap w:val="0"/>
                  <w:vAlign w:val="center"/>
                </w:tcPr>
                <w:p w14:paraId="7AAEF3E4">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290" w:type="pct"/>
                  <w:noWrap w:val="0"/>
                  <w:vAlign w:val="center"/>
                </w:tcPr>
                <w:p w14:paraId="3D1F990A">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288" w:type="pct"/>
                  <w:noWrap w:val="0"/>
                  <w:vAlign w:val="center"/>
                </w:tcPr>
                <w:p w14:paraId="161CF0E3">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63.9</w:t>
                  </w:r>
                </w:p>
              </w:tc>
              <w:tc>
                <w:tcPr>
                  <w:tcW w:w="223" w:type="pct"/>
                  <w:noWrap w:val="0"/>
                  <w:vAlign w:val="center"/>
                </w:tcPr>
                <w:p w14:paraId="17361D92">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h</w:t>
                  </w:r>
                </w:p>
              </w:tc>
              <w:tc>
                <w:tcPr>
                  <w:tcW w:w="401" w:type="pct"/>
                  <w:noWrap w:val="0"/>
                  <w:vAlign w:val="center"/>
                </w:tcPr>
                <w:p w14:paraId="7FB9B0EF">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401" w:type="pct"/>
                  <w:noWrap w:val="0"/>
                  <w:vAlign w:val="center"/>
                </w:tcPr>
                <w:p w14:paraId="79BCC0C9">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43.9</w:t>
                  </w:r>
                </w:p>
              </w:tc>
              <w:tc>
                <w:tcPr>
                  <w:tcW w:w="428" w:type="pct"/>
                  <w:noWrap w:val="0"/>
                  <w:vAlign w:val="center"/>
                </w:tcPr>
                <w:p w14:paraId="4400F497">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1m</w:t>
                  </w:r>
                </w:p>
              </w:tc>
            </w:tr>
            <w:tr w14:paraId="459D6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noWrap w:val="0"/>
                  <w:vAlign w:val="center"/>
                </w:tcPr>
                <w:p w14:paraId="39490D78">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282" w:type="pct"/>
                  <w:vMerge w:val="continue"/>
                  <w:noWrap w:val="0"/>
                  <w:vAlign w:val="center"/>
                </w:tcPr>
                <w:p w14:paraId="5BCAFF17">
                  <w:pPr>
                    <w:adjustRightInd w:val="0"/>
                    <w:snapToGrid w:val="0"/>
                    <w:ind w:left="-105" w:leftChars="-50" w:right="-105" w:rightChars="-50"/>
                    <w:jc w:val="center"/>
                    <w:rPr>
                      <w:rFonts w:hint="default" w:ascii="Times New Roman" w:hAnsi="Times New Roman" w:eastAsia="宋体" w:cs="Times New Roman"/>
                      <w:color w:val="auto"/>
                    </w:rPr>
                  </w:pPr>
                </w:p>
              </w:tc>
              <w:tc>
                <w:tcPr>
                  <w:tcW w:w="657" w:type="pct"/>
                  <w:noWrap w:val="0"/>
                  <w:vAlign w:val="center"/>
                </w:tcPr>
                <w:p w14:paraId="467CA4DD">
                  <w:pPr>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UV打印机</w:t>
                  </w:r>
                </w:p>
              </w:tc>
              <w:tc>
                <w:tcPr>
                  <w:tcW w:w="196" w:type="pct"/>
                  <w:noWrap w:val="0"/>
                  <w:vAlign w:val="center"/>
                </w:tcPr>
                <w:p w14:paraId="4D0B0144">
                  <w:pPr>
                    <w:keepNext w:val="0"/>
                    <w:keepLines w:val="0"/>
                    <w:widowControl/>
                    <w:suppressLineNumbers w:val="0"/>
                    <w:jc w:val="center"/>
                    <w:textAlignment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457" w:type="pct"/>
                  <w:noWrap w:val="0"/>
                  <w:vAlign w:val="center"/>
                </w:tcPr>
                <w:p w14:paraId="031A6039">
                  <w:pPr>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70</w:t>
                  </w:r>
                </w:p>
              </w:tc>
              <w:tc>
                <w:tcPr>
                  <w:tcW w:w="445" w:type="pct"/>
                  <w:vMerge w:val="continue"/>
                  <w:noWrap w:val="0"/>
                  <w:vAlign w:val="center"/>
                </w:tcPr>
                <w:p w14:paraId="47460EE4">
                  <w:pPr>
                    <w:adjustRightInd w:val="0"/>
                    <w:snapToGrid w:val="0"/>
                    <w:ind w:left="-105" w:leftChars="-50" w:right="-105" w:rightChars="-50"/>
                    <w:jc w:val="center"/>
                    <w:rPr>
                      <w:rFonts w:hint="default" w:ascii="Times New Roman" w:hAnsi="Times New Roman" w:eastAsia="宋体" w:cs="Times New Roman"/>
                      <w:bCs/>
                      <w:color w:val="auto"/>
                      <w:szCs w:val="20"/>
                    </w:rPr>
                  </w:pPr>
                </w:p>
              </w:tc>
              <w:tc>
                <w:tcPr>
                  <w:tcW w:w="233" w:type="pct"/>
                  <w:noWrap w:val="0"/>
                  <w:vAlign w:val="center"/>
                </w:tcPr>
                <w:p w14:paraId="5C5F4870">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56</w:t>
                  </w:r>
                </w:p>
              </w:tc>
              <w:tc>
                <w:tcPr>
                  <w:tcW w:w="233" w:type="pct"/>
                  <w:noWrap w:val="0"/>
                  <w:vAlign w:val="center"/>
                </w:tcPr>
                <w:p w14:paraId="3ACD5B6C">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32</w:t>
                  </w:r>
                </w:p>
              </w:tc>
              <w:tc>
                <w:tcPr>
                  <w:tcW w:w="255" w:type="pct"/>
                  <w:noWrap w:val="0"/>
                  <w:vAlign w:val="center"/>
                </w:tcPr>
                <w:p w14:paraId="687BC84A">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w:t>
                  </w:r>
                </w:p>
              </w:tc>
              <w:tc>
                <w:tcPr>
                  <w:tcW w:w="290" w:type="pct"/>
                  <w:noWrap w:val="0"/>
                  <w:vAlign w:val="center"/>
                </w:tcPr>
                <w:p w14:paraId="712D3C58">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p>
              </w:tc>
              <w:tc>
                <w:tcPr>
                  <w:tcW w:w="288" w:type="pct"/>
                  <w:noWrap w:val="0"/>
                  <w:vAlign w:val="center"/>
                </w:tcPr>
                <w:p w14:paraId="309A360E">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63.9</w:t>
                  </w:r>
                </w:p>
              </w:tc>
              <w:tc>
                <w:tcPr>
                  <w:tcW w:w="223" w:type="pct"/>
                  <w:noWrap w:val="0"/>
                  <w:vAlign w:val="center"/>
                </w:tcPr>
                <w:p w14:paraId="6AD00599">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h</w:t>
                  </w:r>
                </w:p>
              </w:tc>
              <w:tc>
                <w:tcPr>
                  <w:tcW w:w="401" w:type="pct"/>
                  <w:noWrap w:val="0"/>
                  <w:vAlign w:val="center"/>
                </w:tcPr>
                <w:p w14:paraId="43EF5CD1">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401" w:type="pct"/>
                  <w:noWrap w:val="0"/>
                  <w:vAlign w:val="center"/>
                </w:tcPr>
                <w:p w14:paraId="39359241">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43.9</w:t>
                  </w:r>
                </w:p>
              </w:tc>
              <w:tc>
                <w:tcPr>
                  <w:tcW w:w="428" w:type="pct"/>
                  <w:noWrap w:val="0"/>
                  <w:vAlign w:val="center"/>
                </w:tcPr>
                <w:p w14:paraId="0CA1403B">
                  <w:p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1m</w:t>
                  </w:r>
                </w:p>
              </w:tc>
            </w:tr>
            <w:tr w14:paraId="37F994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 w:type="pct"/>
                  <w:noWrap w:val="0"/>
                  <w:vAlign w:val="center"/>
                </w:tcPr>
                <w:p w14:paraId="49744346">
                  <w:pPr>
                    <w:adjustRightInd w:val="0"/>
                    <w:snapToGrid w:val="0"/>
                    <w:ind w:left="-105" w:leftChars="-50" w:right="-105" w:rightChars="-50"/>
                    <w:jc w:val="center"/>
                    <w:rPr>
                      <w:rFonts w:hint="default" w:ascii="Times New Roman" w:hAnsi="Times New Roman" w:eastAsia="宋体" w:cs="Times New Roman"/>
                      <w:color w:val="auto"/>
                      <w:lang w:val="en-US" w:eastAsia="zh-CN"/>
                    </w:rPr>
                  </w:pPr>
                  <w:r>
                    <w:rPr>
                      <w:rFonts w:hint="eastAsia" w:cs="Times New Roman"/>
                      <w:color w:val="auto"/>
                      <w:lang w:val="en-US" w:eastAsia="zh-CN"/>
                    </w:rPr>
                    <w:t>5</w:t>
                  </w:r>
                </w:p>
              </w:tc>
              <w:tc>
                <w:tcPr>
                  <w:tcW w:w="282" w:type="pct"/>
                  <w:vMerge w:val="continue"/>
                  <w:noWrap w:val="0"/>
                  <w:vAlign w:val="center"/>
                </w:tcPr>
                <w:p w14:paraId="043BEE2F">
                  <w:pPr>
                    <w:adjustRightInd w:val="0"/>
                    <w:snapToGrid w:val="0"/>
                    <w:ind w:left="-105" w:leftChars="-50" w:right="-105" w:rightChars="-50"/>
                    <w:jc w:val="center"/>
                    <w:rPr>
                      <w:rFonts w:hint="default" w:ascii="Times New Roman" w:hAnsi="Times New Roman" w:eastAsia="宋体" w:cs="Times New Roman"/>
                      <w:color w:val="auto"/>
                    </w:rPr>
                  </w:pPr>
                </w:p>
              </w:tc>
              <w:tc>
                <w:tcPr>
                  <w:tcW w:w="657" w:type="pct"/>
                  <w:noWrap w:val="0"/>
                  <w:vAlign w:val="center"/>
                </w:tcPr>
                <w:p w14:paraId="7F84859E">
                  <w:pPr>
                    <w:spacing w:line="240" w:lineRule="auto"/>
                    <w:ind w:firstLine="0" w:firstLineChars="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eastAsiaTheme="minorEastAsia"/>
                      <w:color w:val="FF0000"/>
                      <w:sz w:val="21"/>
                      <w:szCs w:val="21"/>
                      <w:lang w:val="en-US" w:eastAsia="zh-CN"/>
                    </w:rPr>
                    <w:t>清洗烘干一体机</w:t>
                  </w:r>
                </w:p>
              </w:tc>
              <w:tc>
                <w:tcPr>
                  <w:tcW w:w="196" w:type="pct"/>
                  <w:noWrap w:val="0"/>
                  <w:vAlign w:val="center"/>
                </w:tcPr>
                <w:p w14:paraId="6251DA94">
                  <w:pPr>
                    <w:keepNext w:val="0"/>
                    <w:keepLines w:val="0"/>
                    <w:widowControl/>
                    <w:suppressLineNumbers w:val="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eastAsia" w:cs="Times New Roman"/>
                      <w:i w:val="0"/>
                      <w:iCs w:val="0"/>
                      <w:color w:val="FF0000"/>
                      <w:kern w:val="0"/>
                      <w:sz w:val="21"/>
                      <w:szCs w:val="21"/>
                      <w:u w:val="none"/>
                      <w:lang w:val="en-US" w:eastAsia="zh-CN" w:bidi="ar"/>
                    </w:rPr>
                    <w:t>1</w:t>
                  </w:r>
                </w:p>
              </w:tc>
              <w:tc>
                <w:tcPr>
                  <w:tcW w:w="457" w:type="pct"/>
                  <w:noWrap w:val="0"/>
                  <w:vAlign w:val="center"/>
                </w:tcPr>
                <w:p w14:paraId="6B6D79A7">
                  <w:pPr>
                    <w:jc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70</w:t>
                  </w:r>
                </w:p>
              </w:tc>
              <w:tc>
                <w:tcPr>
                  <w:tcW w:w="445" w:type="pct"/>
                  <w:vMerge w:val="continue"/>
                  <w:noWrap w:val="0"/>
                  <w:vAlign w:val="center"/>
                </w:tcPr>
                <w:p w14:paraId="1F6A636B">
                  <w:pPr>
                    <w:adjustRightInd w:val="0"/>
                    <w:snapToGrid w:val="0"/>
                    <w:ind w:left="-105" w:leftChars="-50" w:right="-105" w:rightChars="-50"/>
                    <w:jc w:val="center"/>
                    <w:rPr>
                      <w:rFonts w:hint="default" w:ascii="Times New Roman" w:hAnsi="Times New Roman" w:eastAsia="宋体" w:cs="Times New Roman"/>
                      <w:bCs/>
                      <w:color w:val="FF0000"/>
                      <w:szCs w:val="20"/>
                    </w:rPr>
                  </w:pPr>
                </w:p>
              </w:tc>
              <w:tc>
                <w:tcPr>
                  <w:tcW w:w="233" w:type="pct"/>
                  <w:noWrap w:val="0"/>
                  <w:vAlign w:val="center"/>
                </w:tcPr>
                <w:p w14:paraId="361F54A5">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57</w:t>
                  </w:r>
                </w:p>
              </w:tc>
              <w:tc>
                <w:tcPr>
                  <w:tcW w:w="233" w:type="pct"/>
                  <w:noWrap w:val="0"/>
                  <w:vAlign w:val="center"/>
                </w:tcPr>
                <w:p w14:paraId="1DB0F3C1">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15</w:t>
                  </w:r>
                </w:p>
              </w:tc>
              <w:tc>
                <w:tcPr>
                  <w:tcW w:w="255" w:type="pct"/>
                  <w:noWrap w:val="0"/>
                  <w:vAlign w:val="center"/>
                </w:tcPr>
                <w:p w14:paraId="55F61B3F">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4</w:t>
                  </w:r>
                </w:p>
              </w:tc>
              <w:tc>
                <w:tcPr>
                  <w:tcW w:w="290" w:type="pct"/>
                  <w:noWrap w:val="0"/>
                  <w:vAlign w:val="center"/>
                </w:tcPr>
                <w:p w14:paraId="41202E7A">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eastAsia" w:cs="Times New Roman"/>
                      <w:color w:val="FF0000"/>
                      <w:lang w:val="en-US" w:eastAsia="zh-CN"/>
                    </w:rPr>
                    <w:t>2</w:t>
                  </w:r>
                </w:p>
              </w:tc>
              <w:tc>
                <w:tcPr>
                  <w:tcW w:w="774" w:type="dxa"/>
                  <w:noWrap w:val="0"/>
                  <w:vAlign w:val="center"/>
                </w:tcPr>
                <w:p w14:paraId="26353DCF">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63.9</w:t>
                  </w:r>
                </w:p>
              </w:tc>
              <w:tc>
                <w:tcPr>
                  <w:tcW w:w="600" w:type="dxa"/>
                  <w:noWrap w:val="0"/>
                  <w:vAlign w:val="center"/>
                </w:tcPr>
                <w:p w14:paraId="65B95484">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8</w:t>
                  </w:r>
                  <w:r>
                    <w:rPr>
                      <w:rFonts w:hint="default" w:ascii="Times New Roman" w:hAnsi="Times New Roman" w:eastAsia="宋体" w:cs="Times New Roman"/>
                      <w:color w:val="FF0000"/>
                    </w:rPr>
                    <w:t>h</w:t>
                  </w:r>
                </w:p>
              </w:tc>
              <w:tc>
                <w:tcPr>
                  <w:tcW w:w="1078" w:type="dxa"/>
                  <w:noWrap w:val="0"/>
                  <w:vAlign w:val="center"/>
                </w:tcPr>
                <w:p w14:paraId="06305061">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20</w:t>
                  </w:r>
                </w:p>
              </w:tc>
              <w:tc>
                <w:tcPr>
                  <w:tcW w:w="1078" w:type="dxa"/>
                  <w:noWrap w:val="0"/>
                  <w:vAlign w:val="center"/>
                </w:tcPr>
                <w:p w14:paraId="3C0A5578">
                  <w:pPr>
                    <w:adjustRightInd w:val="0"/>
                    <w:snapToGrid w:val="0"/>
                    <w:ind w:left="-105" w:leftChars="-50" w:right="-105" w:rightChars="-50"/>
                    <w:jc w:val="center"/>
                    <w:rPr>
                      <w:rFonts w:hint="default" w:ascii="Times New Roman" w:hAnsi="Times New Roman" w:eastAsia="宋体" w:cs="Times New Roman"/>
                      <w:color w:val="FF0000"/>
                      <w:lang w:val="en-US" w:eastAsia="zh-CN"/>
                    </w:rPr>
                  </w:pPr>
                  <w:r>
                    <w:rPr>
                      <w:rFonts w:hint="default" w:ascii="Times New Roman" w:hAnsi="Times New Roman" w:eastAsia="宋体" w:cs="Times New Roman"/>
                      <w:color w:val="FF0000"/>
                      <w:lang w:val="en-US" w:eastAsia="zh-CN"/>
                    </w:rPr>
                    <w:t>43.9</w:t>
                  </w:r>
                </w:p>
              </w:tc>
              <w:tc>
                <w:tcPr>
                  <w:tcW w:w="1151" w:type="dxa"/>
                  <w:noWrap w:val="0"/>
                  <w:vAlign w:val="center"/>
                </w:tcPr>
                <w:p w14:paraId="6D363615">
                  <w:pPr>
                    <w:jc w:val="center"/>
                    <w:rPr>
                      <w:rFonts w:hint="default" w:ascii="Times New Roman" w:hAnsi="Times New Roman" w:eastAsia="宋体" w:cs="Times New Roman"/>
                      <w:color w:val="FF0000"/>
                    </w:rPr>
                  </w:pPr>
                  <w:r>
                    <w:rPr>
                      <w:rFonts w:hint="default" w:ascii="Times New Roman" w:hAnsi="Times New Roman" w:eastAsia="宋体" w:cs="Times New Roman"/>
                      <w:color w:val="FF0000"/>
                    </w:rPr>
                    <w:t>1m</w:t>
                  </w:r>
                </w:p>
              </w:tc>
            </w:tr>
          </w:tbl>
          <w:p w14:paraId="5319CC2A">
            <w:pPr>
              <w:keepNext w:val="0"/>
              <w:keepLines w:val="0"/>
              <w:pageBreakBefore w:val="0"/>
              <w:widowControl w:val="0"/>
              <w:kinsoku/>
              <w:wordWrap/>
              <w:overflowPunct/>
              <w:topLinePunct w:val="0"/>
              <w:autoSpaceDE/>
              <w:autoSpaceDN/>
              <w:bidi w:val="0"/>
              <w:adjustRightInd/>
              <w:snapToGrid w:val="0"/>
              <w:spacing w:line="5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表4-11本项目主要噪声污染源一览表（室外声源）</w:t>
            </w:r>
          </w:p>
          <w:tbl>
            <w:tblPr>
              <w:tblStyle w:val="27"/>
              <w:tblW w:w="4998" w:type="pct"/>
              <w:jc w:val="center"/>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28"/>
              <w:gridCol w:w="1516"/>
              <w:gridCol w:w="989"/>
              <w:gridCol w:w="1263"/>
              <w:gridCol w:w="1263"/>
              <w:gridCol w:w="1271"/>
              <w:gridCol w:w="2070"/>
              <w:gridCol w:w="2137"/>
              <w:gridCol w:w="2094"/>
            </w:tblGrid>
            <w:tr w14:paraId="393E4842">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8" w:type="pct"/>
                  <w:vMerge w:val="restart"/>
                  <w:tcBorders>
                    <w:tl2br w:val="nil"/>
                    <w:tr2bl w:val="nil"/>
                  </w:tcBorders>
                  <w:vAlign w:val="center"/>
                </w:tcPr>
                <w:p w14:paraId="4F91987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rPr>
                    <w:t>序号</w:t>
                  </w:r>
                </w:p>
              </w:tc>
              <w:tc>
                <w:tcPr>
                  <w:tcW w:w="564" w:type="pct"/>
                  <w:vMerge w:val="restart"/>
                  <w:tcBorders>
                    <w:tl2br w:val="nil"/>
                    <w:tr2bl w:val="nil"/>
                  </w:tcBorders>
                  <w:vAlign w:val="center"/>
                </w:tcPr>
                <w:p w14:paraId="1954CA4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lang w:val="en-US" w:eastAsia="zh-CN"/>
                    </w:rPr>
                    <w:t>声源名称</w:t>
                  </w:r>
                </w:p>
              </w:tc>
              <w:tc>
                <w:tcPr>
                  <w:tcW w:w="368" w:type="pct"/>
                  <w:vMerge w:val="restart"/>
                  <w:tcBorders>
                    <w:tl2br w:val="nil"/>
                    <w:tr2bl w:val="nil"/>
                  </w:tcBorders>
                  <w:vAlign w:val="center"/>
                </w:tcPr>
                <w:p w14:paraId="4C3CBB2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数量</w:t>
                  </w:r>
                </w:p>
              </w:tc>
              <w:tc>
                <w:tcPr>
                  <w:tcW w:w="1413" w:type="pct"/>
                  <w:gridSpan w:val="3"/>
                  <w:tcBorders>
                    <w:tl2br w:val="nil"/>
                    <w:tr2bl w:val="nil"/>
                  </w:tcBorders>
                  <w:vAlign w:val="center"/>
                </w:tcPr>
                <w:p w14:paraId="03277AF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空间相对位置/m</w:t>
                  </w:r>
                </w:p>
              </w:tc>
              <w:tc>
                <w:tcPr>
                  <w:tcW w:w="770" w:type="pct"/>
                  <w:vMerge w:val="restart"/>
                  <w:tcBorders>
                    <w:tl2br w:val="nil"/>
                    <w:tr2bl w:val="nil"/>
                  </w:tcBorders>
                  <w:vAlign w:val="center"/>
                </w:tcPr>
                <w:p w14:paraId="0C6A415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单台声功率级dB(A)</w:t>
                  </w:r>
                </w:p>
              </w:tc>
              <w:tc>
                <w:tcPr>
                  <w:tcW w:w="795" w:type="pct"/>
                  <w:vMerge w:val="restart"/>
                  <w:tcBorders>
                    <w:tl2br w:val="nil"/>
                    <w:tr2bl w:val="nil"/>
                  </w:tcBorders>
                  <w:vAlign w:val="center"/>
                </w:tcPr>
                <w:p w14:paraId="7DB436A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声源控制</w:t>
                  </w:r>
                </w:p>
                <w:p w14:paraId="58E403D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措施</w:t>
                  </w:r>
                </w:p>
              </w:tc>
              <w:tc>
                <w:tcPr>
                  <w:tcW w:w="779" w:type="pct"/>
                  <w:vMerge w:val="restart"/>
                  <w:tcBorders>
                    <w:tl2br w:val="nil"/>
                    <w:tr2bl w:val="nil"/>
                  </w:tcBorders>
                  <w:vAlign w:val="center"/>
                </w:tcPr>
                <w:p w14:paraId="064587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运行时段</w:t>
                  </w:r>
                </w:p>
              </w:tc>
            </w:tr>
            <w:tr w14:paraId="7ADD6B72">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8" w:type="pct"/>
                  <w:vMerge w:val="continue"/>
                  <w:tcBorders>
                    <w:tl2br w:val="nil"/>
                    <w:tr2bl w:val="nil"/>
                  </w:tcBorders>
                  <w:vAlign w:val="center"/>
                </w:tcPr>
                <w:p w14:paraId="4D27677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rPr>
                  </w:pPr>
                </w:p>
              </w:tc>
              <w:tc>
                <w:tcPr>
                  <w:tcW w:w="564" w:type="pct"/>
                  <w:vMerge w:val="continue"/>
                  <w:tcBorders>
                    <w:tl2br w:val="nil"/>
                    <w:tr2bl w:val="nil"/>
                  </w:tcBorders>
                  <w:vAlign w:val="center"/>
                </w:tcPr>
                <w:p w14:paraId="17F754A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rPr>
                  </w:pPr>
                </w:p>
              </w:tc>
              <w:tc>
                <w:tcPr>
                  <w:tcW w:w="368" w:type="pct"/>
                  <w:vMerge w:val="continue"/>
                  <w:tcBorders>
                    <w:tl2br w:val="nil"/>
                    <w:tr2bl w:val="nil"/>
                  </w:tcBorders>
                  <w:vAlign w:val="center"/>
                </w:tcPr>
                <w:p w14:paraId="5AB8024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p>
              </w:tc>
              <w:tc>
                <w:tcPr>
                  <w:tcW w:w="470" w:type="pct"/>
                  <w:tcBorders>
                    <w:tl2br w:val="nil"/>
                    <w:tr2bl w:val="nil"/>
                  </w:tcBorders>
                  <w:vAlign w:val="center"/>
                </w:tcPr>
                <w:p w14:paraId="5BF62CA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X</w:t>
                  </w:r>
                </w:p>
              </w:tc>
              <w:tc>
                <w:tcPr>
                  <w:tcW w:w="470" w:type="pct"/>
                  <w:tcBorders>
                    <w:tl2br w:val="nil"/>
                    <w:tr2bl w:val="nil"/>
                  </w:tcBorders>
                  <w:vAlign w:val="center"/>
                </w:tcPr>
                <w:p w14:paraId="2B26B4F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Y</w:t>
                  </w:r>
                </w:p>
              </w:tc>
              <w:tc>
                <w:tcPr>
                  <w:tcW w:w="473" w:type="pct"/>
                  <w:tcBorders>
                    <w:tl2br w:val="nil"/>
                    <w:tr2bl w:val="nil"/>
                  </w:tcBorders>
                  <w:vAlign w:val="center"/>
                </w:tcPr>
                <w:p w14:paraId="0FEC47C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Z</w:t>
                  </w:r>
                </w:p>
              </w:tc>
              <w:tc>
                <w:tcPr>
                  <w:tcW w:w="770" w:type="pct"/>
                  <w:vMerge w:val="continue"/>
                  <w:tcBorders>
                    <w:tl2br w:val="nil"/>
                    <w:tr2bl w:val="nil"/>
                  </w:tcBorders>
                  <w:vAlign w:val="center"/>
                </w:tcPr>
                <w:p w14:paraId="51B1861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p>
              </w:tc>
              <w:tc>
                <w:tcPr>
                  <w:tcW w:w="795" w:type="pct"/>
                  <w:vMerge w:val="continue"/>
                  <w:tcBorders>
                    <w:tl2br w:val="nil"/>
                    <w:tr2bl w:val="nil"/>
                  </w:tcBorders>
                  <w:vAlign w:val="center"/>
                </w:tcPr>
                <w:p w14:paraId="55108E3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p>
              </w:tc>
              <w:tc>
                <w:tcPr>
                  <w:tcW w:w="779" w:type="pct"/>
                  <w:vMerge w:val="continue"/>
                  <w:tcBorders>
                    <w:tl2br w:val="nil"/>
                    <w:tr2bl w:val="nil"/>
                  </w:tcBorders>
                  <w:vAlign w:val="center"/>
                </w:tcPr>
                <w:p w14:paraId="1D6416D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lang w:val="en-US" w:eastAsia="zh-CN"/>
                    </w:rPr>
                  </w:pPr>
                </w:p>
              </w:tc>
            </w:tr>
            <w:tr w14:paraId="25469E4B">
              <w:tblPrEx>
                <w:tblBorders>
                  <w:top w:val="single" w:color="auto" w:sz="4" w:space="0"/>
                  <w:left w:val="none" w:color="auto" w:sz="0" w:space="0"/>
                  <w:bottom w:val="single" w:color="auto"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8" w:type="pct"/>
                  <w:tcBorders>
                    <w:tl2br w:val="nil"/>
                    <w:tr2bl w:val="nil"/>
                  </w:tcBorders>
                  <w:vAlign w:val="center"/>
                </w:tcPr>
                <w:p w14:paraId="4914642A">
                  <w:pPr>
                    <w:adjustRightInd w:val="0"/>
                    <w:snapToGrid w:val="0"/>
                    <w:ind w:left="-105" w:leftChars="-50" w:right="-105" w:rightChars="-5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564" w:type="pct"/>
                  <w:tcBorders>
                    <w:tl2br w:val="nil"/>
                    <w:tr2bl w:val="nil"/>
                  </w:tcBorders>
                  <w:vAlign w:val="center"/>
                </w:tcPr>
                <w:p w14:paraId="61B0EAFC">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lang w:val="en-US" w:eastAsia="zh-CN"/>
                    </w:rPr>
                    <w:t>风机</w:t>
                  </w:r>
                </w:p>
              </w:tc>
              <w:tc>
                <w:tcPr>
                  <w:tcW w:w="368" w:type="pct"/>
                  <w:tcBorders>
                    <w:tl2br w:val="nil"/>
                    <w:tr2bl w:val="nil"/>
                  </w:tcBorders>
                  <w:vAlign w:val="center"/>
                </w:tcPr>
                <w:p w14:paraId="63468C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Cs w:val="21"/>
                      <w:lang w:val="en-US" w:eastAsia="zh-CN"/>
                    </w:rPr>
                    <w:t>1</w:t>
                  </w:r>
                </w:p>
              </w:tc>
              <w:tc>
                <w:tcPr>
                  <w:tcW w:w="470" w:type="pct"/>
                  <w:tcBorders>
                    <w:tl2br w:val="nil"/>
                    <w:tr2bl w:val="nil"/>
                  </w:tcBorders>
                  <w:vAlign w:val="center"/>
                </w:tcPr>
                <w:p w14:paraId="4D71A6E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59</w:t>
                  </w:r>
                </w:p>
              </w:tc>
              <w:tc>
                <w:tcPr>
                  <w:tcW w:w="470" w:type="pct"/>
                  <w:tcBorders>
                    <w:tl2br w:val="nil"/>
                    <w:tr2bl w:val="nil"/>
                  </w:tcBorders>
                  <w:vAlign w:val="center"/>
                </w:tcPr>
                <w:p w14:paraId="00950B8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32</w:t>
                  </w:r>
                </w:p>
              </w:tc>
              <w:tc>
                <w:tcPr>
                  <w:tcW w:w="473" w:type="pct"/>
                  <w:tcBorders>
                    <w:tl2br w:val="nil"/>
                    <w:tr2bl w:val="nil"/>
                  </w:tcBorders>
                  <w:vAlign w:val="center"/>
                </w:tcPr>
                <w:p w14:paraId="03C75CC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SA"/>
                    </w:rPr>
                    <w:t>1</w:t>
                  </w:r>
                </w:p>
              </w:tc>
              <w:tc>
                <w:tcPr>
                  <w:tcW w:w="770" w:type="pct"/>
                  <w:tcBorders>
                    <w:tl2br w:val="nil"/>
                    <w:tr2bl w:val="nil"/>
                  </w:tcBorders>
                  <w:vAlign w:val="center"/>
                </w:tcPr>
                <w:p w14:paraId="18BF787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Cs w:val="21"/>
                      <w:lang w:val="en-US" w:eastAsia="zh-CN"/>
                    </w:rPr>
                    <w:t>80</w:t>
                  </w:r>
                </w:p>
              </w:tc>
              <w:tc>
                <w:tcPr>
                  <w:tcW w:w="795" w:type="pct"/>
                  <w:tcBorders>
                    <w:tl2br w:val="nil"/>
                    <w:tr2bl w:val="nil"/>
                  </w:tcBorders>
                  <w:vAlign w:val="center"/>
                </w:tcPr>
                <w:p w14:paraId="090A8D4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szCs w:val="20"/>
                    </w:rPr>
                    <w:t>减振、隔音</w:t>
                  </w:r>
                </w:p>
              </w:tc>
              <w:tc>
                <w:tcPr>
                  <w:tcW w:w="779" w:type="pct"/>
                  <w:tcBorders>
                    <w:tl2br w:val="nil"/>
                    <w:tr2bl w:val="nil"/>
                  </w:tcBorders>
                  <w:vAlign w:val="center"/>
                </w:tcPr>
                <w:p w14:paraId="0363B4C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工作时</w:t>
                  </w:r>
                </w:p>
              </w:tc>
            </w:tr>
          </w:tbl>
          <w:p w14:paraId="60938488">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textAlignment w:val="auto"/>
              <w:rPr>
                <w:rFonts w:hint="default" w:ascii="Times New Roman" w:hAnsi="Times New Roman" w:eastAsia="宋体" w:cs="Times New Roman"/>
                <w:snapToGrid w:val="0"/>
                <w:color w:val="auto"/>
                <w:sz w:val="30"/>
                <w:szCs w:val="30"/>
                <w:vertAlign w:val="baseline"/>
              </w:rPr>
            </w:pPr>
            <w:r>
              <w:rPr>
                <w:rFonts w:hint="default" w:ascii="Times New Roman" w:hAnsi="Times New Roman" w:eastAsia="宋体" w:cs="Times New Roman"/>
                <w:b/>
                <w:bCs/>
                <w:color w:val="auto"/>
                <w:sz w:val="21"/>
                <w:szCs w:val="21"/>
                <w:lang w:val="en-US" w:eastAsia="zh-CN"/>
              </w:rPr>
              <w:t>注：表4-10及表4-11中空间相对坐标以车间西南角为原点（0，0，0），东西方向为X轴，南北方向为Y轴，垂直方向为Z轴。</w:t>
            </w:r>
          </w:p>
        </w:tc>
      </w:tr>
    </w:tbl>
    <w:p w14:paraId="0EA1FDA7">
      <w:pPr>
        <w:pStyle w:val="22"/>
        <w:spacing w:before="0" w:beforeAutospacing="0" w:after="0" w:afterAutospacing="0"/>
        <w:jc w:val="center"/>
        <w:outlineLvl w:val="0"/>
        <w:rPr>
          <w:rFonts w:hint="default" w:ascii="Times New Roman" w:hAnsi="Times New Roman" w:eastAsia="宋体" w:cs="Times New Roman"/>
          <w:snapToGrid w:val="0"/>
          <w:color w:val="auto"/>
          <w:sz w:val="30"/>
          <w:szCs w:val="30"/>
        </w:rPr>
        <w:sectPr>
          <w:headerReference r:id="rId8" w:type="default"/>
          <w:pgSz w:w="16838" w:h="11906" w:orient="landscape"/>
          <w:pgMar w:top="1134" w:right="1417" w:bottom="1134" w:left="1417" w:header="851" w:footer="1134" w:gutter="0"/>
          <w:pgBorders>
            <w:top w:val="none" w:sz="0" w:space="0"/>
            <w:left w:val="none" w:sz="0" w:space="0"/>
            <w:bottom w:val="none" w:sz="0" w:space="0"/>
            <w:right w:val="none" w:sz="0" w:space="0"/>
          </w:pgBorders>
          <w:cols w:space="720" w:num="1"/>
          <w:docGrid w:linePitch="312" w:charSpace="0"/>
        </w:sectPr>
      </w:pP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005B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26" w:hRule="atLeast"/>
        </w:trPr>
        <w:tc>
          <w:tcPr>
            <w:tcW w:w="9060" w:type="dxa"/>
          </w:tcPr>
          <w:p w14:paraId="41808D87">
            <w:pPr>
              <w:adjustRightInd w:val="0"/>
              <w:snapToGrid w:val="0"/>
              <w:spacing w:line="500" w:lineRule="exact"/>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2、排放</w:t>
            </w:r>
            <w:r>
              <w:rPr>
                <w:rFonts w:hint="default" w:ascii="Times New Roman" w:hAnsi="Times New Roman" w:eastAsia="宋体" w:cs="Times New Roman"/>
                <w:b/>
                <w:bCs/>
                <w:color w:val="auto"/>
                <w:sz w:val="24"/>
              </w:rPr>
              <w:t>达标情况分析</w:t>
            </w:r>
          </w:p>
          <w:p w14:paraId="1E027EFB">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本项目厂界外周边50米范围不存在声环境保护目标，项目生产制度为长白班，故本次评价对东、南、西、北厂界进行昼间噪声的影响预测。</w:t>
            </w:r>
            <w:r>
              <w:rPr>
                <w:rFonts w:hint="default" w:ascii="Times New Roman" w:hAnsi="Times New Roman" w:eastAsia="宋体" w:cs="Times New Roman"/>
                <w:color w:val="auto"/>
                <w:sz w:val="24"/>
              </w:rPr>
              <w:t>根据企业提供的噪声设备分布情况，</w:t>
            </w:r>
            <w:r>
              <w:rPr>
                <w:rFonts w:hint="default" w:ascii="Times New Roman" w:hAnsi="Times New Roman" w:eastAsia="宋体" w:cs="Times New Roman"/>
                <w:color w:val="auto"/>
                <w:sz w:val="24"/>
                <w:lang w:val="en-US" w:eastAsia="zh-CN"/>
              </w:rPr>
              <w:t>噪声源对厂界噪声的影响预测结果见下表。</w:t>
            </w:r>
          </w:p>
          <w:p w14:paraId="2AEED825">
            <w:pPr>
              <w:keepNext w:val="0"/>
              <w:keepLines w:val="0"/>
              <w:pageBreakBefore w:val="0"/>
              <w:widowControl w:val="0"/>
              <w:kinsoku/>
              <w:wordWrap/>
              <w:overflowPunct/>
              <w:topLinePunct w:val="0"/>
              <w:autoSpaceDE/>
              <w:autoSpaceDN/>
              <w:bidi w:val="0"/>
              <w:adjustRightInd/>
              <w:snapToGrid w:val="0"/>
              <w:spacing w:line="500" w:lineRule="exact"/>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表4-12  本项目各厂界噪声预测结果  dB(A)</w:t>
            </w:r>
          </w:p>
          <w:tbl>
            <w:tblPr>
              <w:tblStyle w:val="27"/>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8"/>
              <w:gridCol w:w="3256"/>
              <w:gridCol w:w="3258"/>
            </w:tblGrid>
            <w:tr w14:paraId="5C6575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vMerge w:val="restart"/>
                  <w:tcMar>
                    <w:left w:w="0" w:type="dxa"/>
                    <w:right w:w="0" w:type="dxa"/>
                  </w:tcMar>
                  <w:vAlign w:val="center"/>
                </w:tcPr>
                <w:p w14:paraId="1D97479C">
                  <w:pPr>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目标</w:t>
                  </w:r>
                </w:p>
              </w:tc>
              <w:tc>
                <w:tcPr>
                  <w:tcW w:w="1841" w:type="pct"/>
                  <w:tcMar>
                    <w:left w:w="0" w:type="dxa"/>
                    <w:right w:w="0" w:type="dxa"/>
                  </w:tcMar>
                  <w:vAlign w:val="center"/>
                </w:tcPr>
                <w:p w14:paraId="0A5D2B9A">
                  <w:pPr>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lang w:val="en-US" w:eastAsia="zh-CN"/>
                    </w:rPr>
                    <w:t>厂界</w:t>
                  </w:r>
                  <w:r>
                    <w:rPr>
                      <w:rFonts w:hint="default" w:ascii="Times New Roman" w:hAnsi="Times New Roman" w:eastAsia="宋体" w:cs="Times New Roman"/>
                      <w:b/>
                      <w:color w:val="auto"/>
                      <w:szCs w:val="21"/>
                    </w:rPr>
                    <w:t>贡献值</w:t>
                  </w:r>
                </w:p>
              </w:tc>
              <w:tc>
                <w:tcPr>
                  <w:tcW w:w="1842" w:type="pct"/>
                  <w:tcMar>
                    <w:left w:w="0" w:type="dxa"/>
                    <w:right w:w="0" w:type="dxa"/>
                  </w:tcMar>
                  <w:vAlign w:val="center"/>
                </w:tcPr>
                <w:p w14:paraId="50954185">
                  <w:pPr>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rPr>
                    <w:t>标准</w:t>
                  </w:r>
                </w:p>
              </w:tc>
            </w:tr>
            <w:tr w14:paraId="688E44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vMerge w:val="continue"/>
                  <w:tcMar>
                    <w:left w:w="0" w:type="dxa"/>
                    <w:right w:w="0" w:type="dxa"/>
                  </w:tcMar>
                  <w:vAlign w:val="center"/>
                </w:tcPr>
                <w:p w14:paraId="5797D10D">
                  <w:pPr>
                    <w:jc w:val="center"/>
                    <w:rPr>
                      <w:rFonts w:hint="default" w:ascii="Times New Roman" w:hAnsi="Times New Roman" w:eastAsia="宋体" w:cs="Times New Roman"/>
                      <w:b/>
                      <w:color w:val="auto"/>
                      <w:szCs w:val="21"/>
                      <w:highlight w:val="yellow"/>
                    </w:rPr>
                  </w:pPr>
                </w:p>
              </w:tc>
              <w:tc>
                <w:tcPr>
                  <w:tcW w:w="1841" w:type="pct"/>
                  <w:tcMar>
                    <w:left w:w="0" w:type="dxa"/>
                    <w:right w:w="0" w:type="dxa"/>
                  </w:tcMar>
                  <w:vAlign w:val="center"/>
                </w:tcPr>
                <w:p w14:paraId="7572D2FA">
                  <w:pPr>
                    <w:jc w:val="center"/>
                    <w:rPr>
                      <w:rFonts w:hint="default" w:ascii="Times New Roman" w:hAnsi="Times New Roman" w:eastAsia="宋体" w:cs="Times New Roman"/>
                      <w:b/>
                      <w:color w:val="auto"/>
                      <w:szCs w:val="21"/>
                      <w:highlight w:val="yellow"/>
                    </w:rPr>
                  </w:pPr>
                  <w:r>
                    <w:rPr>
                      <w:rFonts w:hint="default" w:ascii="Times New Roman" w:hAnsi="Times New Roman" w:eastAsia="宋体" w:cs="Times New Roman"/>
                      <w:b/>
                      <w:color w:val="auto"/>
                      <w:szCs w:val="21"/>
                    </w:rPr>
                    <w:t>昼间</w:t>
                  </w:r>
                </w:p>
              </w:tc>
              <w:tc>
                <w:tcPr>
                  <w:tcW w:w="1842" w:type="pct"/>
                  <w:tcMar>
                    <w:left w:w="0" w:type="dxa"/>
                    <w:right w:w="0" w:type="dxa"/>
                  </w:tcMar>
                  <w:vAlign w:val="center"/>
                </w:tcPr>
                <w:p w14:paraId="02BDFDA2">
                  <w:pPr>
                    <w:jc w:val="center"/>
                    <w:rPr>
                      <w:rFonts w:hint="default" w:ascii="Times New Roman" w:hAnsi="Times New Roman" w:eastAsia="宋体" w:cs="Times New Roman"/>
                      <w:b/>
                      <w:color w:val="auto"/>
                      <w:szCs w:val="21"/>
                      <w:highlight w:val="yellow"/>
                    </w:rPr>
                  </w:pPr>
                  <w:r>
                    <w:rPr>
                      <w:rFonts w:hint="default" w:ascii="Times New Roman" w:hAnsi="Times New Roman" w:eastAsia="宋体" w:cs="Times New Roman"/>
                      <w:b/>
                      <w:color w:val="auto"/>
                      <w:szCs w:val="21"/>
                    </w:rPr>
                    <w:t>昼间</w:t>
                  </w:r>
                </w:p>
              </w:tc>
            </w:tr>
            <w:tr w14:paraId="331A91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tcMar>
                    <w:left w:w="0" w:type="dxa"/>
                    <w:right w:w="0" w:type="dxa"/>
                  </w:tcMar>
                  <w:vAlign w:val="center"/>
                </w:tcPr>
                <w:p w14:paraId="597812BB">
                  <w:pPr>
                    <w:spacing w:line="30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东厂界</w:t>
                  </w:r>
                </w:p>
              </w:tc>
              <w:tc>
                <w:tcPr>
                  <w:tcW w:w="1841" w:type="pct"/>
                  <w:tcMar>
                    <w:left w:w="0" w:type="dxa"/>
                    <w:right w:w="0" w:type="dxa"/>
                  </w:tcMar>
                  <w:vAlign w:val="center"/>
                </w:tcPr>
                <w:p w14:paraId="27F393FA">
                  <w:pPr>
                    <w:pStyle w:val="18"/>
                    <w:tabs>
                      <w:tab w:val="clear" w:pos="4153"/>
                      <w:tab w:val="clear" w:pos="8306"/>
                    </w:tabs>
                    <w:snapToGrid/>
                    <w:spacing w:line="300" w:lineRule="exact"/>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53.3</w:t>
                  </w:r>
                </w:p>
              </w:tc>
              <w:tc>
                <w:tcPr>
                  <w:tcW w:w="1842" w:type="pct"/>
                  <w:tcMar>
                    <w:left w:w="0" w:type="dxa"/>
                    <w:right w:w="0" w:type="dxa"/>
                  </w:tcMar>
                  <w:vAlign w:val="center"/>
                </w:tcPr>
                <w:p w14:paraId="427F052F">
                  <w:pPr>
                    <w:snapToGrid/>
                    <w:spacing w:line="30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6</w:t>
                  </w:r>
                  <w:r>
                    <w:rPr>
                      <w:rFonts w:hint="default" w:ascii="Times New Roman" w:hAnsi="Times New Roman" w:eastAsia="宋体" w:cs="Times New Roman"/>
                      <w:bCs/>
                      <w:color w:val="auto"/>
                      <w:sz w:val="21"/>
                      <w:szCs w:val="21"/>
                      <w:lang w:val="en-US" w:eastAsia="zh-CN"/>
                    </w:rPr>
                    <w:t>5</w:t>
                  </w:r>
                </w:p>
              </w:tc>
            </w:tr>
            <w:tr w14:paraId="0C7099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tcMar>
                    <w:left w:w="0" w:type="dxa"/>
                    <w:right w:w="0" w:type="dxa"/>
                  </w:tcMar>
                  <w:vAlign w:val="center"/>
                </w:tcPr>
                <w:p w14:paraId="39493B0C">
                  <w:pPr>
                    <w:spacing w:line="30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南厂界</w:t>
                  </w:r>
                </w:p>
              </w:tc>
              <w:tc>
                <w:tcPr>
                  <w:tcW w:w="1841" w:type="pct"/>
                  <w:tcMar>
                    <w:left w:w="0" w:type="dxa"/>
                    <w:right w:w="0" w:type="dxa"/>
                  </w:tcMar>
                  <w:vAlign w:val="center"/>
                </w:tcPr>
                <w:p w14:paraId="6C538177">
                  <w:pPr>
                    <w:pStyle w:val="18"/>
                    <w:tabs>
                      <w:tab w:val="clear" w:pos="4153"/>
                      <w:tab w:val="clear" w:pos="8306"/>
                    </w:tabs>
                    <w:snapToGrid/>
                    <w:spacing w:line="300" w:lineRule="exact"/>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42.9</w:t>
                  </w:r>
                </w:p>
              </w:tc>
              <w:tc>
                <w:tcPr>
                  <w:tcW w:w="1842" w:type="pct"/>
                  <w:tcMar>
                    <w:left w:w="0" w:type="dxa"/>
                    <w:right w:w="0" w:type="dxa"/>
                  </w:tcMar>
                  <w:vAlign w:val="center"/>
                </w:tcPr>
                <w:p w14:paraId="19FA830F">
                  <w:pPr>
                    <w:snapToGrid/>
                    <w:spacing w:line="30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6</w:t>
                  </w:r>
                  <w:r>
                    <w:rPr>
                      <w:rFonts w:hint="default" w:ascii="Times New Roman" w:hAnsi="Times New Roman" w:eastAsia="宋体" w:cs="Times New Roman"/>
                      <w:bCs/>
                      <w:color w:val="auto"/>
                      <w:sz w:val="21"/>
                      <w:szCs w:val="21"/>
                      <w:lang w:val="en-US" w:eastAsia="zh-CN"/>
                    </w:rPr>
                    <w:t>5</w:t>
                  </w:r>
                </w:p>
              </w:tc>
            </w:tr>
            <w:tr w14:paraId="5E795E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tcMar>
                    <w:left w:w="0" w:type="dxa"/>
                    <w:right w:w="0" w:type="dxa"/>
                  </w:tcMar>
                  <w:vAlign w:val="center"/>
                </w:tcPr>
                <w:p w14:paraId="6EA7C45F">
                  <w:pPr>
                    <w:spacing w:line="30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西厂界</w:t>
                  </w:r>
                </w:p>
              </w:tc>
              <w:tc>
                <w:tcPr>
                  <w:tcW w:w="1841" w:type="pct"/>
                  <w:tcMar>
                    <w:left w:w="0" w:type="dxa"/>
                    <w:right w:w="0" w:type="dxa"/>
                  </w:tcMar>
                  <w:vAlign w:val="center"/>
                </w:tcPr>
                <w:p w14:paraId="5BB42E13">
                  <w:pPr>
                    <w:pStyle w:val="18"/>
                    <w:tabs>
                      <w:tab w:val="clear" w:pos="4153"/>
                      <w:tab w:val="clear" w:pos="8306"/>
                    </w:tabs>
                    <w:snapToGrid/>
                    <w:spacing w:line="300" w:lineRule="exact"/>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42.8</w:t>
                  </w:r>
                </w:p>
              </w:tc>
              <w:tc>
                <w:tcPr>
                  <w:tcW w:w="1842" w:type="pct"/>
                  <w:tcMar>
                    <w:left w:w="0" w:type="dxa"/>
                    <w:right w:w="0" w:type="dxa"/>
                  </w:tcMar>
                  <w:vAlign w:val="center"/>
                </w:tcPr>
                <w:p w14:paraId="1C9D2ED9">
                  <w:pPr>
                    <w:snapToGrid/>
                    <w:spacing w:line="30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6</w:t>
                  </w:r>
                  <w:r>
                    <w:rPr>
                      <w:rFonts w:hint="default" w:ascii="Times New Roman" w:hAnsi="Times New Roman" w:eastAsia="宋体" w:cs="Times New Roman"/>
                      <w:bCs/>
                      <w:color w:val="auto"/>
                      <w:sz w:val="21"/>
                      <w:szCs w:val="21"/>
                      <w:lang w:val="en-US" w:eastAsia="zh-CN"/>
                    </w:rPr>
                    <w:t>5</w:t>
                  </w:r>
                </w:p>
              </w:tc>
            </w:tr>
            <w:tr w14:paraId="02794C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16" w:type="pct"/>
                  <w:tcMar>
                    <w:left w:w="0" w:type="dxa"/>
                    <w:right w:w="0" w:type="dxa"/>
                  </w:tcMar>
                  <w:vAlign w:val="center"/>
                </w:tcPr>
                <w:p w14:paraId="2EAEAA59">
                  <w:pPr>
                    <w:spacing w:line="30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北厂界</w:t>
                  </w:r>
                </w:p>
              </w:tc>
              <w:tc>
                <w:tcPr>
                  <w:tcW w:w="1841" w:type="pct"/>
                  <w:tcMar>
                    <w:left w:w="0" w:type="dxa"/>
                    <w:right w:w="0" w:type="dxa"/>
                  </w:tcMar>
                  <w:vAlign w:val="center"/>
                </w:tcPr>
                <w:p w14:paraId="32C1685C">
                  <w:pPr>
                    <w:pStyle w:val="18"/>
                    <w:tabs>
                      <w:tab w:val="clear" w:pos="4153"/>
                      <w:tab w:val="clear" w:pos="8306"/>
                    </w:tabs>
                    <w:snapToGrid/>
                    <w:spacing w:line="300" w:lineRule="exact"/>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49.5</w:t>
                  </w:r>
                </w:p>
              </w:tc>
              <w:tc>
                <w:tcPr>
                  <w:tcW w:w="1842" w:type="pct"/>
                  <w:tcMar>
                    <w:left w:w="0" w:type="dxa"/>
                    <w:right w:w="0" w:type="dxa"/>
                  </w:tcMar>
                  <w:vAlign w:val="center"/>
                </w:tcPr>
                <w:p w14:paraId="0EF113DB">
                  <w:pPr>
                    <w:snapToGrid/>
                    <w:spacing w:line="30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6</w:t>
                  </w:r>
                  <w:r>
                    <w:rPr>
                      <w:rFonts w:hint="default" w:ascii="Times New Roman" w:hAnsi="Times New Roman" w:eastAsia="宋体" w:cs="Times New Roman"/>
                      <w:bCs/>
                      <w:color w:val="auto"/>
                      <w:sz w:val="21"/>
                      <w:szCs w:val="21"/>
                      <w:lang w:val="en-US" w:eastAsia="zh-CN"/>
                    </w:rPr>
                    <w:t>5</w:t>
                  </w:r>
                </w:p>
              </w:tc>
            </w:tr>
          </w:tbl>
          <w:p w14:paraId="5A3DF3E6">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由上表可知，本项目经过减振、隔音等降噪措施后，东、南、西、北各厂界昼间噪声贡献值均符合《工业企业环境噪声排放标准》（GB12348-20083）3 类标准。</w:t>
            </w:r>
          </w:p>
          <w:p w14:paraId="71B2B244">
            <w:pPr>
              <w:adjustRightInd w:val="0"/>
              <w:snapToGrid w:val="0"/>
              <w:spacing w:line="500" w:lineRule="exact"/>
              <w:ind w:firstLine="482" w:firstLineChars="200"/>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val="en-US" w:eastAsia="zh-CN"/>
              </w:rPr>
              <w:t>3、</w:t>
            </w:r>
            <w:r>
              <w:rPr>
                <w:rFonts w:hint="default" w:ascii="Times New Roman" w:hAnsi="Times New Roman" w:eastAsia="宋体" w:cs="Times New Roman"/>
                <w:b/>
                <w:bCs/>
                <w:color w:val="auto"/>
                <w:sz w:val="24"/>
              </w:rPr>
              <w:t>监测</w:t>
            </w:r>
            <w:r>
              <w:rPr>
                <w:rFonts w:hint="default" w:ascii="Times New Roman" w:hAnsi="Times New Roman" w:eastAsia="宋体" w:cs="Times New Roman"/>
                <w:b/>
                <w:bCs/>
                <w:color w:val="auto"/>
                <w:sz w:val="24"/>
                <w:lang w:val="en-US" w:eastAsia="zh-CN"/>
              </w:rPr>
              <w:t>要求</w:t>
            </w:r>
          </w:p>
          <w:p w14:paraId="75D449E1">
            <w:pPr>
              <w:keepNext w:val="0"/>
              <w:keepLines w:val="0"/>
              <w:pageBreakBefore w:val="0"/>
              <w:widowControl w:val="0"/>
              <w:kinsoku/>
              <w:wordWrap/>
              <w:overflowPunct/>
              <w:topLinePunct w:val="0"/>
              <w:autoSpaceDE/>
              <w:autoSpaceDN/>
              <w:bidi w:val="0"/>
              <w:adjustRightInd/>
              <w:snapToGrid w:val="0"/>
              <w:spacing w:line="500" w:lineRule="exact"/>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表4-13 噪声监测因子及频次表</w:t>
            </w:r>
          </w:p>
          <w:tbl>
            <w:tblPr>
              <w:tblStyle w:val="2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1169"/>
              <w:gridCol w:w="2017"/>
              <w:gridCol w:w="2929"/>
              <w:gridCol w:w="2725"/>
            </w:tblGrid>
            <w:tr w14:paraId="336880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661" w:type="pct"/>
                  <w:tcBorders>
                    <w:tl2br w:val="nil"/>
                    <w:tr2bl w:val="nil"/>
                  </w:tcBorders>
                  <w:vAlign w:val="center"/>
                </w:tcPr>
                <w:p w14:paraId="5D5C5A82">
                  <w:pPr>
                    <w:snapToGrid w:val="0"/>
                    <w:spacing w:line="280" w:lineRule="exact"/>
                    <w:jc w:val="center"/>
                    <w:rPr>
                      <w:rFonts w:hint="default" w:ascii="Times New Roman" w:hAnsi="Times New Roman" w:eastAsia="宋体" w:cs="Times New Roman"/>
                      <w:b/>
                      <w:color w:val="auto"/>
                      <w:szCs w:val="21"/>
                      <w:lang w:eastAsia="zh-CN"/>
                    </w:rPr>
                  </w:pPr>
                  <w:r>
                    <w:rPr>
                      <w:rFonts w:hint="default" w:ascii="Times New Roman" w:hAnsi="Times New Roman" w:eastAsia="宋体" w:cs="Times New Roman"/>
                      <w:b/>
                      <w:color w:val="auto"/>
                      <w:szCs w:val="21"/>
                      <w:lang w:val="en-US" w:eastAsia="zh-CN"/>
                    </w:rPr>
                    <w:t>类别</w:t>
                  </w:r>
                </w:p>
              </w:tc>
              <w:tc>
                <w:tcPr>
                  <w:tcW w:w="1140" w:type="pct"/>
                  <w:tcBorders>
                    <w:tl2br w:val="nil"/>
                    <w:tr2bl w:val="nil"/>
                  </w:tcBorders>
                  <w:vAlign w:val="center"/>
                </w:tcPr>
                <w:p w14:paraId="4962D985">
                  <w:pPr>
                    <w:snapToGrid w:val="0"/>
                    <w:spacing w:line="28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监测点位</w:t>
                  </w:r>
                </w:p>
              </w:tc>
              <w:tc>
                <w:tcPr>
                  <w:tcW w:w="1656" w:type="pct"/>
                  <w:tcBorders>
                    <w:tl2br w:val="nil"/>
                    <w:tr2bl w:val="nil"/>
                  </w:tcBorders>
                  <w:vAlign w:val="center"/>
                </w:tcPr>
                <w:p w14:paraId="1C2BCDF6">
                  <w:pPr>
                    <w:snapToGrid w:val="0"/>
                    <w:spacing w:line="280" w:lineRule="exact"/>
                    <w:jc w:val="center"/>
                    <w:rPr>
                      <w:rFonts w:hint="default" w:ascii="Times New Roman" w:hAnsi="Times New Roman" w:eastAsia="宋体" w:cs="Times New Roman"/>
                      <w:b/>
                      <w:color w:val="auto"/>
                      <w:szCs w:val="21"/>
                      <w:lang w:val="en-US" w:eastAsia="zh-CN"/>
                    </w:rPr>
                  </w:pPr>
                  <w:r>
                    <w:rPr>
                      <w:rFonts w:hint="default" w:ascii="Times New Roman" w:hAnsi="Times New Roman" w:eastAsia="宋体" w:cs="Times New Roman"/>
                      <w:b/>
                      <w:color w:val="auto"/>
                      <w:szCs w:val="21"/>
                    </w:rPr>
                    <w:t>监测</w:t>
                  </w:r>
                  <w:r>
                    <w:rPr>
                      <w:rFonts w:hint="default" w:ascii="Times New Roman" w:hAnsi="Times New Roman" w:eastAsia="宋体" w:cs="Times New Roman"/>
                      <w:b/>
                      <w:color w:val="auto"/>
                      <w:szCs w:val="21"/>
                      <w:lang w:val="en-US" w:eastAsia="zh-CN"/>
                    </w:rPr>
                    <w:t>项目</w:t>
                  </w:r>
                </w:p>
              </w:tc>
              <w:tc>
                <w:tcPr>
                  <w:tcW w:w="1540" w:type="pct"/>
                  <w:tcBorders>
                    <w:tl2br w:val="nil"/>
                    <w:tr2bl w:val="nil"/>
                  </w:tcBorders>
                  <w:vAlign w:val="center"/>
                </w:tcPr>
                <w:p w14:paraId="44DECE83">
                  <w:pPr>
                    <w:snapToGrid w:val="0"/>
                    <w:spacing w:line="28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监测频次</w:t>
                  </w:r>
                </w:p>
              </w:tc>
            </w:tr>
            <w:tr w14:paraId="7A224F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661" w:type="pct"/>
                  <w:tcBorders>
                    <w:tl2br w:val="nil"/>
                    <w:tr2bl w:val="nil"/>
                  </w:tcBorders>
                  <w:vAlign w:val="center"/>
                </w:tcPr>
                <w:p w14:paraId="217D5F0B">
                  <w:pPr>
                    <w:snapToGrid w:val="0"/>
                    <w:spacing w:line="280" w:lineRule="exact"/>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噪声</w:t>
                  </w:r>
                </w:p>
              </w:tc>
              <w:tc>
                <w:tcPr>
                  <w:tcW w:w="1140" w:type="pct"/>
                  <w:tcBorders>
                    <w:tl2br w:val="nil"/>
                    <w:tr2bl w:val="nil"/>
                  </w:tcBorders>
                  <w:vAlign w:val="center"/>
                </w:tcPr>
                <w:p w14:paraId="4955BA4C">
                  <w:pPr>
                    <w:snapToGrid w:val="0"/>
                    <w:spacing w:line="28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四周</w:t>
                  </w:r>
                  <w:r>
                    <w:rPr>
                      <w:rFonts w:hint="default" w:ascii="Times New Roman" w:hAnsi="Times New Roman" w:eastAsia="宋体" w:cs="Times New Roman"/>
                      <w:color w:val="auto"/>
                      <w:szCs w:val="21"/>
                    </w:rPr>
                    <w:t>厂界</w:t>
                  </w:r>
                  <w:r>
                    <w:rPr>
                      <w:rFonts w:hint="default" w:ascii="Times New Roman" w:hAnsi="Times New Roman" w:eastAsia="宋体" w:cs="Times New Roman"/>
                      <w:color w:val="auto"/>
                      <w:szCs w:val="21"/>
                      <w:lang w:val="en-US" w:eastAsia="zh-CN"/>
                    </w:rPr>
                    <w:t>外1米处</w:t>
                  </w:r>
                </w:p>
              </w:tc>
              <w:tc>
                <w:tcPr>
                  <w:tcW w:w="1656" w:type="pct"/>
                  <w:tcBorders>
                    <w:tl2br w:val="nil"/>
                    <w:tr2bl w:val="nil"/>
                  </w:tcBorders>
                  <w:vAlign w:val="center"/>
                </w:tcPr>
                <w:p w14:paraId="55D716A4">
                  <w:pPr>
                    <w:snapToGrid w:val="0"/>
                    <w:spacing w:line="28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val="en-US" w:eastAsia="zh-CN"/>
                    </w:rPr>
                    <w:t>昼间</w:t>
                  </w:r>
                  <w:r>
                    <w:rPr>
                      <w:rFonts w:hint="default" w:ascii="Times New Roman" w:hAnsi="Times New Roman" w:eastAsia="宋体" w:cs="Times New Roman"/>
                      <w:bCs/>
                      <w:color w:val="auto"/>
                      <w:szCs w:val="21"/>
                    </w:rPr>
                    <w:t>等效连续A声级</w:t>
                  </w:r>
                </w:p>
              </w:tc>
              <w:tc>
                <w:tcPr>
                  <w:tcW w:w="1540" w:type="pct"/>
                  <w:tcBorders>
                    <w:tl2br w:val="nil"/>
                    <w:tr2bl w:val="nil"/>
                  </w:tcBorders>
                  <w:vAlign w:val="center"/>
                </w:tcPr>
                <w:p w14:paraId="50A89863">
                  <w:pPr>
                    <w:snapToGrid w:val="0"/>
                    <w:spacing w:line="280" w:lineRule="exact"/>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每季度监测1次</w:t>
                  </w:r>
                </w:p>
              </w:tc>
            </w:tr>
          </w:tbl>
          <w:p w14:paraId="789E5227">
            <w:pPr>
              <w:adjustRightInd w:val="0"/>
              <w:snapToGrid w:val="0"/>
              <w:spacing w:line="500" w:lineRule="exact"/>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lang w:eastAsia="zh-CN"/>
              </w:rPr>
              <w:t>四</w:t>
            </w:r>
            <w:r>
              <w:rPr>
                <w:rFonts w:hint="default" w:ascii="Times New Roman" w:hAnsi="Times New Roman" w:eastAsia="宋体" w:cs="Times New Roman"/>
                <w:b/>
                <w:color w:val="auto"/>
                <w:sz w:val="24"/>
              </w:rPr>
              <w:t>、固体废物</w:t>
            </w:r>
          </w:p>
          <w:p w14:paraId="17AEE588">
            <w:pPr>
              <w:adjustRightInd w:val="0"/>
              <w:snapToGrid w:val="0"/>
              <w:spacing w:line="500" w:lineRule="exact"/>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固体废物产生情况</w:t>
            </w:r>
          </w:p>
          <w:p w14:paraId="31FBE38C">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项目固体废物主要有</w:t>
            </w:r>
            <w:r>
              <w:rPr>
                <w:rFonts w:hint="eastAsia" w:cs="Times New Roman"/>
                <w:b w:val="0"/>
                <w:bCs w:val="0"/>
                <w:color w:val="FF0000"/>
                <w:sz w:val="24"/>
                <w:highlight w:val="none"/>
                <w:lang w:val="en-US" w:eastAsia="zh-CN"/>
              </w:rPr>
              <w:t>清洗废液、</w:t>
            </w:r>
            <w:r>
              <w:rPr>
                <w:rFonts w:hint="default" w:ascii="Times New Roman" w:hAnsi="Times New Roman" w:eastAsia="宋体" w:cs="Times New Roman"/>
                <w:b w:val="0"/>
                <w:bCs w:val="0"/>
                <w:color w:val="auto"/>
                <w:sz w:val="24"/>
                <w:highlight w:val="none"/>
                <w:lang w:val="en-US" w:eastAsia="zh-CN"/>
              </w:rPr>
              <w:t>废网版、废包装瓶、废活性炭、</w:t>
            </w:r>
            <w:r>
              <w:rPr>
                <w:rFonts w:hint="default" w:ascii="Times New Roman" w:hAnsi="Times New Roman" w:eastAsia="宋体" w:cs="Times New Roman"/>
                <w:b w:val="0"/>
                <w:bCs w:val="0"/>
                <w:color w:val="auto"/>
                <w:sz w:val="24"/>
              </w:rPr>
              <w:t>含</w:t>
            </w:r>
            <w:r>
              <w:rPr>
                <w:rFonts w:hint="default" w:ascii="Times New Roman" w:hAnsi="Times New Roman" w:eastAsia="宋体" w:cs="Times New Roman"/>
                <w:b w:val="0"/>
                <w:bCs w:val="0"/>
                <w:color w:val="auto"/>
                <w:sz w:val="24"/>
                <w:lang w:val="en-US" w:eastAsia="zh-CN"/>
              </w:rPr>
              <w:t>乙醇废</w:t>
            </w:r>
            <w:r>
              <w:rPr>
                <w:rFonts w:hint="default" w:ascii="Times New Roman" w:hAnsi="Times New Roman" w:eastAsia="宋体" w:cs="Times New Roman"/>
                <w:b w:val="0"/>
                <w:bCs w:val="0"/>
                <w:color w:val="auto"/>
                <w:sz w:val="24"/>
              </w:rPr>
              <w:t>无尘布</w:t>
            </w:r>
            <w:r>
              <w:rPr>
                <w:rFonts w:hint="default"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 xml:space="preserve">估算情况如下。 </w:t>
            </w:r>
          </w:p>
          <w:p w14:paraId="50212336">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eastAsia" w:cs="Times New Roman"/>
                <w:b w:val="0"/>
                <w:bCs w:val="0"/>
                <w:color w:val="FF0000"/>
                <w:sz w:val="24"/>
                <w:highlight w:val="none"/>
                <w:lang w:val="en-US" w:eastAsia="zh-CN"/>
              </w:rPr>
            </w:pPr>
            <w:r>
              <w:rPr>
                <w:rFonts w:hint="eastAsia" w:cs="Times New Roman"/>
                <w:b/>
                <w:bCs/>
                <w:color w:val="FF0000"/>
                <w:sz w:val="24"/>
                <w:highlight w:val="none"/>
                <w:lang w:val="en-US" w:eastAsia="zh-CN"/>
              </w:rPr>
              <w:t>清洗废液</w:t>
            </w:r>
            <w:r>
              <w:rPr>
                <w:rFonts w:hint="eastAsia" w:cs="Times New Roman"/>
                <w:b w:val="0"/>
                <w:bCs w:val="0"/>
                <w:color w:val="FF0000"/>
                <w:sz w:val="24"/>
                <w:highlight w:val="none"/>
                <w:lang w:val="en-US" w:eastAsia="zh-CN"/>
              </w:rPr>
              <w:t>：</w:t>
            </w:r>
            <w:r>
              <w:rPr>
                <w:rFonts w:hint="default" w:ascii="Times New Roman" w:hAnsi="Times New Roman" w:eastAsia="宋体" w:cs="Times New Roman"/>
                <w:color w:val="FF0000"/>
                <w:sz w:val="24"/>
                <w:highlight w:val="none"/>
                <w:lang w:val="en-US" w:eastAsia="zh-CN"/>
              </w:rPr>
              <w:t>项目</w:t>
            </w:r>
            <w:r>
              <w:rPr>
                <w:rFonts w:hint="eastAsia" w:ascii="Times New Roman" w:hAnsi="Times New Roman" w:eastAsia="宋体" w:cs="Times New Roman"/>
                <w:color w:val="FF0000"/>
                <w:sz w:val="24"/>
                <w:highlight w:val="none"/>
                <w:lang w:val="en-US" w:eastAsia="zh-CN"/>
              </w:rPr>
              <w:t>工件</w:t>
            </w:r>
            <w:r>
              <w:rPr>
                <w:rFonts w:hint="default" w:ascii="Times New Roman" w:hAnsi="Times New Roman" w:eastAsia="宋体" w:cs="Times New Roman"/>
                <w:color w:val="FF0000"/>
                <w:sz w:val="24"/>
                <w:highlight w:val="none"/>
                <w:lang w:val="en-US" w:eastAsia="zh-CN"/>
              </w:rPr>
              <w:t>清洗环节产生清洗废液，根据工程分析，清洗废液</w:t>
            </w:r>
            <w:r>
              <w:rPr>
                <w:rFonts w:hint="eastAsia" w:ascii="Times New Roman" w:hAnsi="Times New Roman" w:cs="Times New Roman"/>
                <w:color w:val="FF0000"/>
                <w:sz w:val="24"/>
                <w:highlight w:val="none"/>
                <w:lang w:val="en-US" w:eastAsia="zh-CN"/>
              </w:rPr>
              <w:t>产生量8</w:t>
            </w:r>
            <w:r>
              <w:rPr>
                <w:rFonts w:hint="default" w:ascii="Times New Roman" w:hAnsi="Times New Roman" w:eastAsia="宋体" w:cs="Times New Roman"/>
                <w:color w:val="FF0000"/>
                <w:sz w:val="24"/>
                <w:highlight w:val="none"/>
                <w:lang w:val="en-US" w:eastAsia="zh-CN"/>
              </w:rPr>
              <w:t>t/a</w:t>
            </w:r>
            <w:r>
              <w:rPr>
                <w:rFonts w:hint="default" w:ascii="Times New Roman" w:hAnsi="Times New Roman" w:eastAsia="宋体" w:cs="Times New Roman"/>
                <w:b w:val="0"/>
                <w:bCs w:val="0"/>
                <w:color w:val="FF0000"/>
                <w:sz w:val="24"/>
                <w:highlight w:val="none"/>
                <w:lang w:val="en-US" w:eastAsia="zh-CN"/>
              </w:rPr>
              <w:t>。</w:t>
            </w:r>
            <w:r>
              <w:rPr>
                <w:rFonts w:hint="default" w:ascii="Times New Roman" w:hAnsi="Times New Roman" w:eastAsia="宋体" w:cs="Times New Roman"/>
                <w:color w:val="auto"/>
                <w:sz w:val="24"/>
                <w:highlight w:val="none"/>
                <w:lang w:val="en-US" w:eastAsia="zh-CN"/>
              </w:rPr>
              <w:t xml:space="preserve"> </w:t>
            </w:r>
          </w:p>
          <w:p w14:paraId="532EB151">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废网版</w:t>
            </w:r>
            <w:r>
              <w:rPr>
                <w:rFonts w:hint="default" w:ascii="Times New Roman" w:hAnsi="Times New Roman" w:eastAsia="宋体" w:cs="Times New Roman"/>
                <w:color w:val="auto"/>
                <w:sz w:val="24"/>
                <w:highlight w:val="none"/>
                <w:lang w:val="en-US" w:eastAsia="zh-CN"/>
              </w:rPr>
              <w:t>：项目丝网印刷过程产生少量废网版，产生量约10块/a，每块废网版约1kg，则</w:t>
            </w:r>
            <w:r>
              <w:rPr>
                <w:rFonts w:hint="default" w:ascii="Times New Roman" w:hAnsi="Times New Roman" w:eastAsia="宋体" w:cs="Times New Roman"/>
                <w:b w:val="0"/>
                <w:bCs w:val="0"/>
                <w:color w:val="auto"/>
                <w:sz w:val="24"/>
                <w:highlight w:val="none"/>
                <w:lang w:val="en-US" w:eastAsia="zh-CN"/>
              </w:rPr>
              <w:t>废网版</w:t>
            </w:r>
            <w:r>
              <w:rPr>
                <w:rFonts w:hint="default" w:ascii="Times New Roman" w:hAnsi="Times New Roman" w:eastAsia="宋体" w:cs="Times New Roman"/>
                <w:color w:val="auto"/>
                <w:sz w:val="24"/>
                <w:highlight w:val="none"/>
                <w:lang w:val="en-US" w:eastAsia="zh-CN"/>
              </w:rPr>
              <w:t>产生量约为0.01t/a</w:t>
            </w:r>
            <w:r>
              <w:rPr>
                <w:rFonts w:hint="default"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 xml:space="preserve"> </w:t>
            </w:r>
          </w:p>
          <w:p w14:paraId="49F2FECC">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废包装瓶</w:t>
            </w:r>
            <w:r>
              <w:rPr>
                <w:rFonts w:hint="default" w:ascii="Times New Roman" w:hAnsi="Times New Roman" w:eastAsia="宋体" w:cs="Times New Roman"/>
                <w:color w:val="auto"/>
                <w:sz w:val="24"/>
                <w:highlight w:val="none"/>
                <w:lang w:val="en-US" w:eastAsia="zh-CN"/>
              </w:rPr>
              <w:t>：本项目丝网印刷油墨、</w:t>
            </w:r>
            <w:r>
              <w:rPr>
                <w:rFonts w:hint="default" w:ascii="Times New Roman" w:hAnsi="Times New Roman" w:eastAsia="宋体" w:cs="Times New Roman"/>
                <w:color w:val="auto"/>
                <w:sz w:val="24"/>
                <w:szCs w:val="24"/>
                <w:highlight w:val="none"/>
                <w:lang w:val="en-US" w:eastAsia="zh-CN"/>
              </w:rPr>
              <w:t>UV油墨、写真机油墨和乙醇使用后产生废包装瓶</w:t>
            </w:r>
            <w:r>
              <w:rPr>
                <w:rFonts w:hint="default" w:ascii="Times New Roman" w:hAnsi="Times New Roman" w:eastAsia="宋体" w:cs="Times New Roman"/>
                <w:i w:val="0"/>
                <w:iCs w:val="0"/>
                <w:color w:val="auto"/>
                <w:kern w:val="0"/>
                <w:sz w:val="24"/>
                <w:szCs w:val="24"/>
                <w:u w:val="none"/>
                <w:lang w:val="en-US" w:eastAsia="zh-CN" w:bidi="ar"/>
              </w:rPr>
              <w:t>，</w:t>
            </w:r>
            <w:r>
              <w:rPr>
                <w:rFonts w:hint="default" w:ascii="Times New Roman" w:hAnsi="Times New Roman" w:eastAsia="宋体" w:cs="Times New Roman"/>
                <w:color w:val="auto"/>
                <w:sz w:val="24"/>
                <w:szCs w:val="24"/>
                <w:highlight w:val="none"/>
                <w:lang w:val="en-US" w:eastAsia="zh-CN"/>
              </w:rPr>
              <w:t>丝网印刷油墨、UV油墨、写真机油墨和乙醇消耗量为</w:t>
            </w:r>
            <w:r>
              <w:rPr>
                <w:rFonts w:hint="default" w:ascii="Times New Roman" w:hAnsi="Times New Roman" w:eastAsia="宋体" w:cs="Times New Roman"/>
                <w:color w:val="auto"/>
                <w:sz w:val="24"/>
                <w:szCs w:val="24"/>
                <w:lang w:val="en-US" w:eastAsia="zh-CN"/>
              </w:rPr>
              <w:t>0.03</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sz w:val="24"/>
                <w:szCs w:val="24"/>
                <w:lang w:val="en-US" w:eastAsia="zh-CN"/>
              </w:rPr>
              <w:t>0.1</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sz w:val="24"/>
                <w:szCs w:val="24"/>
                <w:lang w:val="en-US" w:eastAsia="zh-CN"/>
              </w:rPr>
              <w:t>0.3</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sz w:val="24"/>
                <w:szCs w:val="24"/>
                <w:lang w:val="en-US" w:eastAsia="zh-CN"/>
              </w:rPr>
              <w:t>0.05</w:t>
            </w:r>
            <w:r>
              <w:rPr>
                <w:rFonts w:hint="default" w:ascii="Times New Roman" w:hAnsi="Times New Roman" w:eastAsia="宋体" w:cs="Times New Roman"/>
                <w:color w:val="auto"/>
                <w:sz w:val="24"/>
                <w:szCs w:val="24"/>
                <w:highlight w:val="none"/>
                <w:lang w:val="en-US" w:eastAsia="zh-CN"/>
              </w:rPr>
              <w:t>t/a，新增</w:t>
            </w:r>
            <w:r>
              <w:rPr>
                <w:rFonts w:hint="default" w:ascii="Times New Roman" w:hAnsi="Times New Roman" w:eastAsia="宋体" w:cs="Times New Roman"/>
                <w:b w:val="0"/>
                <w:bCs w:val="0"/>
                <w:color w:val="auto"/>
                <w:sz w:val="24"/>
                <w:szCs w:val="24"/>
                <w:highlight w:val="none"/>
                <w:lang w:val="en-US" w:eastAsia="zh-CN"/>
              </w:rPr>
              <w:t>废包装瓶</w:t>
            </w:r>
            <w:r>
              <w:rPr>
                <w:rFonts w:hint="default" w:ascii="Times New Roman" w:hAnsi="Times New Roman" w:eastAsia="宋体" w:cs="Times New Roman"/>
                <w:color w:val="auto"/>
                <w:sz w:val="24"/>
                <w:szCs w:val="24"/>
                <w:highlight w:val="none"/>
                <w:lang w:val="en-US" w:eastAsia="zh-CN"/>
              </w:rPr>
              <w:t>480个（折100g/个），则本项目</w:t>
            </w:r>
            <w:r>
              <w:rPr>
                <w:rFonts w:hint="default" w:ascii="Times New Roman" w:hAnsi="Times New Roman" w:eastAsia="宋体" w:cs="Times New Roman"/>
                <w:b w:val="0"/>
                <w:bCs w:val="0"/>
                <w:color w:val="auto"/>
                <w:sz w:val="24"/>
                <w:szCs w:val="24"/>
                <w:highlight w:val="none"/>
                <w:lang w:val="en-US" w:eastAsia="zh-CN"/>
              </w:rPr>
              <w:t>废包装瓶</w:t>
            </w:r>
            <w:r>
              <w:rPr>
                <w:rFonts w:hint="default" w:ascii="Times New Roman" w:hAnsi="Times New Roman" w:eastAsia="宋体" w:cs="Times New Roman"/>
                <w:color w:val="auto"/>
                <w:sz w:val="24"/>
                <w:szCs w:val="24"/>
                <w:highlight w:val="none"/>
                <w:lang w:val="en-US" w:eastAsia="zh-CN"/>
              </w:rPr>
              <w:t>产生量约0.048t/a</w:t>
            </w:r>
            <w:r>
              <w:rPr>
                <w:rFonts w:hint="default"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 xml:space="preserve"> </w:t>
            </w:r>
          </w:p>
          <w:p w14:paraId="62657283">
            <w:pPr>
              <w:keepNext w:val="0"/>
              <w:keepLines w:val="0"/>
              <w:pageBreakBefore w:val="0"/>
              <w:widowControl w:val="0"/>
              <w:kinsoku/>
              <w:wordWrap/>
              <w:overflowPunct/>
              <w:topLinePunct w:val="0"/>
              <w:autoSpaceDE/>
              <w:autoSpaceDN/>
              <w:bidi w:val="0"/>
              <w:adjustRightInd w:val="0"/>
              <w:snapToGrid w:val="0"/>
              <w:spacing w:line="500" w:lineRule="exact"/>
              <w:ind w:firstLine="482"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bCs/>
                <w:color w:val="auto"/>
                <w:sz w:val="24"/>
              </w:rPr>
              <w:t>含</w:t>
            </w:r>
            <w:r>
              <w:rPr>
                <w:rFonts w:hint="default" w:ascii="Times New Roman" w:hAnsi="Times New Roman" w:eastAsia="宋体" w:cs="Times New Roman"/>
                <w:b/>
                <w:bCs/>
                <w:color w:val="auto"/>
                <w:sz w:val="24"/>
                <w:lang w:val="en-US" w:eastAsia="zh-CN"/>
              </w:rPr>
              <w:t>乙醇废</w:t>
            </w:r>
            <w:r>
              <w:rPr>
                <w:rFonts w:hint="default" w:ascii="Times New Roman" w:hAnsi="Times New Roman" w:eastAsia="宋体" w:cs="Times New Roman"/>
                <w:b/>
                <w:bCs/>
                <w:color w:val="auto"/>
                <w:sz w:val="24"/>
              </w:rPr>
              <w:t>无尘布</w:t>
            </w:r>
            <w:r>
              <w:rPr>
                <w:rFonts w:hint="default" w:ascii="Times New Roman" w:hAnsi="Times New Roman" w:eastAsia="宋体" w:cs="Times New Roman"/>
                <w:color w:val="auto"/>
                <w:sz w:val="24"/>
                <w:highlight w:val="none"/>
                <w:lang w:val="en-US" w:eastAsia="zh-CN"/>
              </w:rPr>
              <w:t>：项目写真机喷头使用乙醇擦拭清洁，该过程产生少量</w:t>
            </w:r>
            <w:r>
              <w:rPr>
                <w:rFonts w:hint="default" w:ascii="Times New Roman" w:hAnsi="Times New Roman" w:eastAsia="宋体" w:cs="Times New Roman"/>
                <w:b w:val="0"/>
                <w:bCs w:val="0"/>
                <w:color w:val="auto"/>
                <w:sz w:val="24"/>
              </w:rPr>
              <w:t>含</w:t>
            </w:r>
            <w:r>
              <w:rPr>
                <w:rFonts w:hint="default" w:ascii="Times New Roman" w:hAnsi="Times New Roman" w:eastAsia="宋体" w:cs="Times New Roman"/>
                <w:b w:val="0"/>
                <w:bCs w:val="0"/>
                <w:color w:val="auto"/>
                <w:sz w:val="24"/>
                <w:lang w:val="en-US" w:eastAsia="zh-CN"/>
              </w:rPr>
              <w:t>乙醇废</w:t>
            </w:r>
            <w:r>
              <w:rPr>
                <w:rFonts w:hint="default" w:ascii="Times New Roman" w:hAnsi="Times New Roman" w:eastAsia="宋体" w:cs="Times New Roman"/>
                <w:b w:val="0"/>
                <w:bCs w:val="0"/>
                <w:color w:val="auto"/>
                <w:sz w:val="24"/>
              </w:rPr>
              <w:t>无尘布</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val="0"/>
                <w:color w:val="auto"/>
                <w:sz w:val="24"/>
              </w:rPr>
              <w:t>无尘布</w:t>
            </w:r>
            <w:r>
              <w:rPr>
                <w:rFonts w:hint="default" w:ascii="Times New Roman" w:hAnsi="Times New Roman" w:eastAsia="宋体" w:cs="Times New Roman"/>
                <w:b w:val="0"/>
                <w:bCs w:val="0"/>
                <w:color w:val="auto"/>
                <w:sz w:val="24"/>
                <w:lang w:val="en-US" w:eastAsia="zh-CN"/>
              </w:rPr>
              <w:t>消耗约0.005</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sz w:val="24"/>
                <w:highlight w:val="none"/>
                <w:lang w:val="en-US" w:eastAsia="zh-CN"/>
              </w:rPr>
              <w:t>，则本项目产生</w:t>
            </w:r>
            <w:r>
              <w:rPr>
                <w:rFonts w:hint="default" w:ascii="Times New Roman" w:hAnsi="Times New Roman" w:eastAsia="宋体" w:cs="Times New Roman"/>
                <w:b w:val="0"/>
                <w:bCs w:val="0"/>
                <w:color w:val="auto"/>
                <w:sz w:val="24"/>
              </w:rPr>
              <w:t>含</w:t>
            </w:r>
            <w:r>
              <w:rPr>
                <w:rFonts w:hint="default" w:ascii="Times New Roman" w:hAnsi="Times New Roman" w:eastAsia="宋体" w:cs="Times New Roman"/>
                <w:b w:val="0"/>
                <w:bCs w:val="0"/>
                <w:color w:val="auto"/>
                <w:sz w:val="24"/>
                <w:lang w:val="en-US" w:eastAsia="zh-CN"/>
              </w:rPr>
              <w:t>乙醇废</w:t>
            </w:r>
            <w:r>
              <w:rPr>
                <w:rFonts w:hint="default" w:ascii="Times New Roman" w:hAnsi="Times New Roman" w:eastAsia="宋体" w:cs="Times New Roman"/>
                <w:b w:val="0"/>
                <w:bCs w:val="0"/>
                <w:color w:val="auto"/>
                <w:sz w:val="24"/>
              </w:rPr>
              <w:t>无尘布</w:t>
            </w:r>
            <w:r>
              <w:rPr>
                <w:rFonts w:hint="default" w:ascii="Times New Roman" w:hAnsi="Times New Roman" w:eastAsia="宋体" w:cs="Times New Roman"/>
                <w:b w:val="0"/>
                <w:bCs w:val="0"/>
                <w:color w:val="auto"/>
                <w:sz w:val="24"/>
                <w:highlight w:val="none"/>
                <w:lang w:val="en-US" w:eastAsia="zh-CN"/>
              </w:rPr>
              <w:t xml:space="preserve">约0.006t/a。 </w:t>
            </w:r>
          </w:p>
          <w:p w14:paraId="7FF7AFE5">
            <w:pPr>
              <w:adjustRightInd w:val="0"/>
              <w:snapToGrid w:val="0"/>
              <w:spacing w:line="500" w:lineRule="exact"/>
              <w:ind w:firstLine="482" w:firstLineChars="200"/>
              <w:rPr>
                <w:rFonts w:hint="default" w:ascii="Times New Roman" w:hAnsi="Times New Roman" w:eastAsia="宋体" w:cs="Times New Roman"/>
                <w:color w:val="auto"/>
                <w:sz w:val="24"/>
              </w:rPr>
            </w:pPr>
            <w:r>
              <w:rPr>
                <w:rFonts w:hint="default" w:ascii="Times New Roman" w:hAnsi="Times New Roman" w:eastAsia="宋体" w:cs="Times New Roman"/>
                <w:b/>
                <w:color w:val="auto"/>
                <w:sz w:val="24"/>
              </w:rPr>
              <w:t>废活性炭：</w:t>
            </w: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lang w:eastAsia="zh-CN"/>
              </w:rPr>
              <w:t>有机</w:t>
            </w:r>
            <w:r>
              <w:rPr>
                <w:rFonts w:hint="default" w:ascii="Times New Roman" w:hAnsi="Times New Roman" w:eastAsia="宋体" w:cs="Times New Roman"/>
                <w:color w:val="auto"/>
                <w:sz w:val="24"/>
                <w:lang w:val="en-US" w:eastAsia="zh-CN"/>
              </w:rPr>
              <w:t>废气采用二级活性炭吸附</w:t>
            </w:r>
            <w:r>
              <w:rPr>
                <w:rFonts w:hint="default" w:ascii="Times New Roman" w:hAnsi="Times New Roman" w:eastAsia="宋体" w:cs="Times New Roman"/>
                <w:color w:val="auto"/>
                <w:sz w:val="24"/>
              </w:rPr>
              <w:t>处理工艺</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需定期更换活性炭</w:t>
            </w:r>
            <w:r>
              <w:rPr>
                <w:rFonts w:hint="default" w:ascii="Times New Roman" w:hAnsi="Times New Roman" w:eastAsia="宋体" w:cs="Times New Roman"/>
                <w:color w:val="auto"/>
                <w:sz w:val="24"/>
              </w:rPr>
              <w:t>，根据</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省生态环境厅关于将排污单位活性炭使用更换纳入排污许可管理的通知</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中附件涉活性炭吸附排污单位的排污许可管理要求内的相关公式</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计算活性炭更换周期</w:t>
            </w:r>
            <w:r>
              <w:rPr>
                <w:rFonts w:hint="default" w:ascii="Times New Roman" w:hAnsi="Times New Roman" w:eastAsia="宋体" w:cs="Times New Roman"/>
                <w:color w:val="auto"/>
                <w:sz w:val="24"/>
              </w:rPr>
              <w:t>：</w:t>
            </w:r>
          </w:p>
          <w:p w14:paraId="2F0D554F">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T=m×s÷（c×10</w:t>
            </w:r>
            <w:r>
              <w:rPr>
                <w:rFonts w:hint="default" w:ascii="Times New Roman" w:hAnsi="Times New Roman" w:eastAsia="宋体" w:cs="Times New Roman"/>
                <w:color w:val="auto"/>
                <w:sz w:val="24"/>
                <w:vertAlign w:val="superscript"/>
              </w:rPr>
              <w:t>-6</w:t>
            </w:r>
            <w:r>
              <w:rPr>
                <w:rFonts w:hint="default" w:ascii="Times New Roman" w:hAnsi="Times New Roman" w:eastAsia="宋体" w:cs="Times New Roman"/>
                <w:color w:val="auto"/>
                <w:sz w:val="24"/>
              </w:rPr>
              <w:t>×Q×t）</w:t>
            </w:r>
          </w:p>
          <w:p w14:paraId="286830B7">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firstLine="2880" w:firstLineChars="1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T—更换周期，天；</w:t>
            </w:r>
          </w:p>
          <w:p w14:paraId="6530E322">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firstLine="2880" w:firstLineChars="1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m—活性炭的用量，kg；</w:t>
            </w:r>
          </w:p>
          <w:p w14:paraId="6667B379">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firstLine="2880" w:firstLineChars="1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s—动态吸附量，%；</w:t>
            </w:r>
          </w:p>
          <w:p w14:paraId="458EFE30">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firstLine="2880" w:firstLineChars="1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c—活性炭削减VOCs浓度，mg/m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p>
          <w:p w14:paraId="508CDDEE">
            <w:pPr>
              <w:keepNext w:val="0"/>
              <w:keepLines w:val="0"/>
              <w:pageBreakBefore w:val="0"/>
              <w:widowControl w:val="0"/>
              <w:suppressLineNumbers w:val="0"/>
              <w:kinsoku/>
              <w:wordWrap/>
              <w:overflowPunct/>
              <w:topLinePunct w:val="0"/>
              <w:autoSpaceDE/>
              <w:autoSpaceDN/>
              <w:bidi w:val="0"/>
              <w:spacing w:before="0" w:beforeAutospacing="0" w:after="0" w:afterAutospacing="0" w:line="500" w:lineRule="exact"/>
              <w:ind w:left="0" w:right="0" w:firstLine="2880" w:firstLineChars="1200"/>
              <w:jc w:val="left"/>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Q—风量，单位m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/h；</w:t>
            </w:r>
          </w:p>
          <w:p w14:paraId="25F84C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00" w:lineRule="exact"/>
              <w:ind w:left="0" w:right="0" w:firstLine="2880" w:firstLineChars="1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t—运行时间，单位h/d。</w:t>
            </w:r>
          </w:p>
          <w:p w14:paraId="316644EF">
            <w:pPr>
              <w:pStyle w:val="8"/>
              <w:keepNext w:val="0"/>
              <w:keepLines w:val="0"/>
              <w:pageBreakBefore w:val="0"/>
              <w:widowControl/>
              <w:kinsoku/>
              <w:wordWrap/>
              <w:overflowPunct/>
              <w:topLinePunct w:val="0"/>
              <w:autoSpaceDE/>
              <w:autoSpaceDN/>
              <w:bidi w:val="0"/>
              <w:adjustRightInd w:val="0"/>
              <w:snapToGrid w:val="0"/>
              <w:spacing w:before="0" w:after="0" w:line="500" w:lineRule="exact"/>
              <w:ind w:right="0" w:firstLine="422" w:firstLineChars="20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color w:val="auto"/>
                <w:sz w:val="21"/>
                <w:szCs w:val="21"/>
              </w:rPr>
              <w:t>表4-</w:t>
            </w:r>
            <w:r>
              <w:rPr>
                <w:rFonts w:hint="default" w:ascii="Times New Roman" w:hAnsi="Times New Roman" w:eastAsia="宋体" w:cs="Times New Roman"/>
                <w:b/>
                <w:color w:val="auto"/>
                <w:sz w:val="21"/>
                <w:szCs w:val="21"/>
                <w:lang w:val="en-US" w:eastAsia="zh-CN"/>
              </w:rPr>
              <w:t xml:space="preserve">14 </w:t>
            </w:r>
            <w:r>
              <w:rPr>
                <w:rFonts w:hint="default" w:ascii="Times New Roman" w:hAnsi="Times New Roman" w:eastAsia="宋体" w:cs="Times New Roman"/>
                <w:b/>
                <w:color w:val="auto"/>
                <w:sz w:val="21"/>
                <w:szCs w:val="21"/>
              </w:rPr>
              <w:t>活性炭更换周期一览表</w:t>
            </w:r>
          </w:p>
          <w:tbl>
            <w:tblPr>
              <w:tblStyle w:val="27"/>
              <w:tblW w:w="499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51"/>
              <w:gridCol w:w="1103"/>
              <w:gridCol w:w="970"/>
              <w:gridCol w:w="2284"/>
              <w:gridCol w:w="868"/>
              <w:gridCol w:w="878"/>
              <w:gridCol w:w="879"/>
            </w:tblGrid>
            <w:tr w14:paraId="4F5E1D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47" w:type="pct"/>
                  <w:noWrap w:val="0"/>
                  <w:vAlign w:val="center"/>
                </w:tcPr>
                <w:p w14:paraId="00E468FB">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工序</w:t>
                  </w:r>
                </w:p>
              </w:tc>
              <w:tc>
                <w:tcPr>
                  <w:tcW w:w="624" w:type="pct"/>
                  <w:noWrap w:val="0"/>
                  <w:vAlign w:val="center"/>
                </w:tcPr>
                <w:p w14:paraId="5F1E138C">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活性炭的用量（kg）</w:t>
                  </w:r>
                </w:p>
              </w:tc>
              <w:tc>
                <w:tcPr>
                  <w:tcW w:w="549" w:type="pct"/>
                  <w:noWrap w:val="0"/>
                  <w:vAlign w:val="center"/>
                </w:tcPr>
                <w:p w14:paraId="37AA8AF4">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动态吸附量（%）</w:t>
                  </w:r>
                </w:p>
              </w:tc>
              <w:tc>
                <w:tcPr>
                  <w:tcW w:w="1292" w:type="pct"/>
                  <w:noWrap w:val="0"/>
                  <w:vAlign w:val="center"/>
                </w:tcPr>
                <w:p w14:paraId="11AF861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活性炭削减的VOCs浓度（mg/m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491" w:type="pct"/>
                  <w:noWrap w:val="0"/>
                  <w:vAlign w:val="center"/>
                </w:tcPr>
                <w:p w14:paraId="1AFA47DC">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风量（m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/h）</w:t>
                  </w:r>
                </w:p>
              </w:tc>
              <w:tc>
                <w:tcPr>
                  <w:tcW w:w="497" w:type="pct"/>
                  <w:noWrap w:val="0"/>
                  <w:vAlign w:val="center"/>
                </w:tcPr>
                <w:p w14:paraId="0231231B">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运行时间（h/d）</w:t>
                  </w:r>
                </w:p>
              </w:tc>
              <w:tc>
                <w:tcPr>
                  <w:tcW w:w="497" w:type="pct"/>
                  <w:noWrap w:val="0"/>
                  <w:vAlign w:val="center"/>
                </w:tcPr>
                <w:p w14:paraId="04CED7B3">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更换周期（d）</w:t>
                  </w:r>
                </w:p>
              </w:tc>
            </w:tr>
            <w:tr w14:paraId="5E0D37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1047" w:type="pct"/>
                  <w:noWrap w:val="0"/>
                  <w:vAlign w:val="center"/>
                </w:tcPr>
                <w:p w14:paraId="294279D3">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bCs/>
                      <w:color w:val="auto"/>
                      <w:szCs w:val="21"/>
                      <w:lang w:val="en-US" w:eastAsia="zh-CN"/>
                    </w:rPr>
                    <w:t>喷漆</w:t>
                  </w:r>
                </w:p>
              </w:tc>
              <w:tc>
                <w:tcPr>
                  <w:tcW w:w="624" w:type="pct"/>
                  <w:noWrap w:val="0"/>
                  <w:vAlign w:val="center"/>
                </w:tcPr>
                <w:p w14:paraId="19BC92F5">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lang w:val="en-US" w:eastAsia="zh-CN" w:bidi="ar"/>
                    </w:rPr>
                    <w:t>430</w:t>
                  </w:r>
                </w:p>
              </w:tc>
              <w:tc>
                <w:tcPr>
                  <w:tcW w:w="549" w:type="pct"/>
                  <w:noWrap w:val="0"/>
                  <w:vAlign w:val="center"/>
                </w:tcPr>
                <w:p w14:paraId="3DA37658">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lang w:val="en-US" w:eastAsia="zh-CN" w:bidi="ar"/>
                    </w:rPr>
                    <w:t>20</w:t>
                  </w:r>
                </w:p>
              </w:tc>
              <w:tc>
                <w:tcPr>
                  <w:tcW w:w="1292" w:type="pct"/>
                  <w:noWrap w:val="0"/>
                  <w:vAlign w:val="center"/>
                </w:tcPr>
                <w:p w14:paraId="56983F00">
                  <w:pPr>
                    <w:tabs>
                      <w:tab w:val="left" w:pos="360"/>
                      <w:tab w:val="left" w:pos="540"/>
                    </w:tabs>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33.43</w:t>
                  </w:r>
                </w:p>
              </w:tc>
              <w:tc>
                <w:tcPr>
                  <w:tcW w:w="491" w:type="pct"/>
                  <w:noWrap w:val="0"/>
                  <w:vAlign w:val="center"/>
                </w:tcPr>
                <w:p w14:paraId="7E59D784">
                  <w:pPr>
                    <w:tabs>
                      <w:tab w:val="left" w:pos="360"/>
                      <w:tab w:val="left" w:pos="540"/>
                    </w:tabs>
                    <w:adjustRightInd w:val="0"/>
                    <w:snapToGrid w:val="0"/>
                    <w:jc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 w:val="21"/>
                      <w:szCs w:val="21"/>
                      <w:lang w:val="en-US" w:eastAsia="zh-CN"/>
                    </w:rPr>
                    <w:t>14000</w:t>
                  </w:r>
                </w:p>
              </w:tc>
              <w:tc>
                <w:tcPr>
                  <w:tcW w:w="497" w:type="pct"/>
                  <w:noWrap w:val="0"/>
                  <w:vAlign w:val="center"/>
                </w:tcPr>
                <w:p w14:paraId="2B5C9F4F">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lang w:val="en-US" w:eastAsia="zh-CN" w:bidi="ar"/>
                    </w:rPr>
                    <w:t>2</w:t>
                  </w:r>
                </w:p>
              </w:tc>
              <w:tc>
                <w:tcPr>
                  <w:tcW w:w="497" w:type="pct"/>
                  <w:noWrap w:val="0"/>
                  <w:vAlign w:val="center"/>
                </w:tcPr>
                <w:p w14:paraId="6D2A6A80">
                  <w:pPr>
                    <w:tabs>
                      <w:tab w:val="left" w:pos="360"/>
                      <w:tab w:val="left" w:pos="540"/>
                    </w:tabs>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91.87</w:t>
                  </w:r>
                </w:p>
              </w:tc>
            </w:tr>
          </w:tbl>
          <w:p w14:paraId="1B7E0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both"/>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注:</w:t>
            </w:r>
            <w:r>
              <w:rPr>
                <w:rFonts w:hint="default" w:ascii="Times New Roman" w:hAnsi="Times New Roman" w:eastAsia="宋体" w:cs="Times New Roman"/>
                <w:color w:val="auto"/>
                <w:sz w:val="21"/>
                <w:szCs w:val="21"/>
              </w:rPr>
              <w:t>本项目采用一次性颗粒活性炭，碘值不小于800，比表面积≥850m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/g，根据《省生态环境厅关于深入开展涉VOCs治理重点工作核查的通知》（苏环办〔2022〕218号），每5</w:t>
            </w:r>
            <w:r>
              <w:rPr>
                <w:rFonts w:hint="default" w:ascii="Times New Roman" w:hAnsi="Times New Roman" w:eastAsia="宋体" w:cs="Times New Roman"/>
                <w:color w:val="auto"/>
                <w:sz w:val="21"/>
                <w:szCs w:val="21"/>
                <w:lang w:eastAsia="zh-CN"/>
              </w:rPr>
              <w:t>t</w:t>
            </w:r>
            <w:r>
              <w:rPr>
                <w:rFonts w:hint="default" w:ascii="Times New Roman" w:hAnsi="Times New Roman" w:eastAsia="宋体" w:cs="Times New Roman"/>
                <w:color w:val="auto"/>
                <w:sz w:val="21"/>
                <w:szCs w:val="21"/>
              </w:rPr>
              <w:t>活性炭吸附1</w:t>
            </w:r>
            <w:r>
              <w:rPr>
                <w:rFonts w:hint="default" w:ascii="Times New Roman" w:hAnsi="Times New Roman" w:eastAsia="宋体" w:cs="Times New Roman"/>
                <w:color w:val="auto"/>
                <w:sz w:val="21"/>
                <w:szCs w:val="21"/>
                <w:lang w:eastAsia="zh-CN"/>
              </w:rPr>
              <w:t>t</w:t>
            </w:r>
            <w:r>
              <w:rPr>
                <w:rFonts w:hint="default" w:ascii="Times New Roman" w:hAnsi="Times New Roman" w:eastAsia="宋体" w:cs="Times New Roman"/>
                <w:color w:val="auto"/>
                <w:sz w:val="21"/>
                <w:szCs w:val="21"/>
              </w:rPr>
              <w:t>有机废气，因此，动态吸附量取值20%。</w:t>
            </w:r>
          </w:p>
          <w:p w14:paraId="27C46A35">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根据计算所得，本项目活性炭吸附装置更换周期为90天。根据前文分析，二级活性炭废气吸附量为0.281t/a。</w:t>
            </w:r>
            <w:r>
              <w:rPr>
                <w:rFonts w:hint="default" w:ascii="Times New Roman" w:hAnsi="Times New Roman" w:eastAsia="宋体" w:cs="Times New Roman"/>
                <w:bCs/>
                <w:color w:val="auto"/>
                <w:sz w:val="24"/>
                <w:lang w:eastAsia="zh-CN"/>
              </w:rPr>
              <w:t>则项目</w:t>
            </w:r>
            <w:r>
              <w:rPr>
                <w:rFonts w:hint="default" w:ascii="Times New Roman" w:hAnsi="Times New Roman" w:eastAsia="宋体" w:cs="Times New Roman"/>
                <w:bCs/>
                <w:color w:val="auto"/>
                <w:sz w:val="24"/>
                <w:lang w:val="en-US" w:eastAsia="zh-CN"/>
              </w:rPr>
              <w:t>废</w:t>
            </w:r>
            <w:r>
              <w:rPr>
                <w:rFonts w:hint="default" w:ascii="Times New Roman" w:hAnsi="Times New Roman" w:eastAsia="宋体" w:cs="Times New Roman"/>
                <w:bCs/>
                <w:color w:val="auto"/>
                <w:sz w:val="24"/>
                <w:lang w:eastAsia="zh-CN"/>
              </w:rPr>
              <w:t>活性炭产生量</w:t>
            </w:r>
            <w:r>
              <w:rPr>
                <w:rFonts w:hint="default" w:ascii="Times New Roman" w:hAnsi="Times New Roman" w:eastAsia="宋体" w:cs="Times New Roman"/>
                <w:bCs/>
                <w:color w:val="auto"/>
                <w:sz w:val="24"/>
                <w:lang w:val="en-US" w:eastAsia="zh-CN"/>
              </w:rPr>
              <w:t>约</w:t>
            </w:r>
            <w:r>
              <w:rPr>
                <w:rFonts w:hint="default" w:ascii="Times New Roman" w:hAnsi="Times New Roman" w:eastAsia="宋体" w:cs="Times New Roman"/>
                <w:bCs/>
                <w:color w:val="auto"/>
                <w:sz w:val="24"/>
                <w:lang w:eastAsia="zh-CN"/>
              </w:rPr>
              <w:t>为</w:t>
            </w:r>
            <w:r>
              <w:rPr>
                <w:rFonts w:hint="default" w:ascii="Times New Roman" w:hAnsi="Times New Roman" w:eastAsia="宋体" w:cs="Times New Roman"/>
                <w:bCs/>
                <w:color w:val="auto"/>
                <w:sz w:val="24"/>
                <w:lang w:val="en-US" w:eastAsia="zh-CN"/>
              </w:rPr>
              <w:t>2.001t/a</w:t>
            </w:r>
            <w:r>
              <w:rPr>
                <w:rFonts w:hint="default" w:ascii="Times New Roman" w:hAnsi="Times New Roman" w:eastAsia="宋体" w:cs="Times New Roman"/>
                <w:bCs/>
                <w:color w:val="auto"/>
                <w:sz w:val="24"/>
              </w:rPr>
              <w:t>。</w:t>
            </w:r>
          </w:p>
          <w:p w14:paraId="298BEEE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结合生产工艺流程及生产运营过程中的副产物产生情况，根据《固体废物鉴别标准通则》的规定，判断其是否属于固体废物，给出判定依据及结果，见下表。</w:t>
            </w:r>
          </w:p>
          <w:p w14:paraId="0CACC97E">
            <w:pPr>
              <w:pStyle w:val="59"/>
              <w:keepNext w:val="0"/>
              <w:keepLines w:val="0"/>
              <w:pageBreakBefore w:val="0"/>
              <w:tabs>
                <w:tab w:val="left" w:pos="3240"/>
              </w:tabs>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表4-</w:t>
            </w:r>
            <w:r>
              <w:rPr>
                <w:rFonts w:hint="default" w:ascii="Times New Roman" w:hAnsi="Times New Roman" w:eastAsia="宋体" w:cs="Times New Roman"/>
                <w:b/>
                <w:color w:val="auto"/>
                <w:sz w:val="21"/>
                <w:szCs w:val="21"/>
                <w:highlight w:val="none"/>
                <w:lang w:val="en-US" w:eastAsia="zh-CN"/>
              </w:rPr>
              <w:t>15 本</w:t>
            </w:r>
            <w:r>
              <w:rPr>
                <w:rFonts w:hint="default" w:ascii="Times New Roman" w:hAnsi="Times New Roman" w:eastAsia="宋体" w:cs="Times New Roman"/>
                <w:b/>
                <w:color w:val="auto"/>
                <w:sz w:val="21"/>
                <w:szCs w:val="21"/>
                <w:highlight w:val="none"/>
              </w:rPr>
              <w:t>项目固废</w:t>
            </w:r>
            <w:r>
              <w:rPr>
                <w:rFonts w:hint="default" w:ascii="Times New Roman" w:hAnsi="Times New Roman" w:eastAsia="宋体" w:cs="Times New Roman"/>
                <w:b/>
                <w:color w:val="auto"/>
                <w:sz w:val="21"/>
                <w:szCs w:val="21"/>
                <w:highlight w:val="none"/>
                <w:lang w:val="en-US" w:eastAsia="zh-CN"/>
              </w:rPr>
              <w:t>鉴别</w:t>
            </w:r>
            <w:r>
              <w:rPr>
                <w:rFonts w:hint="default" w:ascii="Times New Roman" w:hAnsi="Times New Roman" w:eastAsia="宋体" w:cs="Times New Roman"/>
                <w:b/>
                <w:color w:val="auto"/>
                <w:sz w:val="21"/>
                <w:szCs w:val="21"/>
                <w:highlight w:val="none"/>
              </w:rPr>
              <w:t>情况</w:t>
            </w:r>
            <w:r>
              <w:rPr>
                <w:rFonts w:hint="default" w:ascii="Times New Roman" w:hAnsi="Times New Roman" w:eastAsia="宋体" w:cs="Times New Roman"/>
                <w:b/>
                <w:color w:val="auto"/>
                <w:sz w:val="21"/>
                <w:szCs w:val="21"/>
                <w:highlight w:val="none"/>
                <w:lang w:val="en-US" w:eastAsia="zh-CN"/>
              </w:rPr>
              <w:t>汇总表</w:t>
            </w:r>
          </w:p>
          <w:tbl>
            <w:tblPr>
              <w:tblStyle w:val="27"/>
              <w:tblW w:w="490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47"/>
              <w:gridCol w:w="1410"/>
              <w:gridCol w:w="1153"/>
              <w:gridCol w:w="610"/>
              <w:gridCol w:w="1480"/>
              <w:gridCol w:w="1028"/>
              <w:gridCol w:w="931"/>
              <w:gridCol w:w="695"/>
              <w:gridCol w:w="926"/>
            </w:tblGrid>
            <w:tr w14:paraId="3A4830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8" w:type="pct"/>
                  <w:vMerge w:val="restart"/>
                  <w:tcBorders>
                    <w:tl2br w:val="nil"/>
                    <w:tr2bl w:val="nil"/>
                  </w:tcBorders>
                  <w:noWrap w:val="0"/>
                  <w:vAlign w:val="center"/>
                </w:tcPr>
                <w:p w14:paraId="73E10AF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812" w:type="pct"/>
                  <w:vMerge w:val="restart"/>
                  <w:tcBorders>
                    <w:tl2br w:val="nil"/>
                    <w:tr2bl w:val="nil"/>
                  </w:tcBorders>
                  <w:noWrap w:val="0"/>
                  <w:vAlign w:val="center"/>
                </w:tcPr>
                <w:p w14:paraId="6DF0803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副产物</w:t>
                  </w:r>
                  <w:r>
                    <w:rPr>
                      <w:rFonts w:hint="default" w:ascii="Times New Roman" w:hAnsi="Times New Roman" w:eastAsia="宋体" w:cs="Times New Roman"/>
                      <w:b/>
                      <w:bCs/>
                      <w:color w:val="auto"/>
                      <w:sz w:val="21"/>
                      <w:szCs w:val="21"/>
                    </w:rPr>
                    <w:t>名称</w:t>
                  </w:r>
                </w:p>
              </w:tc>
              <w:tc>
                <w:tcPr>
                  <w:tcW w:w="664" w:type="pct"/>
                  <w:vMerge w:val="restart"/>
                  <w:tcBorders>
                    <w:tl2br w:val="nil"/>
                    <w:tr2bl w:val="nil"/>
                  </w:tcBorders>
                  <w:noWrap w:val="0"/>
                  <w:vAlign w:val="center"/>
                </w:tcPr>
                <w:p w14:paraId="67F3550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产生</w:t>
                  </w:r>
                  <w:r>
                    <w:rPr>
                      <w:rFonts w:hint="default" w:ascii="Times New Roman" w:hAnsi="Times New Roman" w:eastAsia="宋体" w:cs="Times New Roman"/>
                      <w:b/>
                      <w:bCs/>
                      <w:color w:val="auto"/>
                      <w:sz w:val="21"/>
                      <w:szCs w:val="21"/>
                      <w:lang w:val="en-US" w:eastAsia="zh-CN"/>
                    </w:rPr>
                    <w:t>工序</w:t>
                  </w:r>
                </w:p>
              </w:tc>
              <w:tc>
                <w:tcPr>
                  <w:tcW w:w="351" w:type="pct"/>
                  <w:vMerge w:val="restart"/>
                  <w:tcBorders>
                    <w:tl2br w:val="nil"/>
                    <w:tr2bl w:val="nil"/>
                  </w:tcBorders>
                  <w:noWrap w:val="0"/>
                  <w:vAlign w:val="center"/>
                </w:tcPr>
                <w:p w14:paraId="41FC98A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852" w:type="pct"/>
                  <w:vMerge w:val="restart"/>
                  <w:tcBorders>
                    <w:tl2br w:val="nil"/>
                    <w:tr2bl w:val="nil"/>
                  </w:tcBorders>
                  <w:noWrap w:val="0"/>
                  <w:vAlign w:val="center"/>
                </w:tcPr>
                <w:p w14:paraId="79D2EFB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主要成分</w:t>
                  </w:r>
                </w:p>
              </w:tc>
              <w:tc>
                <w:tcPr>
                  <w:tcW w:w="592" w:type="pct"/>
                  <w:vMerge w:val="restart"/>
                  <w:tcBorders>
                    <w:tl2br w:val="nil"/>
                    <w:tr2bl w:val="nil"/>
                  </w:tcBorders>
                  <w:noWrap w:val="0"/>
                  <w:vAlign w:val="center"/>
                </w:tcPr>
                <w:p w14:paraId="487A676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预测</w:t>
                  </w:r>
                  <w:r>
                    <w:rPr>
                      <w:rFonts w:hint="default" w:ascii="Times New Roman" w:hAnsi="Times New Roman" w:eastAsia="宋体" w:cs="Times New Roman"/>
                      <w:b/>
                      <w:bCs/>
                      <w:color w:val="auto"/>
                      <w:sz w:val="21"/>
                      <w:szCs w:val="21"/>
                    </w:rPr>
                    <w:t>产生量（t/a）</w:t>
                  </w:r>
                </w:p>
              </w:tc>
              <w:tc>
                <w:tcPr>
                  <w:tcW w:w="1469" w:type="pct"/>
                  <w:gridSpan w:val="3"/>
                  <w:tcBorders>
                    <w:tl2br w:val="nil"/>
                    <w:tr2bl w:val="nil"/>
                  </w:tcBorders>
                  <w:noWrap w:val="0"/>
                  <w:vAlign w:val="center"/>
                </w:tcPr>
                <w:p w14:paraId="0429537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种类判断</w:t>
                  </w:r>
                </w:p>
              </w:tc>
            </w:tr>
            <w:tr w14:paraId="494524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8" w:type="pct"/>
                  <w:vMerge w:val="continue"/>
                  <w:tcBorders>
                    <w:tl2br w:val="nil"/>
                    <w:tr2bl w:val="nil"/>
                  </w:tcBorders>
                  <w:noWrap w:val="0"/>
                  <w:vAlign w:val="center"/>
                </w:tcPr>
                <w:p w14:paraId="102A924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812" w:type="pct"/>
                  <w:vMerge w:val="continue"/>
                  <w:tcBorders>
                    <w:tl2br w:val="nil"/>
                    <w:tr2bl w:val="nil"/>
                  </w:tcBorders>
                  <w:noWrap w:val="0"/>
                  <w:vAlign w:val="center"/>
                </w:tcPr>
                <w:p w14:paraId="05D32CC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p>
              </w:tc>
              <w:tc>
                <w:tcPr>
                  <w:tcW w:w="664" w:type="pct"/>
                  <w:vMerge w:val="continue"/>
                  <w:tcBorders>
                    <w:tl2br w:val="nil"/>
                    <w:tr2bl w:val="nil"/>
                  </w:tcBorders>
                  <w:noWrap w:val="0"/>
                  <w:vAlign w:val="center"/>
                </w:tcPr>
                <w:p w14:paraId="3E3FAC3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351" w:type="pct"/>
                  <w:vMerge w:val="continue"/>
                  <w:tcBorders>
                    <w:tl2br w:val="nil"/>
                    <w:tr2bl w:val="nil"/>
                  </w:tcBorders>
                  <w:noWrap w:val="0"/>
                  <w:vAlign w:val="center"/>
                </w:tcPr>
                <w:p w14:paraId="419682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852" w:type="pct"/>
                  <w:vMerge w:val="continue"/>
                  <w:tcBorders>
                    <w:tl2br w:val="nil"/>
                    <w:tr2bl w:val="nil"/>
                  </w:tcBorders>
                  <w:noWrap w:val="0"/>
                  <w:vAlign w:val="center"/>
                </w:tcPr>
                <w:p w14:paraId="0E4C44E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p>
              </w:tc>
              <w:tc>
                <w:tcPr>
                  <w:tcW w:w="592" w:type="pct"/>
                  <w:vMerge w:val="continue"/>
                  <w:tcBorders>
                    <w:tl2br w:val="nil"/>
                    <w:tr2bl w:val="nil"/>
                  </w:tcBorders>
                  <w:noWrap w:val="0"/>
                  <w:vAlign w:val="center"/>
                </w:tcPr>
                <w:p w14:paraId="7436618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lang w:val="en-US" w:eastAsia="zh-CN"/>
                    </w:rPr>
                  </w:pPr>
                </w:p>
              </w:tc>
              <w:tc>
                <w:tcPr>
                  <w:tcW w:w="536" w:type="pct"/>
                  <w:tcBorders>
                    <w:tl2br w:val="nil"/>
                    <w:tr2bl w:val="nil"/>
                  </w:tcBorders>
                  <w:noWrap w:val="0"/>
                  <w:vAlign w:val="center"/>
                </w:tcPr>
                <w:p w14:paraId="16AB937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固体废物</w:t>
                  </w:r>
                </w:p>
              </w:tc>
              <w:tc>
                <w:tcPr>
                  <w:tcW w:w="400" w:type="pct"/>
                  <w:tcBorders>
                    <w:tl2br w:val="nil"/>
                    <w:tr2bl w:val="nil"/>
                  </w:tcBorders>
                  <w:noWrap w:val="0"/>
                  <w:vAlign w:val="center"/>
                </w:tcPr>
                <w:p w14:paraId="61BA74F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副产品</w:t>
                  </w:r>
                </w:p>
              </w:tc>
              <w:tc>
                <w:tcPr>
                  <w:tcW w:w="532" w:type="pct"/>
                  <w:tcBorders>
                    <w:tl2br w:val="nil"/>
                    <w:tr2bl w:val="nil"/>
                  </w:tcBorders>
                  <w:noWrap w:val="0"/>
                  <w:vAlign w:val="center"/>
                </w:tcPr>
                <w:p w14:paraId="735834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判定依据</w:t>
                  </w:r>
                </w:p>
              </w:tc>
            </w:tr>
            <w:tr w14:paraId="1FAF96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7" w:type="dxa"/>
                  <w:tcBorders>
                    <w:tl2br w:val="nil"/>
                    <w:tr2bl w:val="nil"/>
                  </w:tcBorders>
                  <w:noWrap w:val="0"/>
                  <w:vAlign w:val="center"/>
                </w:tcPr>
                <w:p w14:paraId="31D75BDC">
                  <w:pPr>
                    <w:pStyle w:val="6"/>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12" w:type="pct"/>
                  <w:tcBorders>
                    <w:tl2br w:val="nil"/>
                    <w:tr2bl w:val="nil"/>
                  </w:tcBorders>
                  <w:noWrap w:val="0"/>
                  <w:vAlign w:val="center"/>
                </w:tcPr>
                <w:p w14:paraId="68088850">
                  <w:pPr>
                    <w:pStyle w:val="6"/>
                    <w:adjustRightInd w:val="0"/>
                    <w:snapToGrid w:val="0"/>
                    <w:ind w:firstLine="0" w:firstLineChars="0"/>
                    <w:jc w:val="center"/>
                    <w:rPr>
                      <w:rFonts w:hint="default" w:ascii="Times New Roman" w:hAnsi="Times New Roman" w:eastAsia="宋体" w:cs="Times New Roman"/>
                      <w:b w:val="0"/>
                      <w:bCs w:val="0"/>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清洗废液</w:t>
                  </w:r>
                </w:p>
              </w:tc>
              <w:tc>
                <w:tcPr>
                  <w:tcW w:w="664" w:type="pct"/>
                  <w:tcBorders>
                    <w:tl2br w:val="nil"/>
                    <w:tr2bl w:val="nil"/>
                  </w:tcBorders>
                  <w:noWrap w:val="0"/>
                  <w:vAlign w:val="center"/>
                </w:tcPr>
                <w:p w14:paraId="37E2FBD3">
                  <w:pPr>
                    <w:adjustRightInd w:val="0"/>
                    <w:snapToGrid w:val="0"/>
                    <w:jc w:val="center"/>
                    <w:rPr>
                      <w:rFonts w:hint="default" w:ascii="Times New Roman" w:hAnsi="Times New Roman" w:eastAsia="宋体" w:cs="Times New Roman"/>
                      <w:b w:val="0"/>
                      <w:bCs w:val="0"/>
                      <w:color w:val="FF0000"/>
                      <w:sz w:val="21"/>
                      <w:szCs w:val="21"/>
                      <w:lang w:val="en-US" w:eastAsia="zh-CN"/>
                    </w:rPr>
                  </w:pPr>
                  <w:r>
                    <w:rPr>
                      <w:rFonts w:hint="eastAsia" w:cs="Times New Roman"/>
                      <w:b w:val="0"/>
                      <w:bCs w:val="0"/>
                      <w:color w:val="FF0000"/>
                      <w:sz w:val="21"/>
                      <w:szCs w:val="21"/>
                      <w:lang w:val="en-US" w:eastAsia="zh-CN"/>
                    </w:rPr>
                    <w:t>清洗</w:t>
                  </w:r>
                </w:p>
              </w:tc>
              <w:tc>
                <w:tcPr>
                  <w:tcW w:w="351" w:type="pct"/>
                  <w:tcBorders>
                    <w:tl2br w:val="nil"/>
                    <w:tr2bl w:val="nil"/>
                  </w:tcBorders>
                  <w:noWrap w:val="0"/>
                  <w:vAlign w:val="center"/>
                </w:tcPr>
                <w:p w14:paraId="7DB6FDA2">
                  <w:pPr>
                    <w:adjustRightInd w:val="0"/>
                    <w:snapToGrid w:val="0"/>
                    <w:jc w:val="center"/>
                    <w:rPr>
                      <w:rFonts w:hint="eastAsia" w:ascii="Times New Roman" w:hAnsi="Times New Roman" w:eastAsia="宋体" w:cs="Times New Roman"/>
                      <w:b w:val="0"/>
                      <w:bCs w:val="0"/>
                      <w:color w:val="FF0000"/>
                      <w:sz w:val="21"/>
                      <w:szCs w:val="21"/>
                      <w:lang w:val="en-US" w:eastAsia="zh-CN"/>
                    </w:rPr>
                  </w:pPr>
                  <w:r>
                    <w:rPr>
                      <w:rFonts w:hint="eastAsia" w:cs="Times New Roman"/>
                      <w:b w:val="0"/>
                      <w:bCs w:val="0"/>
                      <w:color w:val="FF0000"/>
                      <w:sz w:val="21"/>
                      <w:szCs w:val="21"/>
                      <w:lang w:val="en-US" w:eastAsia="zh-CN"/>
                    </w:rPr>
                    <w:t>液</w:t>
                  </w:r>
                </w:p>
              </w:tc>
              <w:tc>
                <w:tcPr>
                  <w:tcW w:w="852" w:type="pct"/>
                  <w:tcBorders>
                    <w:tl2br w:val="nil"/>
                    <w:tr2bl w:val="nil"/>
                  </w:tcBorders>
                  <w:noWrap w:val="0"/>
                  <w:vAlign w:val="center"/>
                </w:tcPr>
                <w:p w14:paraId="530A0D6C">
                  <w:pPr>
                    <w:pStyle w:val="6"/>
                    <w:adjustRightInd w:val="0"/>
                    <w:snapToGrid w:val="0"/>
                    <w:ind w:firstLine="0" w:firstLineChars="0"/>
                    <w:jc w:val="center"/>
                    <w:rPr>
                      <w:rFonts w:hint="default" w:ascii="Times New Roman" w:hAnsi="Times New Roman" w:eastAsia="宋体" w:cs="Times New Roman"/>
                      <w:b w:val="0"/>
                      <w:bCs w:val="0"/>
                      <w:color w:val="FF0000"/>
                      <w:sz w:val="21"/>
                      <w:szCs w:val="21"/>
                      <w:lang w:val="en-US" w:eastAsia="zh-CN"/>
                    </w:rPr>
                  </w:pPr>
                  <w:r>
                    <w:rPr>
                      <w:rFonts w:hint="eastAsia" w:ascii="Times New Roman" w:hAnsi="Times New Roman" w:cs="Times New Roman"/>
                      <w:b w:val="0"/>
                      <w:bCs w:val="0"/>
                      <w:color w:val="FF0000"/>
                      <w:sz w:val="21"/>
                      <w:szCs w:val="21"/>
                      <w:lang w:val="en-US" w:eastAsia="zh-CN"/>
                    </w:rPr>
                    <w:t>水、矿物油</w:t>
                  </w:r>
                </w:p>
              </w:tc>
              <w:tc>
                <w:tcPr>
                  <w:tcW w:w="592" w:type="pct"/>
                  <w:tcBorders>
                    <w:tl2br w:val="nil"/>
                    <w:tr2bl w:val="nil"/>
                  </w:tcBorders>
                  <w:noWrap w:val="0"/>
                  <w:vAlign w:val="center"/>
                </w:tcPr>
                <w:p w14:paraId="259B27A3">
                  <w:pPr>
                    <w:adjustRightInd w:val="0"/>
                    <w:snapToGrid w:val="0"/>
                    <w:jc w:val="center"/>
                    <w:rPr>
                      <w:rFonts w:hint="default" w:ascii="Times New Roman" w:hAnsi="Times New Roman" w:eastAsia="宋体" w:cs="Times New Roman"/>
                      <w:bCs/>
                      <w:color w:val="FF0000"/>
                      <w:kern w:val="2"/>
                      <w:sz w:val="21"/>
                      <w:szCs w:val="21"/>
                      <w:lang w:val="en-US" w:eastAsia="zh-CN" w:bidi="ar-SA"/>
                    </w:rPr>
                  </w:pPr>
                  <w:r>
                    <w:rPr>
                      <w:rFonts w:hint="eastAsia" w:cs="Times New Roman"/>
                      <w:bCs/>
                      <w:color w:val="FF0000"/>
                      <w:kern w:val="2"/>
                      <w:sz w:val="21"/>
                      <w:szCs w:val="21"/>
                      <w:lang w:val="en-US" w:eastAsia="zh-CN" w:bidi="ar-SA"/>
                    </w:rPr>
                    <w:t>8</w:t>
                  </w:r>
                </w:p>
              </w:tc>
              <w:tc>
                <w:tcPr>
                  <w:tcW w:w="536" w:type="pct"/>
                  <w:tcBorders>
                    <w:tl2br w:val="nil"/>
                    <w:tr2bl w:val="nil"/>
                  </w:tcBorders>
                  <w:noWrap w:val="0"/>
                  <w:vAlign w:val="center"/>
                </w:tcPr>
                <w:p w14:paraId="60349B9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w:t>
                  </w:r>
                </w:p>
              </w:tc>
              <w:tc>
                <w:tcPr>
                  <w:tcW w:w="400" w:type="pct"/>
                  <w:tcBorders>
                    <w:tl2br w:val="nil"/>
                    <w:tr2bl w:val="nil"/>
                  </w:tcBorders>
                  <w:noWrap w:val="0"/>
                  <w:vAlign w:val="center"/>
                </w:tcPr>
                <w:p w14:paraId="7D8447E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32" w:type="pct"/>
                  <w:vMerge w:val="restart"/>
                  <w:tcBorders>
                    <w:tl2br w:val="nil"/>
                    <w:tr2bl w:val="nil"/>
                  </w:tcBorders>
                  <w:noWrap w:val="0"/>
                  <w:vAlign w:val="center"/>
                </w:tcPr>
                <w:p w14:paraId="10E5F06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《固体废物鉴别标准通则》</w:t>
                  </w:r>
                </w:p>
              </w:tc>
            </w:tr>
            <w:tr w14:paraId="7BBE8E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7" w:type="dxa"/>
                  <w:tcBorders>
                    <w:tl2br w:val="nil"/>
                    <w:tr2bl w:val="nil"/>
                  </w:tcBorders>
                  <w:noWrap w:val="0"/>
                  <w:vAlign w:val="center"/>
                </w:tcPr>
                <w:p w14:paraId="7307760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SA"/>
                    </w:rPr>
                    <w:t>2</w:t>
                  </w:r>
                </w:p>
              </w:tc>
              <w:tc>
                <w:tcPr>
                  <w:tcW w:w="812" w:type="pct"/>
                  <w:tcBorders>
                    <w:tl2br w:val="nil"/>
                    <w:tr2bl w:val="nil"/>
                  </w:tcBorders>
                  <w:noWrap w:val="0"/>
                  <w:vAlign w:val="center"/>
                </w:tcPr>
                <w:p w14:paraId="39A4FBF2">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废网版</w:t>
                  </w:r>
                </w:p>
              </w:tc>
              <w:tc>
                <w:tcPr>
                  <w:tcW w:w="664" w:type="pct"/>
                  <w:tcBorders>
                    <w:tl2br w:val="nil"/>
                    <w:tr2bl w:val="nil"/>
                  </w:tcBorders>
                  <w:noWrap w:val="0"/>
                  <w:vAlign w:val="center"/>
                </w:tcPr>
                <w:p w14:paraId="267812D0">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丝网印刷</w:t>
                  </w:r>
                </w:p>
              </w:tc>
              <w:tc>
                <w:tcPr>
                  <w:tcW w:w="351" w:type="pct"/>
                  <w:tcBorders>
                    <w:tl2br w:val="nil"/>
                    <w:tr2bl w:val="nil"/>
                  </w:tcBorders>
                  <w:noWrap w:val="0"/>
                  <w:vAlign w:val="center"/>
                </w:tcPr>
                <w:p w14:paraId="09D90A34">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固</w:t>
                  </w:r>
                </w:p>
              </w:tc>
              <w:tc>
                <w:tcPr>
                  <w:tcW w:w="852" w:type="pct"/>
                  <w:tcBorders>
                    <w:tl2br w:val="nil"/>
                    <w:tr2bl w:val="nil"/>
                  </w:tcBorders>
                  <w:noWrap w:val="0"/>
                  <w:vAlign w:val="center"/>
                </w:tcPr>
                <w:p w14:paraId="17600F23">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铝</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sz w:val="21"/>
                      <w:szCs w:val="21"/>
                      <w:lang w:eastAsia="zh-CN"/>
                    </w:rPr>
                    <w:t>等</w:t>
                  </w:r>
                </w:p>
              </w:tc>
              <w:tc>
                <w:tcPr>
                  <w:tcW w:w="592" w:type="pct"/>
                  <w:tcBorders>
                    <w:tl2br w:val="nil"/>
                    <w:tr2bl w:val="nil"/>
                  </w:tcBorders>
                  <w:noWrap w:val="0"/>
                  <w:vAlign w:val="center"/>
                </w:tcPr>
                <w:p w14:paraId="7381231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0.01</w:t>
                  </w:r>
                </w:p>
              </w:tc>
              <w:tc>
                <w:tcPr>
                  <w:tcW w:w="536" w:type="pct"/>
                  <w:tcBorders>
                    <w:tl2br w:val="nil"/>
                    <w:tr2bl w:val="nil"/>
                  </w:tcBorders>
                  <w:noWrap w:val="0"/>
                  <w:vAlign w:val="center"/>
                </w:tcPr>
                <w:p w14:paraId="08732797">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w:t>
                  </w:r>
                </w:p>
              </w:tc>
              <w:tc>
                <w:tcPr>
                  <w:tcW w:w="400" w:type="pct"/>
                  <w:tcBorders>
                    <w:tl2br w:val="nil"/>
                    <w:tr2bl w:val="nil"/>
                  </w:tcBorders>
                  <w:noWrap w:val="0"/>
                  <w:vAlign w:val="center"/>
                </w:tcPr>
                <w:p w14:paraId="2BAA47A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532" w:type="pct"/>
                  <w:vMerge w:val="continue"/>
                  <w:tcBorders>
                    <w:tl2br w:val="nil"/>
                    <w:tr2bl w:val="nil"/>
                  </w:tcBorders>
                  <w:noWrap w:val="0"/>
                  <w:vAlign w:val="center"/>
                </w:tcPr>
                <w:p w14:paraId="5F0ED732">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p>
              </w:tc>
            </w:tr>
            <w:tr w14:paraId="7A84CD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7" w:type="dxa"/>
                  <w:vAlign w:val="center"/>
                </w:tcPr>
                <w:p w14:paraId="02C7971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812" w:type="pct"/>
                  <w:vAlign w:val="center"/>
                </w:tcPr>
                <w:p w14:paraId="367D0EEB">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废包装瓶</w:t>
                  </w:r>
                </w:p>
              </w:tc>
              <w:tc>
                <w:tcPr>
                  <w:tcW w:w="664" w:type="pct"/>
                  <w:vAlign w:val="center"/>
                </w:tcPr>
                <w:p w14:paraId="03528767">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原料包装</w:t>
                  </w:r>
                </w:p>
              </w:tc>
              <w:tc>
                <w:tcPr>
                  <w:tcW w:w="351" w:type="pct"/>
                  <w:vAlign w:val="center"/>
                </w:tcPr>
                <w:p w14:paraId="12525AAA">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固</w:t>
                  </w:r>
                </w:p>
              </w:tc>
              <w:tc>
                <w:tcPr>
                  <w:tcW w:w="852" w:type="pct"/>
                  <w:vAlign w:val="center"/>
                </w:tcPr>
                <w:p w14:paraId="703C4591">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kern w:val="2"/>
                      <w:sz w:val="21"/>
                      <w:szCs w:val="21"/>
                      <w:lang w:val="en-US" w:eastAsia="zh-CN" w:bidi="ar-SA"/>
                    </w:rPr>
                    <w:t>、塑料</w:t>
                  </w:r>
                  <w:r>
                    <w:rPr>
                      <w:rFonts w:hint="default" w:ascii="Times New Roman" w:hAnsi="Times New Roman" w:eastAsia="宋体" w:cs="Times New Roman"/>
                      <w:b w:val="0"/>
                      <w:bCs w:val="0"/>
                      <w:color w:val="auto"/>
                      <w:sz w:val="21"/>
                      <w:szCs w:val="21"/>
                      <w:lang w:eastAsia="zh-CN"/>
                    </w:rPr>
                    <w:t>等</w:t>
                  </w:r>
                </w:p>
              </w:tc>
              <w:tc>
                <w:tcPr>
                  <w:tcW w:w="592" w:type="pct"/>
                  <w:vAlign w:val="center"/>
                </w:tcPr>
                <w:p w14:paraId="0DFE6C9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0.048</w:t>
                  </w:r>
                </w:p>
              </w:tc>
              <w:tc>
                <w:tcPr>
                  <w:tcW w:w="536" w:type="pct"/>
                  <w:vAlign w:val="center"/>
                </w:tcPr>
                <w:p w14:paraId="4951E26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w:t>
                  </w:r>
                </w:p>
              </w:tc>
              <w:tc>
                <w:tcPr>
                  <w:tcW w:w="400" w:type="pct"/>
                  <w:vAlign w:val="center"/>
                </w:tcPr>
                <w:p w14:paraId="3875381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532" w:type="pct"/>
                  <w:vMerge w:val="continue"/>
                  <w:vAlign w:val="center"/>
                </w:tcPr>
                <w:p w14:paraId="1B53A5E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r>
            <w:tr w14:paraId="19B378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47" w:type="dxa"/>
                  <w:vAlign w:val="center"/>
                </w:tcPr>
                <w:p w14:paraId="7E9EFA69">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812" w:type="pct"/>
                  <w:vAlign w:val="center"/>
                </w:tcPr>
                <w:p w14:paraId="67CCF53C">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664" w:type="pct"/>
                  <w:vAlign w:val="center"/>
                </w:tcPr>
                <w:p w14:paraId="797386D2">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喷头擦拭</w:t>
                  </w:r>
                </w:p>
              </w:tc>
              <w:tc>
                <w:tcPr>
                  <w:tcW w:w="351" w:type="pct"/>
                  <w:vAlign w:val="center"/>
                </w:tcPr>
                <w:p w14:paraId="12939EC3">
                  <w:pPr>
                    <w:adjustRightInd w:val="0"/>
                    <w:snapToGrid w:val="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rPr>
                    <w:t>固</w:t>
                  </w:r>
                </w:p>
              </w:tc>
              <w:tc>
                <w:tcPr>
                  <w:tcW w:w="852" w:type="pct"/>
                  <w:vAlign w:val="center"/>
                </w:tcPr>
                <w:p w14:paraId="4AF336EA">
                  <w:pPr>
                    <w:pStyle w:val="6"/>
                    <w:adjustRightInd w:val="0"/>
                    <w:snapToGrid w:val="0"/>
                    <w:ind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rPr>
                    <w:t>布</w:t>
                  </w:r>
                  <w:r>
                    <w:rPr>
                      <w:rFonts w:hint="default" w:ascii="Times New Roman" w:hAnsi="Times New Roman" w:eastAsia="宋体" w:cs="Times New Roman"/>
                      <w:b w:val="0"/>
                      <w:bCs w:val="0"/>
                      <w:color w:val="auto"/>
                      <w:sz w:val="21"/>
                      <w:szCs w:val="21"/>
                      <w:lang w:val="en-US" w:eastAsia="zh-CN"/>
                    </w:rPr>
                    <w:t>、乙醇</w:t>
                  </w:r>
                </w:p>
              </w:tc>
              <w:tc>
                <w:tcPr>
                  <w:tcW w:w="592" w:type="pct"/>
                  <w:vAlign w:val="center"/>
                </w:tcPr>
                <w:p w14:paraId="0C77402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0.006</w:t>
                  </w:r>
                </w:p>
              </w:tc>
              <w:tc>
                <w:tcPr>
                  <w:tcW w:w="536" w:type="pct"/>
                  <w:vAlign w:val="center"/>
                </w:tcPr>
                <w:p w14:paraId="7463C9E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w:t>
                  </w:r>
                </w:p>
              </w:tc>
              <w:tc>
                <w:tcPr>
                  <w:tcW w:w="400" w:type="pct"/>
                  <w:vAlign w:val="center"/>
                </w:tcPr>
                <w:p w14:paraId="7D83010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32" w:type="pct"/>
                  <w:vMerge w:val="continue"/>
                  <w:vAlign w:val="center"/>
                </w:tcPr>
                <w:p w14:paraId="001B316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r>
            <w:tr w14:paraId="11BF71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58" w:type="pct"/>
                  <w:vAlign w:val="center"/>
                </w:tcPr>
                <w:p w14:paraId="09C1878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812" w:type="pct"/>
                  <w:vAlign w:val="center"/>
                </w:tcPr>
                <w:p w14:paraId="70C6D428">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664" w:type="pct"/>
                  <w:vAlign w:val="center"/>
                </w:tcPr>
                <w:p w14:paraId="3179C923">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废气处理</w:t>
                  </w:r>
                </w:p>
              </w:tc>
              <w:tc>
                <w:tcPr>
                  <w:tcW w:w="351" w:type="pct"/>
                  <w:vAlign w:val="center"/>
                </w:tcPr>
                <w:p w14:paraId="5619B391">
                  <w:pPr>
                    <w:adjustRightInd w:val="0"/>
                    <w:snapToGrid w:val="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固</w:t>
                  </w:r>
                </w:p>
              </w:tc>
              <w:tc>
                <w:tcPr>
                  <w:tcW w:w="852" w:type="pct"/>
                  <w:vAlign w:val="center"/>
                </w:tcPr>
                <w:p w14:paraId="2984BF38">
                  <w:pPr>
                    <w:pStyle w:val="6"/>
                    <w:adjustRightInd w:val="0"/>
                    <w:snapToGrid w:val="0"/>
                    <w:ind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rPr>
                    <w:t>活性炭</w:t>
                  </w:r>
                  <w:r>
                    <w:rPr>
                      <w:rFonts w:hint="default" w:ascii="Times New Roman" w:hAnsi="Times New Roman" w:eastAsia="宋体" w:cs="Times New Roman"/>
                      <w:b w:val="0"/>
                      <w:bCs w:val="0"/>
                      <w:color w:val="auto"/>
                      <w:sz w:val="21"/>
                      <w:szCs w:val="21"/>
                      <w:lang w:eastAsia="zh-CN"/>
                    </w:rPr>
                    <w:t>、有机物</w:t>
                  </w:r>
                </w:p>
              </w:tc>
              <w:tc>
                <w:tcPr>
                  <w:tcW w:w="592" w:type="pct"/>
                  <w:vAlign w:val="center"/>
                </w:tcPr>
                <w:p w14:paraId="6C80BCE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2.001</w:t>
                  </w:r>
                </w:p>
              </w:tc>
              <w:tc>
                <w:tcPr>
                  <w:tcW w:w="536" w:type="pct"/>
                  <w:vAlign w:val="center"/>
                </w:tcPr>
                <w:p w14:paraId="5E180F6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w:t>
                  </w:r>
                </w:p>
              </w:tc>
              <w:tc>
                <w:tcPr>
                  <w:tcW w:w="400" w:type="pct"/>
                  <w:vAlign w:val="center"/>
                </w:tcPr>
                <w:p w14:paraId="2D78E462">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c>
                <w:tcPr>
                  <w:tcW w:w="532" w:type="pct"/>
                  <w:vMerge w:val="continue"/>
                  <w:vAlign w:val="center"/>
                </w:tcPr>
                <w:p w14:paraId="724383DD">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p>
              </w:tc>
            </w:tr>
          </w:tbl>
          <w:p w14:paraId="7B29B7C3">
            <w:pPr>
              <w:adjustRightInd w:val="0"/>
              <w:snapToGrid w:val="0"/>
              <w:spacing w:line="500" w:lineRule="exact"/>
              <w:ind w:firstLine="480" w:firstLineChars="200"/>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color w:val="auto"/>
                <w:sz w:val="24"/>
              </w:rPr>
              <w:t>按照《建设项目危险废物环境影响评价指南》（环保部公告</w:t>
            </w:r>
            <w:r>
              <w:rPr>
                <w:rFonts w:hint="default" w:ascii="Times New Roman" w:hAnsi="Times New Roman" w:eastAsia="宋体" w:cs="Times New Roman"/>
                <w:color w:val="auto"/>
                <w:sz w:val="24"/>
                <w:lang w:eastAsia="zh-CN"/>
              </w:rPr>
              <w:t>〔2017〕43号</w:t>
            </w:r>
            <w:r>
              <w:rPr>
                <w:rFonts w:hint="default" w:ascii="Times New Roman" w:hAnsi="Times New Roman" w:eastAsia="宋体" w:cs="Times New Roman"/>
                <w:color w:val="auto"/>
                <w:sz w:val="24"/>
              </w:rPr>
              <w:t>）要求，本项目营运期产生的固体废物的名称、类别、属性和数量等情况见</w:t>
            </w:r>
            <w:r>
              <w:rPr>
                <w:rFonts w:hint="default"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rPr>
              <w:t>表。</w:t>
            </w:r>
          </w:p>
          <w:p w14:paraId="75FF7519">
            <w:pPr>
              <w:pStyle w:val="59"/>
              <w:keepNext w:val="0"/>
              <w:keepLines w:val="0"/>
              <w:pageBreakBefore w:val="0"/>
              <w:widowControl w:val="0"/>
              <w:tabs>
                <w:tab w:val="left" w:pos="3240"/>
              </w:tabs>
              <w:kinsoku/>
              <w:wordWrap/>
              <w:overflowPunct/>
              <w:topLinePunct w:val="0"/>
              <w:autoSpaceDE/>
              <w:autoSpaceDN/>
              <w:bidi w:val="0"/>
              <w:adjustRightInd w:val="0"/>
              <w:snapToGrid w:val="0"/>
              <w:spacing w:line="500" w:lineRule="atLeas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表4-16本项目固废产生情况</w:t>
            </w:r>
          </w:p>
          <w:tbl>
            <w:tblPr>
              <w:tblStyle w:val="27"/>
              <w:tblW w:w="495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346"/>
              <w:gridCol w:w="977"/>
              <w:gridCol w:w="621"/>
              <w:gridCol w:w="854"/>
              <w:gridCol w:w="556"/>
              <w:gridCol w:w="921"/>
              <w:gridCol w:w="1137"/>
              <w:gridCol w:w="584"/>
              <w:gridCol w:w="717"/>
              <w:gridCol w:w="1224"/>
              <w:gridCol w:w="826"/>
            </w:tblGrid>
            <w:tr w14:paraId="0579BE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29" w:hRule="atLeast"/>
                <w:jc w:val="center"/>
              </w:trPr>
              <w:tc>
                <w:tcPr>
                  <w:tcW w:w="197" w:type="pct"/>
                  <w:vAlign w:val="center"/>
                </w:tcPr>
                <w:p w14:paraId="3E0B166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557" w:type="pct"/>
                  <w:vAlign w:val="center"/>
                </w:tcPr>
                <w:p w14:paraId="2D5BF494">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固废名称</w:t>
                  </w:r>
                </w:p>
              </w:tc>
              <w:tc>
                <w:tcPr>
                  <w:tcW w:w="354" w:type="pct"/>
                  <w:tcBorders>
                    <w:bottom w:val="single" w:color="auto" w:sz="4" w:space="0"/>
                  </w:tcBorders>
                  <w:vAlign w:val="center"/>
                </w:tcPr>
                <w:p w14:paraId="00B27EF4">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属性</w:t>
                  </w:r>
                </w:p>
              </w:tc>
              <w:tc>
                <w:tcPr>
                  <w:tcW w:w="487" w:type="pct"/>
                  <w:vAlign w:val="center"/>
                </w:tcPr>
                <w:p w14:paraId="7DA86E1B">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产生来源</w:t>
                  </w:r>
                </w:p>
              </w:tc>
              <w:tc>
                <w:tcPr>
                  <w:tcW w:w="317" w:type="pct"/>
                  <w:vAlign w:val="center"/>
                </w:tcPr>
                <w:p w14:paraId="69CAFCF3">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形态</w:t>
                  </w:r>
                </w:p>
              </w:tc>
              <w:tc>
                <w:tcPr>
                  <w:tcW w:w="525" w:type="pct"/>
                  <w:vAlign w:val="center"/>
                </w:tcPr>
                <w:p w14:paraId="1E7E842C">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主要成分</w:t>
                  </w:r>
                </w:p>
              </w:tc>
              <w:tc>
                <w:tcPr>
                  <w:tcW w:w="648" w:type="pct"/>
                  <w:vAlign w:val="center"/>
                </w:tcPr>
                <w:p w14:paraId="290C065C">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危险特性鉴别方法</w:t>
                  </w:r>
                </w:p>
              </w:tc>
              <w:tc>
                <w:tcPr>
                  <w:tcW w:w="333" w:type="pct"/>
                  <w:vAlign w:val="center"/>
                </w:tcPr>
                <w:p w14:paraId="4EB7EF3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废物特性</w:t>
                  </w:r>
                </w:p>
              </w:tc>
              <w:tc>
                <w:tcPr>
                  <w:tcW w:w="409" w:type="pct"/>
                  <w:vAlign w:val="center"/>
                </w:tcPr>
                <w:p w14:paraId="1AF3D6A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废物类别</w:t>
                  </w:r>
                </w:p>
              </w:tc>
              <w:tc>
                <w:tcPr>
                  <w:tcW w:w="698" w:type="pct"/>
                  <w:vAlign w:val="center"/>
                </w:tcPr>
                <w:p w14:paraId="32AD135E">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废物代码</w:t>
                  </w:r>
                </w:p>
              </w:tc>
              <w:tc>
                <w:tcPr>
                  <w:tcW w:w="471" w:type="pct"/>
                  <w:vAlign w:val="center"/>
                </w:tcPr>
                <w:p w14:paraId="72EF846E">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估算产生量（t/a）</w:t>
                  </w:r>
                </w:p>
              </w:tc>
            </w:tr>
            <w:tr w14:paraId="0AE30E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7" w:type="pct"/>
                  <w:vAlign w:val="center"/>
                </w:tcPr>
                <w:p w14:paraId="30581EA8">
                  <w:pPr>
                    <w:pStyle w:val="6"/>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57" w:type="pct"/>
                  <w:vAlign w:val="center"/>
                </w:tcPr>
                <w:p w14:paraId="32492360">
                  <w:pPr>
                    <w:pStyle w:val="6"/>
                    <w:adjustRightInd w:val="0"/>
                    <w:snapToGrid w:val="0"/>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清洗废液</w:t>
                  </w:r>
                </w:p>
              </w:tc>
              <w:tc>
                <w:tcPr>
                  <w:tcW w:w="354" w:type="pct"/>
                  <w:vMerge w:val="restart"/>
                  <w:vAlign w:val="center"/>
                </w:tcPr>
                <w:p w14:paraId="62B707E9">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危险固废</w:t>
                  </w:r>
                </w:p>
              </w:tc>
              <w:tc>
                <w:tcPr>
                  <w:tcW w:w="487" w:type="pct"/>
                  <w:vAlign w:val="center"/>
                </w:tcPr>
                <w:p w14:paraId="5A9291EC">
                  <w:pPr>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FF0000"/>
                      <w:sz w:val="21"/>
                      <w:szCs w:val="21"/>
                      <w:lang w:val="en-US" w:eastAsia="zh-CN"/>
                    </w:rPr>
                    <w:t>清洗</w:t>
                  </w:r>
                </w:p>
              </w:tc>
              <w:tc>
                <w:tcPr>
                  <w:tcW w:w="317" w:type="pct"/>
                  <w:vAlign w:val="center"/>
                </w:tcPr>
                <w:p w14:paraId="472C954C">
                  <w:pPr>
                    <w:adjustRightInd w:val="0"/>
                    <w:snapToGrid w:val="0"/>
                    <w:jc w:val="center"/>
                    <w:rPr>
                      <w:rFonts w:hint="default" w:ascii="Times New Roman" w:hAnsi="Times New Roman" w:eastAsia="宋体" w:cs="Times New Roman"/>
                      <w:b w:val="0"/>
                      <w:bCs w:val="0"/>
                      <w:color w:val="auto"/>
                      <w:sz w:val="21"/>
                      <w:szCs w:val="21"/>
                    </w:rPr>
                  </w:pPr>
                  <w:r>
                    <w:rPr>
                      <w:rFonts w:hint="eastAsia" w:cs="Times New Roman"/>
                      <w:b w:val="0"/>
                      <w:bCs w:val="0"/>
                      <w:color w:val="FF0000"/>
                      <w:sz w:val="21"/>
                      <w:szCs w:val="21"/>
                      <w:lang w:val="en-US" w:eastAsia="zh-CN"/>
                    </w:rPr>
                    <w:t>液</w:t>
                  </w:r>
                </w:p>
              </w:tc>
              <w:tc>
                <w:tcPr>
                  <w:tcW w:w="525" w:type="pct"/>
                  <w:vAlign w:val="center"/>
                </w:tcPr>
                <w:p w14:paraId="278175E8">
                  <w:pPr>
                    <w:pStyle w:val="6"/>
                    <w:adjustRightInd w:val="0"/>
                    <w:snapToGrid w:val="0"/>
                    <w:ind w:firstLine="0" w:firstLineChars="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FF0000"/>
                      <w:sz w:val="21"/>
                      <w:szCs w:val="21"/>
                      <w:lang w:val="en-US" w:eastAsia="zh-CN"/>
                    </w:rPr>
                    <w:t>水、矿物油</w:t>
                  </w:r>
                </w:p>
              </w:tc>
              <w:tc>
                <w:tcPr>
                  <w:tcW w:w="648" w:type="pct"/>
                  <w:vMerge w:val="restart"/>
                  <w:vAlign w:val="center"/>
                </w:tcPr>
                <w:p w14:paraId="47DA9A5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《国家危险废物名录》（202</w:t>
                  </w:r>
                  <w:r>
                    <w:rPr>
                      <w:rFonts w:hint="default"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年）</w:t>
                  </w:r>
                </w:p>
              </w:tc>
              <w:tc>
                <w:tcPr>
                  <w:tcW w:w="333" w:type="pct"/>
                  <w:vAlign w:val="center"/>
                </w:tcPr>
                <w:p w14:paraId="71DE2128">
                  <w:pPr>
                    <w:adjustRightInd w:val="0"/>
                    <w:snapToGrid w:val="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T/</w:t>
                  </w:r>
                  <w:r>
                    <w:rPr>
                      <w:rFonts w:hint="default" w:ascii="Times New Roman" w:hAnsi="Times New Roman" w:eastAsia="宋体" w:cs="Times New Roman"/>
                      <w:color w:val="FF0000"/>
                      <w:szCs w:val="21"/>
                      <w:lang w:val="en-US" w:eastAsia="zh-CN"/>
                    </w:rPr>
                    <w:t>C</w:t>
                  </w:r>
                </w:p>
              </w:tc>
              <w:tc>
                <w:tcPr>
                  <w:tcW w:w="409" w:type="pct"/>
                  <w:vAlign w:val="center"/>
                </w:tcPr>
                <w:p w14:paraId="6BA38A01">
                  <w:pPr>
                    <w:adjustRightInd w:val="0"/>
                    <w:snapToGrid w:val="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HW</w:t>
                  </w:r>
                  <w:r>
                    <w:rPr>
                      <w:rFonts w:hint="default" w:ascii="Times New Roman" w:hAnsi="Times New Roman" w:eastAsia="宋体" w:cs="Times New Roman"/>
                      <w:color w:val="FF0000"/>
                      <w:szCs w:val="21"/>
                      <w:lang w:val="en-US" w:eastAsia="zh-CN"/>
                    </w:rPr>
                    <w:t>17</w:t>
                  </w:r>
                </w:p>
              </w:tc>
              <w:tc>
                <w:tcPr>
                  <w:tcW w:w="698" w:type="pct"/>
                  <w:vAlign w:val="center"/>
                </w:tcPr>
                <w:p w14:paraId="68F4BF92">
                  <w:pPr>
                    <w:adjustRightInd w:val="0"/>
                    <w:snapToGrid w:val="0"/>
                    <w:jc w:val="center"/>
                    <w:rPr>
                      <w:rFonts w:hint="default" w:ascii="Times New Roman" w:hAnsi="Times New Roman" w:eastAsia="宋体" w:cs="Times New Roman"/>
                      <w:color w:val="FF0000"/>
                      <w:szCs w:val="21"/>
                      <w:lang w:eastAsia="zh-CN"/>
                    </w:rPr>
                  </w:pPr>
                  <w:r>
                    <w:rPr>
                      <w:rFonts w:hint="default" w:ascii="Times New Roman" w:hAnsi="Times New Roman" w:eastAsia="宋体" w:cs="Times New Roman"/>
                      <w:color w:val="FF0000"/>
                      <w:szCs w:val="21"/>
                      <w:lang w:val="en-US" w:eastAsia="zh-CN"/>
                    </w:rPr>
                    <w:t>336</w:t>
                  </w:r>
                  <w:r>
                    <w:rPr>
                      <w:rFonts w:hint="default" w:ascii="Times New Roman" w:hAnsi="Times New Roman" w:eastAsia="宋体" w:cs="Times New Roman"/>
                      <w:color w:val="FF0000"/>
                      <w:szCs w:val="21"/>
                    </w:rPr>
                    <w:t>-0</w:t>
                  </w:r>
                  <w:r>
                    <w:rPr>
                      <w:rFonts w:hint="default" w:ascii="Times New Roman" w:hAnsi="Times New Roman" w:eastAsia="宋体" w:cs="Times New Roman"/>
                      <w:color w:val="FF0000"/>
                      <w:szCs w:val="21"/>
                      <w:lang w:val="en-US" w:eastAsia="zh-CN"/>
                    </w:rPr>
                    <w:t>64</w:t>
                  </w:r>
                  <w:r>
                    <w:rPr>
                      <w:rFonts w:hint="default" w:ascii="Times New Roman" w:hAnsi="Times New Roman" w:eastAsia="宋体" w:cs="Times New Roman"/>
                      <w:color w:val="FF0000"/>
                      <w:szCs w:val="21"/>
                    </w:rPr>
                    <w:t>-</w:t>
                  </w:r>
                  <w:r>
                    <w:rPr>
                      <w:rFonts w:hint="default" w:ascii="Times New Roman" w:hAnsi="Times New Roman" w:eastAsia="宋体" w:cs="Times New Roman"/>
                      <w:color w:val="FF0000"/>
                      <w:szCs w:val="21"/>
                      <w:lang w:val="en-US" w:eastAsia="zh-CN"/>
                    </w:rPr>
                    <w:t>17</w:t>
                  </w:r>
                </w:p>
              </w:tc>
              <w:tc>
                <w:tcPr>
                  <w:tcW w:w="471" w:type="pct"/>
                  <w:vAlign w:val="center"/>
                </w:tcPr>
                <w:p w14:paraId="2B8B481D">
                  <w:pPr>
                    <w:adjustRightInd w:val="0"/>
                    <w:snapToGrid w:val="0"/>
                    <w:jc w:val="center"/>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8</w:t>
                  </w:r>
                </w:p>
              </w:tc>
            </w:tr>
            <w:tr w14:paraId="1751FE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7" w:type="pct"/>
                  <w:vAlign w:val="center"/>
                </w:tcPr>
                <w:p w14:paraId="4BFCDF80">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2"/>
                      <w:sz w:val="21"/>
                      <w:szCs w:val="21"/>
                      <w:lang w:val="en-US" w:eastAsia="zh-CN" w:bidi="ar-SA"/>
                    </w:rPr>
                    <w:t>2</w:t>
                  </w:r>
                </w:p>
              </w:tc>
              <w:tc>
                <w:tcPr>
                  <w:tcW w:w="557" w:type="pct"/>
                  <w:vAlign w:val="center"/>
                </w:tcPr>
                <w:p w14:paraId="14A7626A">
                  <w:pPr>
                    <w:pStyle w:val="6"/>
                    <w:adjustRightInd w:val="0"/>
                    <w:snapToGrid w:val="0"/>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highlight w:val="none"/>
                      <w:lang w:val="en-US" w:eastAsia="zh-CN"/>
                    </w:rPr>
                    <w:t>废网版</w:t>
                  </w:r>
                </w:p>
              </w:tc>
              <w:tc>
                <w:tcPr>
                  <w:tcW w:w="354" w:type="pct"/>
                  <w:vMerge w:val="continue"/>
                  <w:vAlign w:val="center"/>
                </w:tcPr>
                <w:p w14:paraId="2B1D93D2">
                  <w:pPr>
                    <w:adjustRightInd w:val="0"/>
                    <w:snapToGrid w:val="0"/>
                    <w:jc w:val="center"/>
                    <w:rPr>
                      <w:rFonts w:hint="default" w:ascii="Times New Roman" w:hAnsi="Times New Roman" w:eastAsia="宋体" w:cs="Times New Roman"/>
                      <w:color w:val="auto"/>
                      <w:szCs w:val="21"/>
                    </w:rPr>
                  </w:pPr>
                </w:p>
              </w:tc>
              <w:tc>
                <w:tcPr>
                  <w:tcW w:w="487" w:type="pct"/>
                  <w:vAlign w:val="center"/>
                </w:tcPr>
                <w:p w14:paraId="3BE84C6D">
                  <w:pPr>
                    <w:adjustRightInd w:val="0"/>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丝网印刷</w:t>
                  </w:r>
                </w:p>
              </w:tc>
              <w:tc>
                <w:tcPr>
                  <w:tcW w:w="317" w:type="pct"/>
                  <w:vAlign w:val="center"/>
                </w:tcPr>
                <w:p w14:paraId="5B858104">
                  <w:pPr>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rPr>
                    <w:t>固</w:t>
                  </w:r>
                </w:p>
              </w:tc>
              <w:tc>
                <w:tcPr>
                  <w:tcW w:w="525" w:type="pct"/>
                  <w:vAlign w:val="center"/>
                </w:tcPr>
                <w:p w14:paraId="30FC182C">
                  <w:pPr>
                    <w:pStyle w:val="6"/>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铝</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sz w:val="21"/>
                      <w:szCs w:val="21"/>
                      <w:lang w:eastAsia="zh-CN"/>
                    </w:rPr>
                    <w:t>等</w:t>
                  </w:r>
                </w:p>
              </w:tc>
              <w:tc>
                <w:tcPr>
                  <w:tcW w:w="648" w:type="pct"/>
                  <w:vMerge w:val="continue"/>
                  <w:vAlign w:val="center"/>
                </w:tcPr>
                <w:p w14:paraId="49B03F00">
                  <w:pPr>
                    <w:adjustRightInd w:val="0"/>
                    <w:snapToGrid w:val="0"/>
                    <w:jc w:val="center"/>
                    <w:rPr>
                      <w:rFonts w:hint="default" w:ascii="Times New Roman" w:hAnsi="Times New Roman" w:eastAsia="宋体" w:cs="Times New Roman"/>
                      <w:color w:val="auto"/>
                      <w:szCs w:val="21"/>
                    </w:rPr>
                  </w:pPr>
                </w:p>
              </w:tc>
              <w:tc>
                <w:tcPr>
                  <w:tcW w:w="333" w:type="pct"/>
                  <w:vAlign w:val="center"/>
                </w:tcPr>
                <w:p w14:paraId="458DEE87">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T</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I</w:t>
                  </w:r>
                </w:p>
              </w:tc>
              <w:tc>
                <w:tcPr>
                  <w:tcW w:w="409" w:type="pct"/>
                  <w:vAlign w:val="center"/>
                </w:tcPr>
                <w:p w14:paraId="33FB744E">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HW</w:t>
                  </w:r>
                  <w:r>
                    <w:rPr>
                      <w:rFonts w:hint="default" w:ascii="Times New Roman" w:hAnsi="Times New Roman" w:eastAsia="宋体" w:cs="Times New Roman"/>
                      <w:color w:val="auto"/>
                      <w:szCs w:val="21"/>
                      <w:lang w:val="en-US" w:eastAsia="zh-CN"/>
                    </w:rPr>
                    <w:t>12</w:t>
                  </w:r>
                </w:p>
              </w:tc>
              <w:tc>
                <w:tcPr>
                  <w:tcW w:w="698" w:type="pct"/>
                  <w:vAlign w:val="center"/>
                </w:tcPr>
                <w:p w14:paraId="7E7B1428">
                  <w:pPr>
                    <w:snapToGrid w:val="0"/>
                    <w:jc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lang w:eastAsia="zh-CN"/>
                    </w:rPr>
                    <w:t>900-</w:t>
                  </w:r>
                  <w:r>
                    <w:rPr>
                      <w:rFonts w:hint="default" w:ascii="Times New Roman" w:hAnsi="Times New Roman" w:eastAsia="宋体" w:cs="Times New Roman"/>
                      <w:color w:val="auto"/>
                      <w:szCs w:val="21"/>
                      <w:lang w:val="en-US" w:eastAsia="zh-CN"/>
                    </w:rPr>
                    <w:t>253</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12</w:t>
                  </w:r>
                </w:p>
              </w:tc>
              <w:tc>
                <w:tcPr>
                  <w:tcW w:w="471" w:type="pct"/>
                  <w:vAlign w:val="center"/>
                </w:tcPr>
                <w:p w14:paraId="37F803CB">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0.01</w:t>
                  </w:r>
                </w:p>
              </w:tc>
            </w:tr>
            <w:tr w14:paraId="1E6B82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7" w:type="pct"/>
                  <w:vAlign w:val="center"/>
                </w:tcPr>
                <w:p w14:paraId="06530AB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2"/>
                      <w:sz w:val="21"/>
                      <w:szCs w:val="21"/>
                      <w:lang w:val="en-US" w:eastAsia="zh-CN" w:bidi="ar-SA"/>
                    </w:rPr>
                    <w:t>3</w:t>
                  </w:r>
                </w:p>
              </w:tc>
              <w:tc>
                <w:tcPr>
                  <w:tcW w:w="557" w:type="pct"/>
                  <w:vAlign w:val="center"/>
                </w:tcPr>
                <w:p w14:paraId="4E91E308">
                  <w:pPr>
                    <w:pStyle w:val="6"/>
                    <w:adjustRightInd w:val="0"/>
                    <w:snapToGrid w:val="0"/>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highlight w:val="none"/>
                      <w:lang w:val="en-US" w:eastAsia="zh-CN"/>
                    </w:rPr>
                    <w:t>废包装瓶</w:t>
                  </w:r>
                </w:p>
              </w:tc>
              <w:tc>
                <w:tcPr>
                  <w:tcW w:w="354" w:type="pct"/>
                  <w:vMerge w:val="continue"/>
                  <w:vAlign w:val="center"/>
                </w:tcPr>
                <w:p w14:paraId="2FED72BA">
                  <w:pPr>
                    <w:adjustRightInd w:val="0"/>
                    <w:snapToGrid w:val="0"/>
                    <w:jc w:val="center"/>
                    <w:rPr>
                      <w:rFonts w:hint="default" w:ascii="Times New Roman" w:hAnsi="Times New Roman" w:eastAsia="宋体" w:cs="Times New Roman"/>
                      <w:color w:val="auto"/>
                      <w:szCs w:val="21"/>
                    </w:rPr>
                  </w:pPr>
                </w:p>
              </w:tc>
              <w:tc>
                <w:tcPr>
                  <w:tcW w:w="487" w:type="pct"/>
                  <w:vAlign w:val="center"/>
                </w:tcPr>
                <w:p w14:paraId="1D0CAA5B">
                  <w:pPr>
                    <w:pStyle w:val="6"/>
                    <w:adjustRightInd w:val="0"/>
                    <w:snapToGrid w:val="0"/>
                    <w:ind w:firstLine="0" w:firstLine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原料包装</w:t>
                  </w:r>
                </w:p>
              </w:tc>
              <w:tc>
                <w:tcPr>
                  <w:tcW w:w="317" w:type="pct"/>
                  <w:vAlign w:val="center"/>
                </w:tcPr>
                <w:p w14:paraId="4400FE6C">
                  <w:pPr>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rPr>
                    <w:t>固</w:t>
                  </w:r>
                </w:p>
              </w:tc>
              <w:tc>
                <w:tcPr>
                  <w:tcW w:w="525" w:type="pct"/>
                  <w:vAlign w:val="center"/>
                </w:tcPr>
                <w:p w14:paraId="78F50813">
                  <w:pPr>
                    <w:pStyle w:val="6"/>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kern w:val="2"/>
                      <w:sz w:val="21"/>
                      <w:szCs w:val="21"/>
                      <w:lang w:val="en-US" w:eastAsia="zh-CN" w:bidi="ar-SA"/>
                    </w:rPr>
                    <w:t>、塑料</w:t>
                  </w:r>
                  <w:r>
                    <w:rPr>
                      <w:rFonts w:hint="default" w:ascii="Times New Roman" w:hAnsi="Times New Roman" w:eastAsia="宋体" w:cs="Times New Roman"/>
                      <w:b w:val="0"/>
                      <w:bCs w:val="0"/>
                      <w:color w:val="auto"/>
                      <w:sz w:val="21"/>
                      <w:szCs w:val="21"/>
                      <w:lang w:eastAsia="zh-CN"/>
                    </w:rPr>
                    <w:t>等</w:t>
                  </w:r>
                </w:p>
              </w:tc>
              <w:tc>
                <w:tcPr>
                  <w:tcW w:w="648" w:type="pct"/>
                  <w:vMerge w:val="continue"/>
                  <w:vAlign w:val="center"/>
                </w:tcPr>
                <w:p w14:paraId="5D2D82A6">
                  <w:pPr>
                    <w:adjustRightInd w:val="0"/>
                    <w:snapToGrid w:val="0"/>
                    <w:jc w:val="center"/>
                    <w:rPr>
                      <w:rFonts w:hint="default" w:ascii="Times New Roman" w:hAnsi="Times New Roman" w:eastAsia="宋体" w:cs="Times New Roman"/>
                      <w:color w:val="auto"/>
                      <w:szCs w:val="21"/>
                    </w:rPr>
                  </w:pPr>
                </w:p>
              </w:tc>
              <w:tc>
                <w:tcPr>
                  <w:tcW w:w="333" w:type="pct"/>
                  <w:vAlign w:val="center"/>
                </w:tcPr>
                <w:p w14:paraId="5E4AE676">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T/In</w:t>
                  </w:r>
                </w:p>
              </w:tc>
              <w:tc>
                <w:tcPr>
                  <w:tcW w:w="409" w:type="pct"/>
                  <w:vAlign w:val="center"/>
                </w:tcPr>
                <w:p w14:paraId="2E9A3D63">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HW49</w:t>
                  </w:r>
                </w:p>
              </w:tc>
              <w:tc>
                <w:tcPr>
                  <w:tcW w:w="698" w:type="pct"/>
                  <w:vAlign w:val="center"/>
                </w:tcPr>
                <w:p w14:paraId="2B36BA43">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900-041-49</w:t>
                  </w:r>
                </w:p>
              </w:tc>
              <w:tc>
                <w:tcPr>
                  <w:tcW w:w="471" w:type="pct"/>
                  <w:vAlign w:val="center"/>
                </w:tcPr>
                <w:p w14:paraId="63AF76A6">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0.048</w:t>
                  </w:r>
                </w:p>
              </w:tc>
            </w:tr>
            <w:tr w14:paraId="4BAEA2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7" w:type="pct"/>
                  <w:vAlign w:val="center"/>
                </w:tcPr>
                <w:p w14:paraId="67DE6EA3">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lang w:val="en-US" w:eastAsia="zh-CN"/>
                    </w:rPr>
                    <w:t>4</w:t>
                  </w:r>
                </w:p>
              </w:tc>
              <w:tc>
                <w:tcPr>
                  <w:tcW w:w="557" w:type="pct"/>
                  <w:vAlign w:val="center"/>
                </w:tcPr>
                <w:p w14:paraId="512DFCDF">
                  <w:pPr>
                    <w:pStyle w:val="6"/>
                    <w:adjustRightInd w:val="0"/>
                    <w:snapToGrid w:val="0"/>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354" w:type="pct"/>
                  <w:vMerge w:val="continue"/>
                  <w:vAlign w:val="center"/>
                </w:tcPr>
                <w:p w14:paraId="24F5E40C">
                  <w:pPr>
                    <w:adjustRightInd w:val="0"/>
                    <w:snapToGrid w:val="0"/>
                    <w:jc w:val="center"/>
                    <w:rPr>
                      <w:rFonts w:hint="default" w:ascii="Times New Roman" w:hAnsi="Times New Roman" w:eastAsia="宋体" w:cs="Times New Roman"/>
                      <w:color w:val="auto"/>
                      <w:szCs w:val="21"/>
                    </w:rPr>
                  </w:pPr>
                </w:p>
              </w:tc>
              <w:tc>
                <w:tcPr>
                  <w:tcW w:w="487" w:type="pct"/>
                  <w:vAlign w:val="center"/>
                </w:tcPr>
                <w:p w14:paraId="0E12526D">
                  <w:pPr>
                    <w:pStyle w:val="6"/>
                    <w:adjustRightInd w:val="0"/>
                    <w:snapToGrid w:val="0"/>
                    <w:ind w:firstLine="0" w:firstLine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喷头擦拭</w:t>
                  </w:r>
                </w:p>
              </w:tc>
              <w:tc>
                <w:tcPr>
                  <w:tcW w:w="317" w:type="pct"/>
                  <w:vAlign w:val="center"/>
                </w:tcPr>
                <w:p w14:paraId="673913F8">
                  <w:pPr>
                    <w:adjustRightInd w:val="0"/>
                    <w:snapToGrid w:val="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rPr>
                    <w:t>固</w:t>
                  </w:r>
                </w:p>
              </w:tc>
              <w:tc>
                <w:tcPr>
                  <w:tcW w:w="525" w:type="pct"/>
                  <w:vAlign w:val="center"/>
                </w:tcPr>
                <w:p w14:paraId="2D3C0CB6">
                  <w:pPr>
                    <w:pStyle w:val="6"/>
                    <w:adjustRightInd w:val="0"/>
                    <w:snapToGrid w:val="0"/>
                    <w:ind w:firstLine="0" w:firstLineChars="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val="0"/>
                      <w:color w:val="auto"/>
                      <w:sz w:val="21"/>
                      <w:szCs w:val="21"/>
                    </w:rPr>
                    <w:t>布</w:t>
                  </w:r>
                  <w:r>
                    <w:rPr>
                      <w:rFonts w:hint="default" w:ascii="Times New Roman" w:hAnsi="Times New Roman" w:eastAsia="宋体" w:cs="Times New Roman"/>
                      <w:b w:val="0"/>
                      <w:bCs w:val="0"/>
                      <w:color w:val="auto"/>
                      <w:sz w:val="21"/>
                      <w:szCs w:val="21"/>
                      <w:lang w:val="en-US" w:eastAsia="zh-CN"/>
                    </w:rPr>
                    <w:t>、乙醇</w:t>
                  </w:r>
                </w:p>
              </w:tc>
              <w:tc>
                <w:tcPr>
                  <w:tcW w:w="648" w:type="pct"/>
                  <w:vMerge w:val="continue"/>
                  <w:vAlign w:val="center"/>
                </w:tcPr>
                <w:p w14:paraId="13D990D4">
                  <w:pPr>
                    <w:adjustRightInd w:val="0"/>
                    <w:snapToGrid w:val="0"/>
                    <w:jc w:val="center"/>
                    <w:rPr>
                      <w:rFonts w:hint="default" w:ascii="Times New Roman" w:hAnsi="Times New Roman" w:eastAsia="宋体" w:cs="Times New Roman"/>
                      <w:color w:val="auto"/>
                      <w:szCs w:val="21"/>
                    </w:rPr>
                  </w:pPr>
                </w:p>
              </w:tc>
              <w:tc>
                <w:tcPr>
                  <w:tcW w:w="333" w:type="pct"/>
                  <w:vAlign w:val="center"/>
                </w:tcPr>
                <w:p w14:paraId="5B11BD42">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T/In</w:t>
                  </w:r>
                </w:p>
              </w:tc>
              <w:tc>
                <w:tcPr>
                  <w:tcW w:w="409" w:type="pct"/>
                  <w:vAlign w:val="center"/>
                </w:tcPr>
                <w:p w14:paraId="6D44610E">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HW49</w:t>
                  </w:r>
                </w:p>
              </w:tc>
              <w:tc>
                <w:tcPr>
                  <w:tcW w:w="698" w:type="pct"/>
                  <w:vAlign w:val="center"/>
                </w:tcPr>
                <w:p w14:paraId="43F52387">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900-041-49</w:t>
                  </w:r>
                </w:p>
              </w:tc>
              <w:tc>
                <w:tcPr>
                  <w:tcW w:w="471" w:type="pct"/>
                  <w:vAlign w:val="center"/>
                </w:tcPr>
                <w:p w14:paraId="2BC5637D">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0.006</w:t>
                  </w:r>
                </w:p>
              </w:tc>
            </w:tr>
            <w:tr w14:paraId="0D914E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97" w:type="pct"/>
                  <w:vAlign w:val="center"/>
                </w:tcPr>
                <w:p w14:paraId="03605B7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557" w:type="pct"/>
                  <w:vAlign w:val="center"/>
                </w:tcPr>
                <w:p w14:paraId="73916873">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354" w:type="pct"/>
                  <w:vMerge w:val="continue"/>
                  <w:vAlign w:val="center"/>
                </w:tcPr>
                <w:p w14:paraId="47E49A1D">
                  <w:pPr>
                    <w:adjustRightInd w:val="0"/>
                    <w:snapToGrid w:val="0"/>
                    <w:jc w:val="center"/>
                    <w:rPr>
                      <w:rFonts w:hint="default" w:ascii="Times New Roman" w:hAnsi="Times New Roman" w:eastAsia="宋体" w:cs="Times New Roman"/>
                      <w:color w:val="auto"/>
                      <w:szCs w:val="21"/>
                    </w:rPr>
                  </w:pPr>
                </w:p>
              </w:tc>
              <w:tc>
                <w:tcPr>
                  <w:tcW w:w="487" w:type="pct"/>
                  <w:vAlign w:val="center"/>
                </w:tcPr>
                <w:p w14:paraId="0473F4C7">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废气处理</w:t>
                  </w:r>
                </w:p>
              </w:tc>
              <w:tc>
                <w:tcPr>
                  <w:tcW w:w="317" w:type="pct"/>
                  <w:vAlign w:val="center"/>
                </w:tcPr>
                <w:p w14:paraId="1D9CA4AC">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b w:val="0"/>
                      <w:bCs w:val="0"/>
                      <w:color w:val="auto"/>
                      <w:sz w:val="21"/>
                      <w:szCs w:val="21"/>
                    </w:rPr>
                    <w:t>固</w:t>
                  </w:r>
                </w:p>
              </w:tc>
              <w:tc>
                <w:tcPr>
                  <w:tcW w:w="525" w:type="pct"/>
                  <w:vAlign w:val="center"/>
                </w:tcPr>
                <w:p w14:paraId="2CC23131">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rPr>
                    <w:t>活性炭</w:t>
                  </w:r>
                  <w:r>
                    <w:rPr>
                      <w:rFonts w:hint="default" w:ascii="Times New Roman" w:hAnsi="Times New Roman" w:eastAsia="宋体" w:cs="Times New Roman"/>
                      <w:b w:val="0"/>
                      <w:bCs w:val="0"/>
                      <w:color w:val="auto"/>
                      <w:sz w:val="21"/>
                      <w:szCs w:val="21"/>
                      <w:lang w:eastAsia="zh-CN"/>
                    </w:rPr>
                    <w:t>、有机物</w:t>
                  </w:r>
                </w:p>
              </w:tc>
              <w:tc>
                <w:tcPr>
                  <w:tcW w:w="648" w:type="pct"/>
                  <w:vMerge w:val="continue"/>
                  <w:vAlign w:val="center"/>
                </w:tcPr>
                <w:p w14:paraId="0204A876">
                  <w:pPr>
                    <w:adjustRightInd w:val="0"/>
                    <w:snapToGrid w:val="0"/>
                    <w:jc w:val="center"/>
                    <w:rPr>
                      <w:rFonts w:hint="default" w:ascii="Times New Roman" w:hAnsi="Times New Roman" w:eastAsia="宋体" w:cs="Times New Roman"/>
                      <w:color w:val="auto"/>
                      <w:szCs w:val="21"/>
                    </w:rPr>
                  </w:pPr>
                </w:p>
              </w:tc>
              <w:tc>
                <w:tcPr>
                  <w:tcW w:w="333" w:type="pct"/>
                  <w:vAlign w:val="center"/>
                </w:tcPr>
                <w:p w14:paraId="1FFFEE9C">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t>
                  </w:r>
                </w:p>
              </w:tc>
              <w:tc>
                <w:tcPr>
                  <w:tcW w:w="409" w:type="pct"/>
                  <w:vAlign w:val="center"/>
                </w:tcPr>
                <w:p w14:paraId="26372851">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HW49</w:t>
                  </w:r>
                </w:p>
              </w:tc>
              <w:tc>
                <w:tcPr>
                  <w:tcW w:w="698" w:type="pct"/>
                  <w:vAlign w:val="center"/>
                </w:tcPr>
                <w:p w14:paraId="445E96C1">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900-039-49</w:t>
                  </w:r>
                </w:p>
              </w:tc>
              <w:tc>
                <w:tcPr>
                  <w:tcW w:w="471" w:type="pct"/>
                  <w:vAlign w:val="center"/>
                </w:tcPr>
                <w:p w14:paraId="7F5B8B8C">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bCs/>
                      <w:color w:val="auto"/>
                      <w:sz w:val="21"/>
                      <w:szCs w:val="21"/>
                      <w:lang w:val="en-US" w:eastAsia="zh-CN"/>
                    </w:rPr>
                    <w:t>2.001</w:t>
                  </w:r>
                </w:p>
              </w:tc>
            </w:tr>
          </w:tbl>
          <w:p w14:paraId="71A30393">
            <w:pPr>
              <w:pStyle w:val="59"/>
              <w:keepNext w:val="0"/>
              <w:keepLines w:val="0"/>
              <w:pageBreakBefore w:val="0"/>
              <w:widowControl w:val="0"/>
              <w:tabs>
                <w:tab w:val="left" w:pos="3240"/>
              </w:tabs>
              <w:kinsoku/>
              <w:wordWrap/>
              <w:overflowPunct/>
              <w:topLinePunct w:val="0"/>
              <w:autoSpaceDE/>
              <w:autoSpaceDN/>
              <w:bidi w:val="0"/>
              <w:adjustRightInd w:val="0"/>
              <w:snapToGrid w:val="0"/>
              <w:spacing w:line="500" w:lineRule="atLeas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表4-17 本项目建成后全厂固废产生情况</w:t>
            </w:r>
          </w:p>
          <w:tbl>
            <w:tblPr>
              <w:tblStyle w:val="27"/>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48"/>
              <w:gridCol w:w="1260"/>
              <w:gridCol w:w="488"/>
              <w:gridCol w:w="901"/>
              <w:gridCol w:w="492"/>
              <w:gridCol w:w="1198"/>
              <w:gridCol w:w="956"/>
              <w:gridCol w:w="481"/>
              <w:gridCol w:w="614"/>
              <w:gridCol w:w="1184"/>
              <w:gridCol w:w="915"/>
            </w:tblGrid>
            <w:tr w14:paraId="1C44E3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 w:type="pct"/>
                  <w:noWrap w:val="0"/>
                  <w:vAlign w:val="center"/>
                </w:tcPr>
                <w:p w14:paraId="7C2A8DA2">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序号</w:t>
                  </w:r>
                </w:p>
              </w:tc>
              <w:tc>
                <w:tcPr>
                  <w:tcW w:w="712" w:type="pct"/>
                  <w:noWrap w:val="0"/>
                  <w:vAlign w:val="center"/>
                </w:tcPr>
                <w:p w14:paraId="4BFB36C0">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固废名称</w:t>
                  </w:r>
                </w:p>
              </w:tc>
              <w:tc>
                <w:tcPr>
                  <w:tcW w:w="276" w:type="pct"/>
                  <w:noWrap w:val="0"/>
                  <w:vAlign w:val="center"/>
                </w:tcPr>
                <w:p w14:paraId="20DD4CCD">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属性</w:t>
                  </w:r>
                </w:p>
              </w:tc>
              <w:tc>
                <w:tcPr>
                  <w:tcW w:w="509" w:type="pct"/>
                  <w:noWrap w:val="0"/>
                  <w:vAlign w:val="center"/>
                </w:tcPr>
                <w:p w14:paraId="4120E445">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产生工序</w:t>
                  </w:r>
                </w:p>
              </w:tc>
              <w:tc>
                <w:tcPr>
                  <w:tcW w:w="278" w:type="pct"/>
                  <w:noWrap w:val="0"/>
                  <w:vAlign w:val="center"/>
                </w:tcPr>
                <w:p w14:paraId="6F9987EB">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形态</w:t>
                  </w:r>
                </w:p>
              </w:tc>
              <w:tc>
                <w:tcPr>
                  <w:tcW w:w="677" w:type="pct"/>
                  <w:noWrap w:val="0"/>
                  <w:vAlign w:val="center"/>
                </w:tcPr>
                <w:p w14:paraId="7D5E3DF4">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主要成分</w:t>
                  </w:r>
                </w:p>
              </w:tc>
              <w:tc>
                <w:tcPr>
                  <w:tcW w:w="540" w:type="pct"/>
                  <w:noWrap w:val="0"/>
                  <w:vAlign w:val="center"/>
                </w:tcPr>
                <w:p w14:paraId="79D91C3F">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危险特性鉴别方法</w:t>
                  </w:r>
                </w:p>
              </w:tc>
              <w:tc>
                <w:tcPr>
                  <w:tcW w:w="272" w:type="pct"/>
                  <w:noWrap w:val="0"/>
                  <w:vAlign w:val="center"/>
                </w:tcPr>
                <w:p w14:paraId="7594F1FC">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危险特性</w:t>
                  </w:r>
                </w:p>
              </w:tc>
              <w:tc>
                <w:tcPr>
                  <w:tcW w:w="347" w:type="pct"/>
                  <w:noWrap w:val="0"/>
                  <w:vAlign w:val="center"/>
                </w:tcPr>
                <w:p w14:paraId="03E91068">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废物</w:t>
                  </w:r>
                </w:p>
                <w:p w14:paraId="5F1E2E3E">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类别</w:t>
                  </w:r>
                </w:p>
              </w:tc>
              <w:tc>
                <w:tcPr>
                  <w:tcW w:w="669" w:type="pct"/>
                  <w:noWrap w:val="0"/>
                  <w:vAlign w:val="center"/>
                </w:tcPr>
                <w:p w14:paraId="6B162AD8">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废物代码</w:t>
                  </w:r>
                </w:p>
              </w:tc>
              <w:tc>
                <w:tcPr>
                  <w:tcW w:w="517" w:type="pct"/>
                  <w:noWrap w:val="0"/>
                  <w:vAlign w:val="center"/>
                </w:tcPr>
                <w:p w14:paraId="666B8E1F">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估算</w:t>
                  </w:r>
                </w:p>
                <w:p w14:paraId="70BC8184">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产生量</w:t>
                  </w:r>
                </w:p>
              </w:tc>
            </w:tr>
            <w:tr w14:paraId="1F7460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9" w:hRule="atLeast"/>
                <w:jc w:val="center"/>
              </w:trPr>
              <w:tc>
                <w:tcPr>
                  <w:tcW w:w="197" w:type="pct"/>
                  <w:noWrap w:val="0"/>
                  <w:vAlign w:val="center"/>
                </w:tcPr>
                <w:p w14:paraId="35BFC98D">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1</w:t>
                  </w:r>
                </w:p>
              </w:tc>
              <w:tc>
                <w:tcPr>
                  <w:tcW w:w="712" w:type="pct"/>
                  <w:noWrap w:val="0"/>
                  <w:vAlign w:val="center"/>
                </w:tcPr>
                <w:p w14:paraId="270F3A2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边角料、不合格品</w:t>
                  </w:r>
                </w:p>
              </w:tc>
              <w:tc>
                <w:tcPr>
                  <w:tcW w:w="276" w:type="pct"/>
                  <w:vMerge w:val="restart"/>
                  <w:noWrap w:val="0"/>
                  <w:vAlign w:val="center"/>
                </w:tcPr>
                <w:p w14:paraId="0AA6EE11">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一般固废</w:t>
                  </w:r>
                </w:p>
              </w:tc>
              <w:tc>
                <w:tcPr>
                  <w:tcW w:w="509" w:type="pct"/>
                  <w:noWrap w:val="0"/>
                  <w:vAlign w:val="center"/>
                </w:tcPr>
                <w:p w14:paraId="7B29A611">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机加工、检验</w:t>
                  </w:r>
                </w:p>
              </w:tc>
              <w:tc>
                <w:tcPr>
                  <w:tcW w:w="278" w:type="pct"/>
                  <w:noWrap w:val="0"/>
                  <w:vAlign w:val="center"/>
                </w:tcPr>
                <w:p w14:paraId="27A12DCB">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5D25E09A">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不锈钢</w:t>
                  </w:r>
                </w:p>
              </w:tc>
              <w:tc>
                <w:tcPr>
                  <w:tcW w:w="540" w:type="pct"/>
                  <w:vMerge w:val="restart"/>
                  <w:noWrap w:val="0"/>
                  <w:vAlign w:val="center"/>
                </w:tcPr>
                <w:p w14:paraId="6A506C5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GBT39198</w:t>
                  </w:r>
                </w:p>
                <w:p w14:paraId="790ED4EE">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-2020</w:t>
                  </w:r>
                </w:p>
              </w:tc>
              <w:tc>
                <w:tcPr>
                  <w:tcW w:w="272" w:type="pct"/>
                  <w:noWrap w:val="0"/>
                  <w:vAlign w:val="center"/>
                </w:tcPr>
                <w:p w14:paraId="76981B2D">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rPr>
                    <w:t>/</w:t>
                  </w:r>
                </w:p>
              </w:tc>
              <w:tc>
                <w:tcPr>
                  <w:tcW w:w="347" w:type="pct"/>
                  <w:noWrap w:val="0"/>
                  <w:vAlign w:val="center"/>
                </w:tcPr>
                <w:p w14:paraId="3995BEB5">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SW17</w:t>
                  </w:r>
                </w:p>
              </w:tc>
              <w:tc>
                <w:tcPr>
                  <w:tcW w:w="669" w:type="pct"/>
                  <w:noWrap w:val="0"/>
                  <w:vAlign w:val="center"/>
                </w:tcPr>
                <w:p w14:paraId="5A85BCC0">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900-001-S17</w:t>
                  </w:r>
                </w:p>
              </w:tc>
              <w:tc>
                <w:tcPr>
                  <w:tcW w:w="915" w:type="dxa"/>
                  <w:noWrap w:val="0"/>
                  <w:vAlign w:val="center"/>
                </w:tcPr>
                <w:p w14:paraId="56025DDB">
                  <w:pPr>
                    <w:spacing w:line="260" w:lineRule="exact"/>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 w:val="21"/>
                      <w:szCs w:val="21"/>
                      <w:highlight w:val="none"/>
                      <w:lang w:val="en-US" w:eastAsia="zh-CN"/>
                    </w:rPr>
                    <w:t>1.5</w:t>
                  </w:r>
                </w:p>
              </w:tc>
            </w:tr>
            <w:tr w14:paraId="5CA227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9" w:hRule="atLeast"/>
                <w:jc w:val="center"/>
              </w:trPr>
              <w:tc>
                <w:tcPr>
                  <w:tcW w:w="197" w:type="pct"/>
                  <w:noWrap w:val="0"/>
                  <w:vAlign w:val="center"/>
                </w:tcPr>
                <w:p w14:paraId="6D0A1B14">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712" w:type="pct"/>
                  <w:noWrap w:val="0"/>
                  <w:vAlign w:val="center"/>
                </w:tcPr>
                <w:p w14:paraId="3555869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焊渣</w:t>
                  </w:r>
                </w:p>
              </w:tc>
              <w:tc>
                <w:tcPr>
                  <w:tcW w:w="276" w:type="pct"/>
                  <w:vMerge w:val="continue"/>
                  <w:noWrap w:val="0"/>
                  <w:vAlign w:val="center"/>
                </w:tcPr>
                <w:p w14:paraId="76965927">
                  <w:pPr>
                    <w:adjustRightInd w:val="0"/>
                    <w:snapToGrid w:val="0"/>
                    <w:jc w:val="center"/>
                    <w:rPr>
                      <w:rFonts w:hint="default" w:ascii="Times New Roman" w:hAnsi="Times New Roman" w:eastAsia="宋体" w:cs="Times New Roman"/>
                      <w:bCs/>
                      <w:color w:val="auto"/>
                    </w:rPr>
                  </w:pPr>
                </w:p>
              </w:tc>
              <w:tc>
                <w:tcPr>
                  <w:tcW w:w="509" w:type="pct"/>
                  <w:noWrap w:val="0"/>
                  <w:vAlign w:val="center"/>
                </w:tcPr>
                <w:p w14:paraId="7BF061D0">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焊接</w:t>
                  </w:r>
                </w:p>
              </w:tc>
              <w:tc>
                <w:tcPr>
                  <w:tcW w:w="278" w:type="pct"/>
                  <w:noWrap w:val="0"/>
                  <w:vAlign w:val="center"/>
                </w:tcPr>
                <w:p w14:paraId="733354DD">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065BA712">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金属氧化物</w:t>
                  </w:r>
                </w:p>
              </w:tc>
              <w:tc>
                <w:tcPr>
                  <w:tcW w:w="540" w:type="pct"/>
                  <w:vMerge w:val="continue"/>
                  <w:noWrap w:val="0"/>
                  <w:vAlign w:val="center"/>
                </w:tcPr>
                <w:p w14:paraId="38A60224">
                  <w:pPr>
                    <w:adjustRightInd w:val="0"/>
                    <w:snapToGrid w:val="0"/>
                    <w:jc w:val="center"/>
                    <w:rPr>
                      <w:rFonts w:hint="default" w:ascii="Times New Roman" w:hAnsi="Times New Roman" w:eastAsia="宋体" w:cs="Times New Roman"/>
                      <w:bCs/>
                      <w:color w:val="auto"/>
                    </w:rPr>
                  </w:pPr>
                </w:p>
              </w:tc>
              <w:tc>
                <w:tcPr>
                  <w:tcW w:w="272" w:type="pct"/>
                  <w:noWrap w:val="0"/>
                  <w:vAlign w:val="center"/>
                </w:tcPr>
                <w:p w14:paraId="1364311F">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rPr>
                    <w:t>/</w:t>
                  </w:r>
                </w:p>
              </w:tc>
              <w:tc>
                <w:tcPr>
                  <w:tcW w:w="347" w:type="pct"/>
                  <w:noWrap w:val="0"/>
                  <w:vAlign w:val="center"/>
                </w:tcPr>
                <w:p w14:paraId="06C10FBE">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SW17</w:t>
                  </w:r>
                </w:p>
              </w:tc>
              <w:tc>
                <w:tcPr>
                  <w:tcW w:w="669" w:type="pct"/>
                  <w:noWrap w:val="0"/>
                  <w:vAlign w:val="center"/>
                </w:tcPr>
                <w:p w14:paraId="18291E63">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900-099-S17</w:t>
                  </w:r>
                </w:p>
              </w:tc>
              <w:tc>
                <w:tcPr>
                  <w:tcW w:w="915" w:type="dxa"/>
                  <w:noWrap w:val="0"/>
                  <w:vAlign w:val="center"/>
                </w:tcPr>
                <w:p w14:paraId="72C43BBC">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highlight w:val="none"/>
                      <w:lang w:val="en-US" w:eastAsia="zh-CN"/>
                    </w:rPr>
                    <w:t>0.05</w:t>
                  </w:r>
                </w:p>
              </w:tc>
            </w:tr>
            <w:tr w14:paraId="27969B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9" w:hRule="atLeast"/>
                <w:jc w:val="center"/>
              </w:trPr>
              <w:tc>
                <w:tcPr>
                  <w:tcW w:w="348" w:type="dxa"/>
                  <w:noWrap w:val="0"/>
                  <w:vAlign w:val="center"/>
                </w:tcPr>
                <w:p w14:paraId="33127C01">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3</w:t>
                  </w:r>
                </w:p>
              </w:tc>
              <w:tc>
                <w:tcPr>
                  <w:tcW w:w="712" w:type="pct"/>
                  <w:noWrap w:val="0"/>
                  <w:vAlign w:val="center"/>
                </w:tcPr>
                <w:p w14:paraId="3BC1675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收尘</w:t>
                  </w:r>
                </w:p>
              </w:tc>
              <w:tc>
                <w:tcPr>
                  <w:tcW w:w="276" w:type="pct"/>
                  <w:vMerge w:val="continue"/>
                  <w:noWrap w:val="0"/>
                  <w:vAlign w:val="center"/>
                </w:tcPr>
                <w:p w14:paraId="58F2CD7E">
                  <w:pPr>
                    <w:adjustRightInd w:val="0"/>
                    <w:snapToGrid w:val="0"/>
                    <w:jc w:val="center"/>
                    <w:rPr>
                      <w:rFonts w:hint="default" w:ascii="Times New Roman" w:hAnsi="Times New Roman" w:eastAsia="宋体" w:cs="Times New Roman"/>
                      <w:bCs/>
                      <w:color w:val="auto"/>
                    </w:rPr>
                  </w:pPr>
                </w:p>
              </w:tc>
              <w:tc>
                <w:tcPr>
                  <w:tcW w:w="509" w:type="pct"/>
                  <w:noWrap w:val="0"/>
                  <w:vAlign w:val="center"/>
                </w:tcPr>
                <w:p w14:paraId="2B9BAF0D">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废气处理</w:t>
                  </w:r>
                </w:p>
              </w:tc>
              <w:tc>
                <w:tcPr>
                  <w:tcW w:w="278" w:type="pct"/>
                  <w:noWrap w:val="0"/>
                  <w:vAlign w:val="center"/>
                </w:tcPr>
                <w:p w14:paraId="33A9A0B9">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4CDE21C6">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不锈钢</w:t>
                  </w:r>
                </w:p>
              </w:tc>
              <w:tc>
                <w:tcPr>
                  <w:tcW w:w="540" w:type="pct"/>
                  <w:vMerge w:val="continue"/>
                  <w:noWrap w:val="0"/>
                  <w:vAlign w:val="center"/>
                </w:tcPr>
                <w:p w14:paraId="415F397D">
                  <w:pPr>
                    <w:adjustRightInd w:val="0"/>
                    <w:snapToGrid w:val="0"/>
                    <w:jc w:val="center"/>
                    <w:rPr>
                      <w:rFonts w:hint="default" w:ascii="Times New Roman" w:hAnsi="Times New Roman" w:eastAsia="宋体" w:cs="Times New Roman"/>
                      <w:bCs/>
                      <w:color w:val="auto"/>
                    </w:rPr>
                  </w:pPr>
                </w:p>
              </w:tc>
              <w:tc>
                <w:tcPr>
                  <w:tcW w:w="272" w:type="pct"/>
                  <w:noWrap w:val="0"/>
                  <w:vAlign w:val="center"/>
                </w:tcPr>
                <w:p w14:paraId="2A2FC10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14" w:type="dxa"/>
                  <w:noWrap w:val="0"/>
                  <w:vAlign w:val="center"/>
                </w:tcPr>
                <w:p w14:paraId="3568756C">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SW17</w:t>
                  </w:r>
                </w:p>
              </w:tc>
              <w:tc>
                <w:tcPr>
                  <w:tcW w:w="1184" w:type="dxa"/>
                  <w:noWrap w:val="0"/>
                  <w:vAlign w:val="center"/>
                </w:tcPr>
                <w:p w14:paraId="0C01F79F">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900-001-S17</w:t>
                  </w:r>
                </w:p>
              </w:tc>
              <w:tc>
                <w:tcPr>
                  <w:tcW w:w="915" w:type="dxa"/>
                  <w:noWrap w:val="0"/>
                  <w:vAlign w:val="center"/>
                </w:tcPr>
                <w:p w14:paraId="1647066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highlight w:val="none"/>
                      <w:lang w:val="en-US" w:eastAsia="zh-CN"/>
                    </w:rPr>
                    <w:t>0.67</w:t>
                  </w:r>
                </w:p>
              </w:tc>
            </w:tr>
            <w:tr w14:paraId="63A0F6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9" w:hRule="atLeast"/>
                <w:jc w:val="center"/>
              </w:trPr>
              <w:tc>
                <w:tcPr>
                  <w:tcW w:w="348" w:type="dxa"/>
                  <w:noWrap w:val="0"/>
                  <w:vAlign w:val="center"/>
                </w:tcPr>
                <w:p w14:paraId="744A9D42">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4</w:t>
                  </w:r>
                </w:p>
              </w:tc>
              <w:tc>
                <w:tcPr>
                  <w:tcW w:w="712" w:type="pct"/>
                  <w:noWrap w:val="0"/>
                  <w:vAlign w:val="center"/>
                </w:tcPr>
                <w:p w14:paraId="351CF212">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食堂隔油池油渣</w:t>
                  </w:r>
                </w:p>
              </w:tc>
              <w:tc>
                <w:tcPr>
                  <w:tcW w:w="276" w:type="pct"/>
                  <w:vMerge w:val="continue"/>
                  <w:noWrap w:val="0"/>
                  <w:vAlign w:val="center"/>
                </w:tcPr>
                <w:p w14:paraId="65B3CEA9">
                  <w:pPr>
                    <w:adjustRightInd w:val="0"/>
                    <w:snapToGrid w:val="0"/>
                    <w:jc w:val="center"/>
                    <w:rPr>
                      <w:rFonts w:hint="default" w:ascii="Times New Roman" w:hAnsi="Times New Roman" w:eastAsia="宋体" w:cs="Times New Roman"/>
                      <w:bCs/>
                      <w:color w:val="auto"/>
                    </w:rPr>
                  </w:pPr>
                </w:p>
              </w:tc>
              <w:tc>
                <w:tcPr>
                  <w:tcW w:w="509" w:type="pct"/>
                  <w:noWrap w:val="0"/>
                  <w:vAlign w:val="center"/>
                </w:tcPr>
                <w:p w14:paraId="05ED0A88">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隔油池</w:t>
                  </w:r>
                </w:p>
              </w:tc>
              <w:tc>
                <w:tcPr>
                  <w:tcW w:w="278" w:type="pct"/>
                  <w:noWrap w:val="0"/>
                  <w:vAlign w:val="center"/>
                </w:tcPr>
                <w:p w14:paraId="72D91C7F">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3AABC994">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油渣</w:t>
                  </w:r>
                </w:p>
              </w:tc>
              <w:tc>
                <w:tcPr>
                  <w:tcW w:w="540" w:type="pct"/>
                  <w:vMerge w:val="continue"/>
                  <w:noWrap w:val="0"/>
                  <w:vAlign w:val="center"/>
                </w:tcPr>
                <w:p w14:paraId="12646953">
                  <w:pPr>
                    <w:adjustRightInd w:val="0"/>
                    <w:snapToGrid w:val="0"/>
                    <w:jc w:val="center"/>
                    <w:rPr>
                      <w:rFonts w:hint="default" w:ascii="Times New Roman" w:hAnsi="Times New Roman" w:eastAsia="宋体" w:cs="Times New Roman"/>
                      <w:bCs/>
                      <w:color w:val="auto"/>
                    </w:rPr>
                  </w:pPr>
                </w:p>
              </w:tc>
              <w:tc>
                <w:tcPr>
                  <w:tcW w:w="272" w:type="pct"/>
                  <w:noWrap w:val="0"/>
                  <w:vAlign w:val="center"/>
                </w:tcPr>
                <w:p w14:paraId="17468E6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47" w:type="pct"/>
                  <w:noWrap w:val="0"/>
                  <w:vAlign w:val="center"/>
                </w:tcPr>
                <w:p w14:paraId="21285684">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SW61</w:t>
                  </w:r>
                </w:p>
              </w:tc>
              <w:tc>
                <w:tcPr>
                  <w:tcW w:w="669" w:type="pct"/>
                  <w:noWrap w:val="0"/>
                  <w:vAlign w:val="center"/>
                </w:tcPr>
                <w:p w14:paraId="7C02503C">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900-002-S61</w:t>
                  </w:r>
                </w:p>
              </w:tc>
              <w:tc>
                <w:tcPr>
                  <w:tcW w:w="915" w:type="dxa"/>
                  <w:noWrap w:val="0"/>
                  <w:vAlign w:val="center"/>
                </w:tcPr>
                <w:p w14:paraId="673666D3">
                  <w:pPr>
                    <w:pStyle w:val="10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Cs w:val="21"/>
                    </w:rPr>
                  </w:pPr>
                  <w:r>
                    <w:rPr>
                      <w:rFonts w:hint="default" w:ascii="Times New Roman" w:hAnsi="Times New Roman" w:eastAsia="宋体" w:cs="Times New Roman"/>
                      <w:color w:val="auto"/>
                      <w:sz w:val="21"/>
                      <w:szCs w:val="21"/>
                      <w:highlight w:val="none"/>
                      <w:lang w:val="en-US" w:eastAsia="zh-CN"/>
                    </w:rPr>
                    <w:t>0.036</w:t>
                  </w:r>
                </w:p>
              </w:tc>
            </w:tr>
            <w:tr w14:paraId="5EABD0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17FF7F55">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5</w:t>
                  </w:r>
                </w:p>
              </w:tc>
              <w:tc>
                <w:tcPr>
                  <w:tcW w:w="712" w:type="pct"/>
                  <w:noWrap w:val="0"/>
                  <w:vAlign w:val="center"/>
                </w:tcPr>
                <w:p w14:paraId="3F68CC9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废劳保用品</w:t>
                  </w:r>
                </w:p>
              </w:tc>
              <w:tc>
                <w:tcPr>
                  <w:tcW w:w="276" w:type="pct"/>
                  <w:vMerge w:val="restart"/>
                  <w:noWrap w:val="0"/>
                  <w:vAlign w:val="center"/>
                </w:tcPr>
                <w:p w14:paraId="22FB93A5">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bCs/>
                      <w:color w:val="auto"/>
                    </w:rPr>
                    <w:t>危险废物</w:t>
                  </w:r>
                </w:p>
              </w:tc>
              <w:tc>
                <w:tcPr>
                  <w:tcW w:w="509" w:type="pct"/>
                  <w:noWrap w:val="0"/>
                  <w:vAlign w:val="center"/>
                </w:tcPr>
                <w:p w14:paraId="61537055">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设备保养</w:t>
                  </w:r>
                </w:p>
              </w:tc>
              <w:tc>
                <w:tcPr>
                  <w:tcW w:w="278" w:type="pct"/>
                  <w:noWrap w:val="0"/>
                  <w:vAlign w:val="center"/>
                </w:tcPr>
                <w:p w14:paraId="769A531C">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液</w:t>
                  </w:r>
                </w:p>
              </w:tc>
              <w:tc>
                <w:tcPr>
                  <w:tcW w:w="677" w:type="pct"/>
                  <w:noWrap w:val="0"/>
                  <w:vAlign w:val="center"/>
                </w:tcPr>
                <w:p w14:paraId="201A775A">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矿物油</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布</w:t>
                  </w:r>
                </w:p>
              </w:tc>
              <w:tc>
                <w:tcPr>
                  <w:tcW w:w="540" w:type="pct"/>
                  <w:vMerge w:val="restart"/>
                  <w:noWrap w:val="0"/>
                  <w:vAlign w:val="center"/>
                </w:tcPr>
                <w:p w14:paraId="4138AF42">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《国家危险废物名录》（2021年）</w:t>
                  </w:r>
                </w:p>
              </w:tc>
              <w:tc>
                <w:tcPr>
                  <w:tcW w:w="481" w:type="dxa"/>
                  <w:noWrap w:val="0"/>
                  <w:vAlign w:val="center"/>
                </w:tcPr>
                <w:p w14:paraId="073A6E4A">
                  <w:pPr>
                    <w:widowControl/>
                    <w:jc w:val="center"/>
                    <w:rPr>
                      <w:rFonts w:hint="default" w:ascii="Times New Roman" w:hAnsi="Times New Roman" w:eastAsia="宋体" w:cs="Times New Roman"/>
                      <w:color w:val="auto"/>
                    </w:rPr>
                  </w:pPr>
                  <w:r>
                    <w:rPr>
                      <w:rFonts w:hint="default" w:ascii="Times New Roman" w:hAnsi="Times New Roman" w:eastAsia="宋体" w:cs="Times New Roman"/>
                      <w:color w:val="auto"/>
                      <w:kern w:val="0"/>
                      <w:szCs w:val="21"/>
                    </w:rPr>
                    <w:t>T/In</w:t>
                  </w:r>
                </w:p>
              </w:tc>
              <w:tc>
                <w:tcPr>
                  <w:tcW w:w="614" w:type="dxa"/>
                  <w:noWrap w:val="0"/>
                  <w:vAlign w:val="center"/>
                </w:tcPr>
                <w:p w14:paraId="0974BCAE">
                  <w:pPr>
                    <w:jc w:val="center"/>
                    <w:rPr>
                      <w:rFonts w:hint="default" w:ascii="Times New Roman" w:hAnsi="Times New Roman" w:eastAsia="宋体" w:cs="Times New Roman"/>
                      <w:color w:val="auto"/>
                    </w:rPr>
                  </w:pPr>
                  <w:r>
                    <w:rPr>
                      <w:rFonts w:hint="default" w:ascii="Times New Roman" w:hAnsi="Times New Roman" w:eastAsia="宋体" w:cs="Times New Roman"/>
                      <w:color w:val="auto"/>
                      <w:lang w:bidi="ar"/>
                    </w:rPr>
                    <w:t>HW49</w:t>
                  </w:r>
                </w:p>
              </w:tc>
              <w:tc>
                <w:tcPr>
                  <w:tcW w:w="1184" w:type="dxa"/>
                  <w:noWrap w:val="0"/>
                  <w:vAlign w:val="center"/>
                </w:tcPr>
                <w:p w14:paraId="29B81D81">
                  <w:pPr>
                    <w:jc w:val="center"/>
                    <w:rPr>
                      <w:rFonts w:hint="default" w:ascii="Times New Roman" w:hAnsi="Times New Roman" w:eastAsia="宋体" w:cs="Times New Roman"/>
                      <w:color w:val="auto"/>
                    </w:rPr>
                  </w:pPr>
                  <w:r>
                    <w:rPr>
                      <w:rFonts w:hint="default" w:ascii="Times New Roman" w:hAnsi="Times New Roman" w:eastAsia="宋体" w:cs="Times New Roman"/>
                      <w:color w:val="auto"/>
                      <w:highlight w:val="none"/>
                    </w:rPr>
                    <w:t>900-0</w:t>
                  </w:r>
                  <w:r>
                    <w:rPr>
                      <w:rFonts w:hint="default" w:ascii="Times New Roman" w:hAnsi="Times New Roman" w:eastAsia="宋体" w:cs="Times New Roman"/>
                      <w:color w:val="auto"/>
                      <w:highlight w:val="none"/>
                      <w:lang w:val="en-US" w:eastAsia="zh-CN"/>
                    </w:rPr>
                    <w:t>41</w:t>
                  </w:r>
                  <w:r>
                    <w:rPr>
                      <w:rFonts w:hint="default" w:ascii="Times New Roman" w:hAnsi="Times New Roman" w:eastAsia="宋体" w:cs="Times New Roman"/>
                      <w:color w:val="auto"/>
                      <w:highlight w:val="none"/>
                    </w:rPr>
                    <w:t>-49</w:t>
                  </w:r>
                </w:p>
              </w:tc>
              <w:tc>
                <w:tcPr>
                  <w:tcW w:w="915" w:type="dxa"/>
                  <w:noWrap w:val="0"/>
                  <w:vAlign w:val="center"/>
                </w:tcPr>
                <w:p w14:paraId="3D3E370B">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1</w:t>
                  </w:r>
                </w:p>
              </w:tc>
            </w:tr>
            <w:tr w14:paraId="67F4C4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 w:type="pct"/>
                  <w:noWrap w:val="0"/>
                  <w:vAlign w:val="center"/>
                </w:tcPr>
                <w:p w14:paraId="657E96DD">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6</w:t>
                  </w:r>
                </w:p>
              </w:tc>
              <w:tc>
                <w:tcPr>
                  <w:tcW w:w="712" w:type="pct"/>
                  <w:noWrap w:val="0"/>
                  <w:vAlign w:val="center"/>
                </w:tcPr>
                <w:p w14:paraId="224EB99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废润滑油</w:t>
                  </w:r>
                </w:p>
              </w:tc>
              <w:tc>
                <w:tcPr>
                  <w:tcW w:w="276" w:type="pct"/>
                  <w:vMerge w:val="continue"/>
                  <w:noWrap w:val="0"/>
                  <w:vAlign w:val="center"/>
                </w:tcPr>
                <w:p w14:paraId="30705596">
                  <w:pPr>
                    <w:adjustRightInd w:val="0"/>
                    <w:snapToGrid w:val="0"/>
                    <w:jc w:val="center"/>
                    <w:rPr>
                      <w:rFonts w:hint="default" w:ascii="Times New Roman" w:hAnsi="Times New Roman" w:eastAsia="宋体" w:cs="Times New Roman"/>
                      <w:bCs/>
                      <w:color w:val="auto"/>
                    </w:rPr>
                  </w:pPr>
                </w:p>
              </w:tc>
              <w:tc>
                <w:tcPr>
                  <w:tcW w:w="509" w:type="pct"/>
                  <w:noWrap w:val="0"/>
                  <w:vAlign w:val="center"/>
                </w:tcPr>
                <w:p w14:paraId="65AC00F4">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物料包装</w:t>
                  </w:r>
                </w:p>
              </w:tc>
              <w:tc>
                <w:tcPr>
                  <w:tcW w:w="278" w:type="pct"/>
                  <w:noWrap w:val="0"/>
                  <w:vAlign w:val="center"/>
                </w:tcPr>
                <w:p w14:paraId="2F0151AD">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12EB8970">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矿物油</w:t>
                  </w:r>
                </w:p>
              </w:tc>
              <w:tc>
                <w:tcPr>
                  <w:tcW w:w="540" w:type="pct"/>
                  <w:vMerge w:val="continue"/>
                  <w:noWrap w:val="0"/>
                  <w:vAlign w:val="center"/>
                </w:tcPr>
                <w:p w14:paraId="0E65E787">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19A005D6">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rPr>
                    <w:t>T，I</w:t>
                  </w:r>
                </w:p>
              </w:tc>
              <w:tc>
                <w:tcPr>
                  <w:tcW w:w="614" w:type="dxa"/>
                  <w:noWrap w:val="0"/>
                  <w:vAlign w:val="center"/>
                </w:tcPr>
                <w:p w14:paraId="479199BA">
                  <w:pPr>
                    <w:snapToGrid w:val="0"/>
                    <w:spacing w:line="300" w:lineRule="exact"/>
                    <w:jc w:val="center"/>
                    <w:rPr>
                      <w:rFonts w:hint="default" w:ascii="Times New Roman" w:hAnsi="Times New Roman" w:eastAsia="宋体" w:cs="Times New Roman"/>
                      <w:bCs/>
                      <w:color w:val="auto"/>
                    </w:rPr>
                  </w:pPr>
                  <w:r>
                    <w:rPr>
                      <w:rFonts w:hint="default" w:ascii="Times New Roman" w:hAnsi="Times New Roman" w:eastAsia="宋体" w:cs="Times New Roman"/>
                      <w:color w:val="auto"/>
                    </w:rPr>
                    <w:t>HW08</w:t>
                  </w:r>
                </w:p>
              </w:tc>
              <w:tc>
                <w:tcPr>
                  <w:tcW w:w="669" w:type="pct"/>
                  <w:noWrap w:val="0"/>
                  <w:vAlign w:val="center"/>
                </w:tcPr>
                <w:p w14:paraId="59CD7216">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900-2</w:t>
                  </w:r>
                  <w:r>
                    <w:rPr>
                      <w:rFonts w:hint="default" w:ascii="Times New Roman" w:hAnsi="Times New Roman" w:eastAsia="宋体" w:cs="Times New Roman"/>
                      <w:color w:val="auto"/>
                      <w:szCs w:val="21"/>
                      <w:lang w:val="en-US" w:eastAsia="zh-CN"/>
                    </w:rPr>
                    <w:t>14</w:t>
                  </w:r>
                  <w:r>
                    <w:rPr>
                      <w:rFonts w:hint="default" w:ascii="Times New Roman" w:hAnsi="Times New Roman" w:eastAsia="宋体" w:cs="Times New Roman"/>
                      <w:color w:val="auto"/>
                      <w:szCs w:val="21"/>
                    </w:rPr>
                    <w:t>-08</w:t>
                  </w:r>
                </w:p>
              </w:tc>
              <w:tc>
                <w:tcPr>
                  <w:tcW w:w="915" w:type="dxa"/>
                  <w:noWrap w:val="0"/>
                  <w:vAlign w:val="center"/>
                </w:tcPr>
                <w:p w14:paraId="6DEE7387">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rPr>
                    <w:t>0.3</w:t>
                  </w:r>
                </w:p>
              </w:tc>
            </w:tr>
            <w:tr w14:paraId="14BE57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 w:type="pct"/>
                  <w:noWrap w:val="0"/>
                  <w:vAlign w:val="center"/>
                </w:tcPr>
                <w:p w14:paraId="510F4276">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7</w:t>
                  </w:r>
                </w:p>
              </w:tc>
              <w:tc>
                <w:tcPr>
                  <w:tcW w:w="712" w:type="pct"/>
                  <w:noWrap w:val="0"/>
                  <w:vAlign w:val="center"/>
                </w:tcPr>
                <w:p w14:paraId="5270AF7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lang w:val="en-US" w:eastAsia="zh-CN"/>
                    </w:rPr>
                    <w:t>废包装桶</w:t>
                  </w:r>
                </w:p>
              </w:tc>
              <w:tc>
                <w:tcPr>
                  <w:tcW w:w="276" w:type="pct"/>
                  <w:vMerge w:val="continue"/>
                  <w:noWrap w:val="0"/>
                  <w:vAlign w:val="center"/>
                </w:tcPr>
                <w:p w14:paraId="61FEA832">
                  <w:pPr>
                    <w:adjustRightInd w:val="0"/>
                    <w:snapToGrid w:val="0"/>
                    <w:jc w:val="center"/>
                    <w:rPr>
                      <w:rFonts w:hint="default" w:ascii="Times New Roman" w:hAnsi="Times New Roman" w:eastAsia="宋体" w:cs="Times New Roman"/>
                      <w:bCs/>
                      <w:color w:val="auto"/>
                    </w:rPr>
                  </w:pPr>
                </w:p>
              </w:tc>
              <w:tc>
                <w:tcPr>
                  <w:tcW w:w="509" w:type="pct"/>
                  <w:noWrap w:val="0"/>
                  <w:vAlign w:val="center"/>
                </w:tcPr>
                <w:p w14:paraId="04DF240A">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废气处理</w:t>
                  </w:r>
                </w:p>
              </w:tc>
              <w:tc>
                <w:tcPr>
                  <w:tcW w:w="278" w:type="pct"/>
                  <w:noWrap w:val="0"/>
                  <w:vAlign w:val="center"/>
                </w:tcPr>
                <w:p w14:paraId="16EC48BA">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5D9B58A5">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桶、有机物</w:t>
                  </w:r>
                </w:p>
              </w:tc>
              <w:tc>
                <w:tcPr>
                  <w:tcW w:w="540" w:type="pct"/>
                  <w:vMerge w:val="continue"/>
                  <w:noWrap w:val="0"/>
                  <w:vAlign w:val="center"/>
                </w:tcPr>
                <w:p w14:paraId="4C5FC405">
                  <w:pPr>
                    <w:adjustRightInd w:val="0"/>
                    <w:snapToGrid w:val="0"/>
                    <w:jc w:val="center"/>
                    <w:rPr>
                      <w:rFonts w:hint="default" w:ascii="Times New Roman" w:hAnsi="Times New Roman" w:eastAsia="宋体" w:cs="Times New Roman"/>
                      <w:bCs/>
                      <w:color w:val="auto"/>
                    </w:rPr>
                  </w:pPr>
                </w:p>
              </w:tc>
              <w:tc>
                <w:tcPr>
                  <w:tcW w:w="272" w:type="pct"/>
                  <w:noWrap w:val="0"/>
                  <w:vAlign w:val="center"/>
                </w:tcPr>
                <w:p w14:paraId="5D70B5D7">
                  <w:pPr>
                    <w:widowControl/>
                    <w:jc w:val="center"/>
                    <w:rPr>
                      <w:rFonts w:hint="default" w:ascii="Times New Roman" w:hAnsi="Times New Roman" w:eastAsia="宋体" w:cs="Times New Roman"/>
                      <w:bCs/>
                      <w:color w:val="auto"/>
                    </w:rPr>
                  </w:pPr>
                  <w:r>
                    <w:rPr>
                      <w:rFonts w:hint="default" w:ascii="Times New Roman" w:hAnsi="Times New Roman" w:eastAsia="宋体" w:cs="Times New Roman"/>
                      <w:color w:val="auto"/>
                      <w:kern w:val="0"/>
                      <w:szCs w:val="21"/>
                    </w:rPr>
                    <w:t>T/In</w:t>
                  </w:r>
                </w:p>
              </w:tc>
              <w:tc>
                <w:tcPr>
                  <w:tcW w:w="347" w:type="pct"/>
                  <w:noWrap w:val="0"/>
                  <w:vAlign w:val="center"/>
                </w:tcPr>
                <w:p w14:paraId="5BB6966E">
                  <w:pPr>
                    <w:jc w:val="center"/>
                    <w:rPr>
                      <w:rFonts w:hint="default" w:ascii="Times New Roman" w:hAnsi="Times New Roman" w:eastAsia="宋体" w:cs="Times New Roman"/>
                      <w:bCs/>
                      <w:color w:val="auto"/>
                    </w:rPr>
                  </w:pPr>
                  <w:r>
                    <w:rPr>
                      <w:rFonts w:hint="default" w:ascii="Times New Roman" w:hAnsi="Times New Roman" w:eastAsia="宋体" w:cs="Times New Roman"/>
                      <w:color w:val="auto"/>
                      <w:lang w:bidi="ar"/>
                    </w:rPr>
                    <w:t>HW49</w:t>
                  </w:r>
                </w:p>
              </w:tc>
              <w:tc>
                <w:tcPr>
                  <w:tcW w:w="669" w:type="pct"/>
                  <w:noWrap w:val="0"/>
                  <w:vAlign w:val="center"/>
                </w:tcPr>
                <w:p w14:paraId="3035DEFB">
                  <w:pPr>
                    <w:jc w:val="center"/>
                    <w:rPr>
                      <w:rFonts w:hint="default" w:ascii="Times New Roman" w:hAnsi="Times New Roman" w:eastAsia="宋体" w:cs="Times New Roman"/>
                      <w:bCs/>
                      <w:color w:val="auto"/>
                    </w:rPr>
                  </w:pPr>
                  <w:r>
                    <w:rPr>
                      <w:rFonts w:hint="default" w:ascii="Times New Roman" w:hAnsi="Times New Roman" w:eastAsia="宋体" w:cs="Times New Roman"/>
                      <w:color w:val="auto"/>
                      <w:highlight w:val="none"/>
                    </w:rPr>
                    <w:t>900-0</w:t>
                  </w:r>
                  <w:r>
                    <w:rPr>
                      <w:rFonts w:hint="default" w:ascii="Times New Roman" w:hAnsi="Times New Roman" w:eastAsia="宋体" w:cs="Times New Roman"/>
                      <w:color w:val="auto"/>
                      <w:highlight w:val="none"/>
                      <w:lang w:val="en-US" w:eastAsia="zh-CN"/>
                    </w:rPr>
                    <w:t>41</w:t>
                  </w:r>
                  <w:r>
                    <w:rPr>
                      <w:rFonts w:hint="default" w:ascii="Times New Roman" w:hAnsi="Times New Roman" w:eastAsia="宋体" w:cs="Times New Roman"/>
                      <w:color w:val="auto"/>
                      <w:highlight w:val="none"/>
                    </w:rPr>
                    <w:t>-49</w:t>
                  </w:r>
                </w:p>
              </w:tc>
              <w:tc>
                <w:tcPr>
                  <w:tcW w:w="915" w:type="dxa"/>
                  <w:noWrap w:val="0"/>
                  <w:vAlign w:val="center"/>
                </w:tcPr>
                <w:p w14:paraId="3A66BEC2">
                  <w:pPr>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rPr>
                    <w:t>0.1</w:t>
                  </w:r>
                </w:p>
              </w:tc>
            </w:tr>
            <w:tr w14:paraId="259796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5BF2D75B">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8</w:t>
                  </w:r>
                </w:p>
              </w:tc>
              <w:tc>
                <w:tcPr>
                  <w:tcW w:w="712" w:type="pct"/>
                  <w:noWrap w:val="0"/>
                  <w:vAlign w:val="center"/>
                </w:tcPr>
                <w:p w14:paraId="060248B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FF0000"/>
                      <w:sz w:val="21"/>
                      <w:szCs w:val="21"/>
                      <w:highlight w:val="none"/>
                      <w:lang w:val="en-US" w:eastAsia="zh-CN"/>
                    </w:rPr>
                    <w:t>清洗废液</w:t>
                  </w:r>
                </w:p>
              </w:tc>
              <w:tc>
                <w:tcPr>
                  <w:tcW w:w="276" w:type="pct"/>
                  <w:vMerge w:val="continue"/>
                  <w:noWrap w:val="0"/>
                  <w:vAlign w:val="center"/>
                </w:tcPr>
                <w:p w14:paraId="2E193FB1">
                  <w:pPr>
                    <w:adjustRightInd w:val="0"/>
                    <w:snapToGrid w:val="0"/>
                    <w:jc w:val="center"/>
                    <w:rPr>
                      <w:rFonts w:hint="default" w:ascii="Times New Roman" w:hAnsi="Times New Roman" w:eastAsia="宋体" w:cs="Times New Roman"/>
                      <w:bCs/>
                      <w:color w:val="auto"/>
                    </w:rPr>
                  </w:pPr>
                </w:p>
              </w:tc>
              <w:tc>
                <w:tcPr>
                  <w:tcW w:w="901" w:type="dxa"/>
                  <w:noWrap w:val="0"/>
                  <w:vAlign w:val="center"/>
                </w:tcPr>
                <w:p w14:paraId="214DB9B4">
                  <w:pPr>
                    <w:adjustRightInd w:val="0"/>
                    <w:snapToGrid w:val="0"/>
                    <w:jc w:val="center"/>
                    <w:rPr>
                      <w:rFonts w:hint="default" w:ascii="Times New Roman" w:hAnsi="Times New Roman" w:eastAsia="宋体" w:cs="Times New Roman"/>
                      <w:color w:val="auto"/>
                    </w:rPr>
                  </w:pPr>
                  <w:r>
                    <w:rPr>
                      <w:rFonts w:hint="eastAsia" w:cs="Times New Roman"/>
                      <w:b w:val="0"/>
                      <w:bCs w:val="0"/>
                      <w:color w:val="FF0000"/>
                      <w:sz w:val="21"/>
                      <w:szCs w:val="21"/>
                      <w:lang w:val="en-US" w:eastAsia="zh-CN"/>
                    </w:rPr>
                    <w:t>清洗</w:t>
                  </w:r>
                </w:p>
              </w:tc>
              <w:tc>
                <w:tcPr>
                  <w:tcW w:w="492" w:type="dxa"/>
                  <w:noWrap w:val="0"/>
                  <w:vAlign w:val="center"/>
                </w:tcPr>
                <w:p w14:paraId="28D88AD2">
                  <w:pPr>
                    <w:adjustRightInd w:val="0"/>
                    <w:snapToGrid w:val="0"/>
                    <w:jc w:val="center"/>
                    <w:rPr>
                      <w:rFonts w:hint="default" w:ascii="Times New Roman" w:hAnsi="Times New Roman" w:eastAsia="宋体" w:cs="Times New Roman"/>
                      <w:color w:val="auto"/>
                    </w:rPr>
                  </w:pPr>
                  <w:r>
                    <w:rPr>
                      <w:rFonts w:hint="eastAsia" w:cs="Times New Roman"/>
                      <w:b w:val="0"/>
                      <w:bCs w:val="0"/>
                      <w:color w:val="FF0000"/>
                      <w:sz w:val="21"/>
                      <w:szCs w:val="21"/>
                      <w:lang w:val="en-US" w:eastAsia="zh-CN"/>
                    </w:rPr>
                    <w:t>液</w:t>
                  </w:r>
                </w:p>
              </w:tc>
              <w:tc>
                <w:tcPr>
                  <w:tcW w:w="1198" w:type="dxa"/>
                  <w:noWrap w:val="0"/>
                  <w:vAlign w:val="center"/>
                </w:tcPr>
                <w:p w14:paraId="063314D4">
                  <w:pPr>
                    <w:pStyle w:val="6"/>
                    <w:adjustRightInd w:val="0"/>
                    <w:snapToGrid w:val="0"/>
                    <w:ind w:firstLine="0" w:firstLineChars="0"/>
                    <w:jc w:val="center"/>
                    <w:rPr>
                      <w:rFonts w:hint="default" w:ascii="Times New Roman" w:hAnsi="Times New Roman" w:eastAsia="宋体" w:cs="Times New Roman"/>
                      <w:color w:val="auto"/>
                    </w:rPr>
                  </w:pPr>
                  <w:r>
                    <w:rPr>
                      <w:rFonts w:hint="eastAsia" w:ascii="Times New Roman" w:hAnsi="Times New Roman" w:cs="Times New Roman"/>
                      <w:b w:val="0"/>
                      <w:bCs w:val="0"/>
                      <w:color w:val="FF0000"/>
                      <w:sz w:val="21"/>
                      <w:szCs w:val="21"/>
                      <w:lang w:val="en-US" w:eastAsia="zh-CN"/>
                    </w:rPr>
                    <w:t>水、矿物油</w:t>
                  </w:r>
                </w:p>
              </w:tc>
              <w:tc>
                <w:tcPr>
                  <w:tcW w:w="540" w:type="pct"/>
                  <w:vMerge w:val="continue"/>
                  <w:noWrap w:val="0"/>
                  <w:vAlign w:val="center"/>
                </w:tcPr>
                <w:p w14:paraId="793B559C">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0CBDEAE6">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FF0000"/>
                      <w:szCs w:val="21"/>
                    </w:rPr>
                    <w:t>T/</w:t>
                  </w:r>
                  <w:r>
                    <w:rPr>
                      <w:rFonts w:hint="default" w:ascii="Times New Roman" w:hAnsi="Times New Roman" w:eastAsia="宋体" w:cs="Times New Roman"/>
                      <w:color w:val="FF0000"/>
                      <w:szCs w:val="21"/>
                      <w:lang w:val="en-US" w:eastAsia="zh-CN"/>
                    </w:rPr>
                    <w:t>C</w:t>
                  </w:r>
                </w:p>
              </w:tc>
              <w:tc>
                <w:tcPr>
                  <w:tcW w:w="614" w:type="dxa"/>
                  <w:noWrap w:val="0"/>
                  <w:vAlign w:val="center"/>
                </w:tcPr>
                <w:p w14:paraId="5BBC8F97">
                  <w:pPr>
                    <w:adjustRightInd w:val="0"/>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FF0000"/>
                      <w:szCs w:val="21"/>
                    </w:rPr>
                    <w:t>HW</w:t>
                  </w:r>
                  <w:r>
                    <w:rPr>
                      <w:rFonts w:hint="default" w:ascii="Times New Roman" w:hAnsi="Times New Roman" w:eastAsia="宋体" w:cs="Times New Roman"/>
                      <w:color w:val="FF0000"/>
                      <w:szCs w:val="21"/>
                      <w:lang w:val="en-US" w:eastAsia="zh-CN"/>
                    </w:rPr>
                    <w:t>17</w:t>
                  </w:r>
                </w:p>
              </w:tc>
              <w:tc>
                <w:tcPr>
                  <w:tcW w:w="1184" w:type="dxa"/>
                  <w:noWrap w:val="0"/>
                  <w:vAlign w:val="center"/>
                </w:tcPr>
                <w:p w14:paraId="6C865DDC">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FF0000"/>
                      <w:szCs w:val="21"/>
                      <w:lang w:val="en-US" w:eastAsia="zh-CN"/>
                    </w:rPr>
                    <w:t>336</w:t>
                  </w:r>
                  <w:r>
                    <w:rPr>
                      <w:rFonts w:hint="default" w:ascii="Times New Roman" w:hAnsi="Times New Roman" w:eastAsia="宋体" w:cs="Times New Roman"/>
                      <w:color w:val="FF0000"/>
                      <w:szCs w:val="21"/>
                    </w:rPr>
                    <w:t>-0</w:t>
                  </w:r>
                  <w:r>
                    <w:rPr>
                      <w:rFonts w:hint="default" w:ascii="Times New Roman" w:hAnsi="Times New Roman" w:eastAsia="宋体" w:cs="Times New Roman"/>
                      <w:color w:val="FF0000"/>
                      <w:szCs w:val="21"/>
                      <w:lang w:val="en-US" w:eastAsia="zh-CN"/>
                    </w:rPr>
                    <w:t>64</w:t>
                  </w:r>
                  <w:r>
                    <w:rPr>
                      <w:rFonts w:hint="default" w:ascii="Times New Roman" w:hAnsi="Times New Roman" w:eastAsia="宋体" w:cs="Times New Roman"/>
                      <w:color w:val="FF0000"/>
                      <w:szCs w:val="21"/>
                    </w:rPr>
                    <w:t>-</w:t>
                  </w:r>
                  <w:r>
                    <w:rPr>
                      <w:rFonts w:hint="default" w:ascii="Times New Roman" w:hAnsi="Times New Roman" w:eastAsia="宋体" w:cs="Times New Roman"/>
                      <w:color w:val="FF0000"/>
                      <w:szCs w:val="21"/>
                      <w:lang w:val="en-US" w:eastAsia="zh-CN"/>
                    </w:rPr>
                    <w:t>17</w:t>
                  </w:r>
                </w:p>
              </w:tc>
              <w:tc>
                <w:tcPr>
                  <w:tcW w:w="915" w:type="dxa"/>
                  <w:noWrap w:val="0"/>
                  <w:vAlign w:val="center"/>
                </w:tcPr>
                <w:p w14:paraId="6A610877">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bCs/>
                      <w:color w:val="auto"/>
                      <w:kern w:val="2"/>
                      <w:sz w:val="21"/>
                      <w:szCs w:val="21"/>
                      <w:lang w:val="en-US" w:eastAsia="zh-CN" w:bidi="ar-SA"/>
                    </w:rPr>
                    <w:t>8</w:t>
                  </w:r>
                </w:p>
              </w:tc>
            </w:tr>
            <w:tr w14:paraId="5CB4FE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54B1D8C1">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9</w:t>
                  </w:r>
                </w:p>
              </w:tc>
              <w:tc>
                <w:tcPr>
                  <w:tcW w:w="712" w:type="pct"/>
                  <w:noWrap w:val="0"/>
                  <w:vAlign w:val="center"/>
                </w:tcPr>
                <w:p w14:paraId="50ED16A8">
                  <w:pPr>
                    <w:pStyle w:val="6"/>
                    <w:adjustRightInd w:val="0"/>
                    <w:snapToGrid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1"/>
                      <w:szCs w:val="21"/>
                      <w:highlight w:val="none"/>
                      <w:lang w:val="en-US" w:eastAsia="zh-CN"/>
                    </w:rPr>
                    <w:t>废网版</w:t>
                  </w:r>
                </w:p>
              </w:tc>
              <w:tc>
                <w:tcPr>
                  <w:tcW w:w="276" w:type="pct"/>
                  <w:vMerge w:val="continue"/>
                  <w:noWrap w:val="0"/>
                  <w:vAlign w:val="center"/>
                </w:tcPr>
                <w:p w14:paraId="4ADF346F">
                  <w:pPr>
                    <w:adjustRightInd w:val="0"/>
                    <w:snapToGrid w:val="0"/>
                    <w:jc w:val="center"/>
                    <w:rPr>
                      <w:rFonts w:hint="default" w:ascii="Times New Roman" w:hAnsi="Times New Roman" w:eastAsia="宋体" w:cs="Times New Roman"/>
                      <w:bCs/>
                      <w:color w:val="auto"/>
                    </w:rPr>
                  </w:pPr>
                </w:p>
              </w:tc>
              <w:tc>
                <w:tcPr>
                  <w:tcW w:w="901" w:type="dxa"/>
                  <w:noWrap w:val="0"/>
                  <w:vAlign w:val="center"/>
                </w:tcPr>
                <w:p w14:paraId="6DE95812">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lang w:val="en-US" w:eastAsia="zh-CN"/>
                    </w:rPr>
                    <w:t>丝网印刷</w:t>
                  </w:r>
                </w:p>
              </w:tc>
              <w:tc>
                <w:tcPr>
                  <w:tcW w:w="492" w:type="dxa"/>
                  <w:noWrap w:val="0"/>
                  <w:vAlign w:val="center"/>
                </w:tcPr>
                <w:p w14:paraId="1F9D0B15">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固</w:t>
                  </w:r>
                </w:p>
              </w:tc>
              <w:tc>
                <w:tcPr>
                  <w:tcW w:w="1198" w:type="dxa"/>
                  <w:noWrap w:val="0"/>
                  <w:vAlign w:val="center"/>
                </w:tcPr>
                <w:p w14:paraId="04F67BDE">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lang w:val="en-US" w:eastAsia="zh-CN"/>
                    </w:rPr>
                    <w:t>铝</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sz w:val="21"/>
                      <w:szCs w:val="21"/>
                      <w:lang w:eastAsia="zh-CN"/>
                    </w:rPr>
                    <w:t>等</w:t>
                  </w:r>
                </w:p>
              </w:tc>
              <w:tc>
                <w:tcPr>
                  <w:tcW w:w="540" w:type="pct"/>
                  <w:vMerge w:val="continue"/>
                  <w:noWrap w:val="0"/>
                  <w:vAlign w:val="center"/>
                </w:tcPr>
                <w:p w14:paraId="54508BA6">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4BC4AEF5">
                  <w:pPr>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T</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I</w:t>
                  </w:r>
                </w:p>
              </w:tc>
              <w:tc>
                <w:tcPr>
                  <w:tcW w:w="614" w:type="dxa"/>
                  <w:noWrap w:val="0"/>
                  <w:vAlign w:val="center"/>
                </w:tcPr>
                <w:p w14:paraId="0EBA95EF">
                  <w:pPr>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rPr>
                    <w:t>HW</w:t>
                  </w:r>
                  <w:r>
                    <w:rPr>
                      <w:rFonts w:hint="default" w:ascii="Times New Roman" w:hAnsi="Times New Roman" w:eastAsia="宋体" w:cs="Times New Roman"/>
                      <w:color w:val="auto"/>
                      <w:szCs w:val="21"/>
                      <w:lang w:val="en-US" w:eastAsia="zh-CN"/>
                    </w:rPr>
                    <w:t>12</w:t>
                  </w:r>
                </w:p>
              </w:tc>
              <w:tc>
                <w:tcPr>
                  <w:tcW w:w="1184" w:type="dxa"/>
                  <w:noWrap w:val="0"/>
                  <w:vAlign w:val="center"/>
                </w:tcPr>
                <w:p w14:paraId="60F37088">
                  <w:pPr>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lang w:eastAsia="zh-CN"/>
                    </w:rPr>
                    <w:t>900-</w:t>
                  </w:r>
                  <w:r>
                    <w:rPr>
                      <w:rFonts w:hint="default" w:ascii="Times New Roman" w:hAnsi="Times New Roman" w:eastAsia="宋体" w:cs="Times New Roman"/>
                      <w:color w:val="auto"/>
                      <w:szCs w:val="21"/>
                      <w:lang w:val="en-US" w:eastAsia="zh-CN"/>
                    </w:rPr>
                    <w:t>253</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12</w:t>
                  </w:r>
                </w:p>
              </w:tc>
              <w:tc>
                <w:tcPr>
                  <w:tcW w:w="915" w:type="dxa"/>
                  <w:noWrap w:val="0"/>
                  <w:vAlign w:val="center"/>
                </w:tcPr>
                <w:p w14:paraId="45170872">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kern w:val="2"/>
                      <w:sz w:val="21"/>
                      <w:szCs w:val="21"/>
                      <w:lang w:val="en-US" w:eastAsia="zh-CN" w:bidi="ar-SA"/>
                    </w:rPr>
                    <w:t>0.01</w:t>
                  </w:r>
                </w:p>
              </w:tc>
            </w:tr>
            <w:tr w14:paraId="795055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453F87E1">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10</w:t>
                  </w:r>
                </w:p>
              </w:tc>
              <w:tc>
                <w:tcPr>
                  <w:tcW w:w="712" w:type="pct"/>
                  <w:noWrap w:val="0"/>
                  <w:vAlign w:val="center"/>
                </w:tcPr>
                <w:p w14:paraId="2CE46450">
                  <w:pPr>
                    <w:pStyle w:val="6"/>
                    <w:adjustRightInd w:val="0"/>
                    <w:snapToGrid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1"/>
                      <w:szCs w:val="21"/>
                      <w:highlight w:val="none"/>
                      <w:lang w:val="en-US" w:eastAsia="zh-CN"/>
                    </w:rPr>
                    <w:t>废包装瓶</w:t>
                  </w:r>
                </w:p>
              </w:tc>
              <w:tc>
                <w:tcPr>
                  <w:tcW w:w="276" w:type="pct"/>
                  <w:vMerge w:val="continue"/>
                  <w:noWrap w:val="0"/>
                  <w:vAlign w:val="center"/>
                </w:tcPr>
                <w:p w14:paraId="4F28B898">
                  <w:pPr>
                    <w:adjustRightInd w:val="0"/>
                    <w:snapToGrid w:val="0"/>
                    <w:jc w:val="center"/>
                    <w:rPr>
                      <w:rFonts w:hint="default" w:ascii="Times New Roman" w:hAnsi="Times New Roman" w:eastAsia="宋体" w:cs="Times New Roman"/>
                      <w:bCs/>
                      <w:color w:val="auto"/>
                    </w:rPr>
                  </w:pPr>
                </w:p>
              </w:tc>
              <w:tc>
                <w:tcPr>
                  <w:tcW w:w="901" w:type="dxa"/>
                  <w:noWrap w:val="0"/>
                  <w:vAlign w:val="center"/>
                </w:tcPr>
                <w:p w14:paraId="67AE00F7">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kern w:val="2"/>
                      <w:sz w:val="21"/>
                      <w:szCs w:val="21"/>
                      <w:lang w:val="en-US" w:eastAsia="zh-CN" w:bidi="ar-SA"/>
                    </w:rPr>
                    <w:t>原料包装</w:t>
                  </w:r>
                </w:p>
              </w:tc>
              <w:tc>
                <w:tcPr>
                  <w:tcW w:w="492" w:type="dxa"/>
                  <w:noWrap w:val="0"/>
                  <w:vAlign w:val="center"/>
                </w:tcPr>
                <w:p w14:paraId="3C654BBD">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固</w:t>
                  </w:r>
                </w:p>
              </w:tc>
              <w:tc>
                <w:tcPr>
                  <w:tcW w:w="1198" w:type="dxa"/>
                  <w:noWrap w:val="0"/>
                  <w:vAlign w:val="center"/>
                </w:tcPr>
                <w:p w14:paraId="523D4E13">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lang w:val="en-US" w:eastAsia="zh-CN"/>
                    </w:rPr>
                    <w:t>油墨</w:t>
                  </w:r>
                  <w:r>
                    <w:rPr>
                      <w:rFonts w:hint="default" w:ascii="Times New Roman" w:hAnsi="Times New Roman" w:eastAsia="宋体" w:cs="Times New Roman"/>
                      <w:b w:val="0"/>
                      <w:bCs w:val="0"/>
                      <w:color w:val="auto"/>
                      <w:kern w:val="2"/>
                      <w:sz w:val="21"/>
                      <w:szCs w:val="21"/>
                      <w:lang w:val="en-US" w:eastAsia="zh-CN" w:bidi="ar-SA"/>
                    </w:rPr>
                    <w:t>、塑料</w:t>
                  </w:r>
                  <w:r>
                    <w:rPr>
                      <w:rFonts w:hint="default" w:ascii="Times New Roman" w:hAnsi="Times New Roman" w:eastAsia="宋体" w:cs="Times New Roman"/>
                      <w:b w:val="0"/>
                      <w:bCs w:val="0"/>
                      <w:color w:val="auto"/>
                      <w:sz w:val="21"/>
                      <w:szCs w:val="21"/>
                      <w:lang w:eastAsia="zh-CN"/>
                    </w:rPr>
                    <w:t>等</w:t>
                  </w:r>
                </w:p>
              </w:tc>
              <w:tc>
                <w:tcPr>
                  <w:tcW w:w="540" w:type="pct"/>
                  <w:vMerge w:val="continue"/>
                  <w:noWrap w:val="0"/>
                  <w:vAlign w:val="center"/>
                </w:tcPr>
                <w:p w14:paraId="511814C2">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24260542">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T/In</w:t>
                  </w:r>
                </w:p>
              </w:tc>
              <w:tc>
                <w:tcPr>
                  <w:tcW w:w="614" w:type="dxa"/>
                  <w:noWrap w:val="0"/>
                  <w:vAlign w:val="center"/>
                </w:tcPr>
                <w:p w14:paraId="50B0F6A0">
                  <w:pPr>
                    <w:adjustRightInd w:val="0"/>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rPr>
                    <w:t>HW49</w:t>
                  </w:r>
                </w:p>
              </w:tc>
              <w:tc>
                <w:tcPr>
                  <w:tcW w:w="1184" w:type="dxa"/>
                  <w:noWrap w:val="0"/>
                  <w:vAlign w:val="center"/>
                </w:tcPr>
                <w:p w14:paraId="1BAAE176">
                  <w:pPr>
                    <w:adjustRightInd w:val="0"/>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rPr>
                    <w:t>900-041-49</w:t>
                  </w:r>
                </w:p>
              </w:tc>
              <w:tc>
                <w:tcPr>
                  <w:tcW w:w="915" w:type="dxa"/>
                  <w:noWrap w:val="0"/>
                  <w:vAlign w:val="center"/>
                </w:tcPr>
                <w:p w14:paraId="66703F4F">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2"/>
                      <w:sz w:val="21"/>
                      <w:szCs w:val="21"/>
                      <w:lang w:val="en-US" w:eastAsia="zh-CN" w:bidi="ar-SA"/>
                    </w:rPr>
                    <w:t>0.048</w:t>
                  </w:r>
                </w:p>
              </w:tc>
            </w:tr>
            <w:tr w14:paraId="6E106F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68E00DC8">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lang w:val="en-US" w:eastAsia="zh-CN"/>
                    </w:rPr>
                    <w:t>11</w:t>
                  </w:r>
                </w:p>
              </w:tc>
              <w:tc>
                <w:tcPr>
                  <w:tcW w:w="712" w:type="pct"/>
                  <w:noWrap w:val="0"/>
                  <w:vAlign w:val="center"/>
                </w:tcPr>
                <w:p w14:paraId="6F0B92B7">
                  <w:pPr>
                    <w:pStyle w:val="6"/>
                    <w:adjustRightInd w:val="0"/>
                    <w:snapToGrid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276" w:type="pct"/>
                  <w:vMerge w:val="continue"/>
                  <w:noWrap w:val="0"/>
                  <w:vAlign w:val="center"/>
                </w:tcPr>
                <w:p w14:paraId="5B3E96E2">
                  <w:pPr>
                    <w:adjustRightInd w:val="0"/>
                    <w:snapToGrid w:val="0"/>
                    <w:jc w:val="center"/>
                    <w:rPr>
                      <w:rFonts w:hint="default" w:ascii="Times New Roman" w:hAnsi="Times New Roman" w:eastAsia="宋体" w:cs="Times New Roman"/>
                      <w:bCs/>
                      <w:color w:val="auto"/>
                    </w:rPr>
                  </w:pPr>
                </w:p>
              </w:tc>
              <w:tc>
                <w:tcPr>
                  <w:tcW w:w="901" w:type="dxa"/>
                  <w:noWrap w:val="0"/>
                  <w:vAlign w:val="center"/>
                </w:tcPr>
                <w:p w14:paraId="73D7CDBA">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kern w:val="2"/>
                      <w:sz w:val="21"/>
                      <w:szCs w:val="21"/>
                      <w:lang w:val="en-US" w:eastAsia="zh-CN" w:bidi="ar-SA"/>
                    </w:rPr>
                    <w:t>喷头擦拭</w:t>
                  </w:r>
                </w:p>
              </w:tc>
              <w:tc>
                <w:tcPr>
                  <w:tcW w:w="492" w:type="dxa"/>
                  <w:noWrap w:val="0"/>
                  <w:vAlign w:val="center"/>
                </w:tcPr>
                <w:p w14:paraId="38AF3F58">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固</w:t>
                  </w:r>
                </w:p>
              </w:tc>
              <w:tc>
                <w:tcPr>
                  <w:tcW w:w="1198" w:type="dxa"/>
                  <w:noWrap w:val="0"/>
                  <w:vAlign w:val="center"/>
                </w:tcPr>
                <w:p w14:paraId="75C52E62">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布</w:t>
                  </w:r>
                  <w:r>
                    <w:rPr>
                      <w:rFonts w:hint="default" w:ascii="Times New Roman" w:hAnsi="Times New Roman" w:eastAsia="宋体" w:cs="Times New Roman"/>
                      <w:b w:val="0"/>
                      <w:bCs w:val="0"/>
                      <w:color w:val="auto"/>
                      <w:sz w:val="21"/>
                      <w:szCs w:val="21"/>
                      <w:lang w:val="en-US" w:eastAsia="zh-CN"/>
                    </w:rPr>
                    <w:t>、乙醇</w:t>
                  </w:r>
                </w:p>
              </w:tc>
              <w:tc>
                <w:tcPr>
                  <w:tcW w:w="540" w:type="pct"/>
                  <w:vMerge w:val="continue"/>
                  <w:noWrap w:val="0"/>
                  <w:vAlign w:val="center"/>
                </w:tcPr>
                <w:p w14:paraId="6A5B9D4D">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3C817AC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T/In</w:t>
                  </w:r>
                </w:p>
              </w:tc>
              <w:tc>
                <w:tcPr>
                  <w:tcW w:w="614" w:type="dxa"/>
                  <w:noWrap w:val="0"/>
                  <w:vAlign w:val="center"/>
                </w:tcPr>
                <w:p w14:paraId="2D1FB008">
                  <w:pPr>
                    <w:adjustRightInd w:val="0"/>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rPr>
                    <w:t>HW49</w:t>
                  </w:r>
                </w:p>
              </w:tc>
              <w:tc>
                <w:tcPr>
                  <w:tcW w:w="1184" w:type="dxa"/>
                  <w:noWrap w:val="0"/>
                  <w:vAlign w:val="center"/>
                </w:tcPr>
                <w:p w14:paraId="2C4C0431">
                  <w:pPr>
                    <w:adjustRightInd w:val="0"/>
                    <w:snapToGrid w:val="0"/>
                    <w:jc w:val="center"/>
                    <w:rPr>
                      <w:rFonts w:hint="default" w:ascii="Times New Roman" w:hAnsi="Times New Roman" w:eastAsia="宋体" w:cs="Times New Roman"/>
                      <w:color w:val="auto"/>
                      <w:lang w:bidi="ar"/>
                    </w:rPr>
                  </w:pPr>
                  <w:r>
                    <w:rPr>
                      <w:rFonts w:hint="default" w:ascii="Times New Roman" w:hAnsi="Times New Roman" w:eastAsia="宋体" w:cs="Times New Roman"/>
                      <w:color w:val="auto"/>
                      <w:szCs w:val="21"/>
                    </w:rPr>
                    <w:t>900-041-49</w:t>
                  </w:r>
                </w:p>
              </w:tc>
              <w:tc>
                <w:tcPr>
                  <w:tcW w:w="915" w:type="dxa"/>
                  <w:noWrap w:val="0"/>
                  <w:vAlign w:val="center"/>
                </w:tcPr>
                <w:p w14:paraId="518E9F38">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2"/>
                      <w:sz w:val="21"/>
                      <w:szCs w:val="21"/>
                      <w:lang w:val="en-US" w:eastAsia="zh-CN" w:bidi="ar-SA"/>
                    </w:rPr>
                    <w:t>0.006</w:t>
                  </w:r>
                </w:p>
              </w:tc>
            </w:tr>
            <w:tr w14:paraId="384A27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dxa"/>
                  <w:noWrap w:val="0"/>
                  <w:vAlign w:val="center"/>
                </w:tcPr>
                <w:p w14:paraId="7F6AEB5A">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lang w:val="en-US" w:eastAsia="zh-CN"/>
                    </w:rPr>
                    <w:t>12</w:t>
                  </w:r>
                </w:p>
              </w:tc>
              <w:tc>
                <w:tcPr>
                  <w:tcW w:w="712" w:type="pct"/>
                  <w:noWrap w:val="0"/>
                  <w:vAlign w:val="center"/>
                </w:tcPr>
                <w:p w14:paraId="681BBF2D">
                  <w:pPr>
                    <w:pStyle w:val="6"/>
                    <w:adjustRightInd w:val="0"/>
                    <w:snapToGrid w:val="0"/>
                    <w:ind w:firstLine="0" w:firstLineChars="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276" w:type="pct"/>
                  <w:vMerge w:val="continue"/>
                  <w:noWrap w:val="0"/>
                  <w:vAlign w:val="center"/>
                </w:tcPr>
                <w:p w14:paraId="011CDB7C">
                  <w:pPr>
                    <w:adjustRightInd w:val="0"/>
                    <w:snapToGrid w:val="0"/>
                    <w:jc w:val="center"/>
                    <w:rPr>
                      <w:rFonts w:hint="default" w:ascii="Times New Roman" w:hAnsi="Times New Roman" w:eastAsia="宋体" w:cs="Times New Roman"/>
                      <w:bCs/>
                      <w:color w:val="auto"/>
                    </w:rPr>
                  </w:pPr>
                </w:p>
              </w:tc>
              <w:tc>
                <w:tcPr>
                  <w:tcW w:w="901" w:type="dxa"/>
                  <w:noWrap w:val="0"/>
                  <w:vAlign w:val="center"/>
                </w:tcPr>
                <w:p w14:paraId="557FA5F0">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kern w:val="2"/>
                      <w:sz w:val="21"/>
                      <w:szCs w:val="21"/>
                      <w:lang w:val="en-US" w:eastAsia="zh-CN" w:bidi="ar-SA"/>
                    </w:rPr>
                    <w:t>废气处理</w:t>
                  </w:r>
                </w:p>
              </w:tc>
              <w:tc>
                <w:tcPr>
                  <w:tcW w:w="492" w:type="dxa"/>
                  <w:noWrap w:val="0"/>
                  <w:vAlign w:val="center"/>
                </w:tcPr>
                <w:p w14:paraId="3E8507A1">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固</w:t>
                  </w:r>
                </w:p>
              </w:tc>
              <w:tc>
                <w:tcPr>
                  <w:tcW w:w="1198" w:type="dxa"/>
                  <w:noWrap w:val="0"/>
                  <w:vAlign w:val="center"/>
                </w:tcPr>
                <w:p w14:paraId="18736991">
                  <w:pPr>
                    <w:pStyle w:val="6"/>
                    <w:adjustRightInd w:val="0"/>
                    <w:snapToGrid w:val="0"/>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b w:val="0"/>
                      <w:bCs w:val="0"/>
                      <w:color w:val="auto"/>
                      <w:sz w:val="21"/>
                      <w:szCs w:val="21"/>
                    </w:rPr>
                    <w:t>活性炭</w:t>
                  </w:r>
                  <w:r>
                    <w:rPr>
                      <w:rFonts w:hint="default" w:ascii="Times New Roman" w:hAnsi="Times New Roman" w:eastAsia="宋体" w:cs="Times New Roman"/>
                      <w:b w:val="0"/>
                      <w:bCs w:val="0"/>
                      <w:color w:val="auto"/>
                      <w:sz w:val="21"/>
                      <w:szCs w:val="21"/>
                      <w:lang w:eastAsia="zh-CN"/>
                    </w:rPr>
                    <w:t>、有机物</w:t>
                  </w:r>
                </w:p>
              </w:tc>
              <w:tc>
                <w:tcPr>
                  <w:tcW w:w="540" w:type="pct"/>
                  <w:vMerge w:val="continue"/>
                  <w:noWrap w:val="0"/>
                  <w:vAlign w:val="center"/>
                </w:tcPr>
                <w:p w14:paraId="07805C67">
                  <w:pPr>
                    <w:adjustRightInd w:val="0"/>
                    <w:snapToGrid w:val="0"/>
                    <w:jc w:val="center"/>
                    <w:rPr>
                      <w:rFonts w:hint="default" w:ascii="Times New Roman" w:hAnsi="Times New Roman" w:eastAsia="宋体" w:cs="Times New Roman"/>
                      <w:bCs/>
                      <w:color w:val="auto"/>
                    </w:rPr>
                  </w:pPr>
                </w:p>
              </w:tc>
              <w:tc>
                <w:tcPr>
                  <w:tcW w:w="481" w:type="dxa"/>
                  <w:noWrap w:val="0"/>
                  <w:vAlign w:val="center"/>
                </w:tcPr>
                <w:p w14:paraId="5C0746BE">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T</w:t>
                  </w:r>
                </w:p>
              </w:tc>
              <w:tc>
                <w:tcPr>
                  <w:tcW w:w="614" w:type="dxa"/>
                  <w:noWrap w:val="0"/>
                  <w:vAlign w:val="center"/>
                </w:tcPr>
                <w:p w14:paraId="178CE5F4">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HW49</w:t>
                  </w:r>
                </w:p>
              </w:tc>
              <w:tc>
                <w:tcPr>
                  <w:tcW w:w="1184" w:type="dxa"/>
                  <w:noWrap w:val="0"/>
                  <w:vAlign w:val="center"/>
                </w:tcPr>
                <w:p w14:paraId="3492969C">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Cs w:val="21"/>
                    </w:rPr>
                    <w:t>900-039-49</w:t>
                  </w:r>
                </w:p>
              </w:tc>
              <w:tc>
                <w:tcPr>
                  <w:tcW w:w="915" w:type="dxa"/>
                  <w:noWrap w:val="0"/>
                  <w:vAlign w:val="center"/>
                </w:tcPr>
                <w:p w14:paraId="1579889A">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Cs/>
                      <w:color w:val="auto"/>
                      <w:sz w:val="21"/>
                      <w:szCs w:val="21"/>
                      <w:lang w:val="en-US" w:eastAsia="zh-CN"/>
                    </w:rPr>
                    <w:t>2.001</w:t>
                  </w:r>
                </w:p>
              </w:tc>
            </w:tr>
            <w:tr w14:paraId="5C4576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7" w:type="pct"/>
                  <w:noWrap w:val="0"/>
                  <w:vAlign w:val="center"/>
                </w:tcPr>
                <w:p w14:paraId="549C49C6">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13</w:t>
                  </w:r>
                </w:p>
              </w:tc>
              <w:tc>
                <w:tcPr>
                  <w:tcW w:w="712" w:type="pct"/>
                  <w:noWrap w:val="0"/>
                  <w:vAlign w:val="center"/>
                </w:tcPr>
                <w:p w14:paraId="6ECF37B2">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生活垃圾</w:t>
                  </w:r>
                </w:p>
              </w:tc>
              <w:tc>
                <w:tcPr>
                  <w:tcW w:w="276" w:type="pct"/>
                  <w:noWrap w:val="0"/>
                  <w:vAlign w:val="center"/>
                </w:tcPr>
                <w:p w14:paraId="726496B3">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rPr>
                    <w:t>/</w:t>
                  </w:r>
                </w:p>
              </w:tc>
              <w:tc>
                <w:tcPr>
                  <w:tcW w:w="509" w:type="pct"/>
                  <w:noWrap w:val="0"/>
                  <w:vAlign w:val="center"/>
                </w:tcPr>
                <w:p w14:paraId="3AD1BF1C">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员工生活</w:t>
                  </w:r>
                </w:p>
              </w:tc>
              <w:tc>
                <w:tcPr>
                  <w:tcW w:w="278" w:type="pct"/>
                  <w:noWrap w:val="0"/>
                  <w:vAlign w:val="center"/>
                </w:tcPr>
                <w:p w14:paraId="4EDACCBF">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w:t>
                  </w:r>
                </w:p>
              </w:tc>
              <w:tc>
                <w:tcPr>
                  <w:tcW w:w="677" w:type="pct"/>
                  <w:noWrap w:val="0"/>
                  <w:vAlign w:val="center"/>
                </w:tcPr>
                <w:p w14:paraId="40F8D50C">
                  <w:pPr>
                    <w:adjustRightInd w:val="0"/>
                    <w:snapToGrid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塑料、纸</w:t>
                  </w:r>
                </w:p>
              </w:tc>
              <w:tc>
                <w:tcPr>
                  <w:tcW w:w="540" w:type="pct"/>
                  <w:vMerge w:val="continue"/>
                  <w:noWrap w:val="0"/>
                  <w:vAlign w:val="center"/>
                </w:tcPr>
                <w:p w14:paraId="61AE3A31">
                  <w:pPr>
                    <w:adjustRightInd w:val="0"/>
                    <w:snapToGrid w:val="0"/>
                    <w:jc w:val="center"/>
                    <w:rPr>
                      <w:rFonts w:hint="default" w:ascii="Times New Roman" w:hAnsi="Times New Roman" w:eastAsia="宋体" w:cs="Times New Roman"/>
                      <w:bCs/>
                      <w:color w:val="auto"/>
                    </w:rPr>
                  </w:pPr>
                </w:p>
              </w:tc>
              <w:tc>
                <w:tcPr>
                  <w:tcW w:w="272" w:type="pct"/>
                  <w:noWrap w:val="0"/>
                  <w:vAlign w:val="center"/>
                </w:tcPr>
                <w:p w14:paraId="36AB7212">
                  <w:pPr>
                    <w:adjustRightInd w:val="0"/>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rPr>
                    <w:t>/</w:t>
                  </w:r>
                </w:p>
              </w:tc>
              <w:tc>
                <w:tcPr>
                  <w:tcW w:w="614" w:type="dxa"/>
                  <w:noWrap w:val="0"/>
                  <w:vAlign w:val="center"/>
                </w:tcPr>
                <w:p w14:paraId="1BF4D4AC">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SW64</w:t>
                  </w:r>
                </w:p>
              </w:tc>
              <w:tc>
                <w:tcPr>
                  <w:tcW w:w="1184" w:type="dxa"/>
                  <w:noWrap w:val="0"/>
                  <w:vAlign w:val="center"/>
                </w:tcPr>
                <w:p w14:paraId="68F9CB7E">
                  <w:pPr>
                    <w:snapToGrid w:val="0"/>
                    <w:jc w:val="center"/>
                    <w:rPr>
                      <w:rFonts w:hint="default" w:ascii="Times New Roman" w:hAnsi="Times New Roman" w:eastAsia="宋体" w:cs="Times New Roman"/>
                      <w:bCs/>
                      <w:color w:val="auto"/>
                    </w:rPr>
                  </w:pPr>
                  <w:r>
                    <w:rPr>
                      <w:rFonts w:hint="default" w:ascii="Times New Roman" w:hAnsi="Times New Roman" w:eastAsia="宋体" w:cs="Times New Roman"/>
                      <w:color w:val="auto"/>
                      <w:sz w:val="21"/>
                      <w:szCs w:val="21"/>
                      <w:lang w:val="en-US" w:eastAsia="zh-CN"/>
                    </w:rPr>
                    <w:t>900-099-S64</w:t>
                  </w:r>
                </w:p>
              </w:tc>
              <w:tc>
                <w:tcPr>
                  <w:tcW w:w="517" w:type="pct"/>
                  <w:noWrap w:val="0"/>
                  <w:vAlign w:val="center"/>
                </w:tcPr>
                <w:p w14:paraId="31831D2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15</w:t>
                  </w:r>
                </w:p>
              </w:tc>
            </w:tr>
          </w:tbl>
          <w:p w14:paraId="4E8F86F8">
            <w:pPr>
              <w:adjustRightInd w:val="0"/>
              <w:snapToGrid w:val="0"/>
              <w:spacing w:line="500" w:lineRule="exact"/>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2、处置利用情况</w:t>
            </w:r>
          </w:p>
          <w:p w14:paraId="3E37D50C">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按照《建设项目危险废物环境影响评价指南》（环保部公告【2017】43号）要求，本项目建成后全厂固废产生及处理处置措施汇总表见</w:t>
            </w:r>
            <w:r>
              <w:rPr>
                <w:rFonts w:hint="default" w:ascii="Times New Roman" w:hAnsi="Times New Roman" w:eastAsia="宋体" w:cs="Times New Roman"/>
                <w:color w:val="auto"/>
                <w:sz w:val="24"/>
                <w:lang w:val="en-US" w:eastAsia="zh-CN"/>
              </w:rPr>
              <w:t>下</w:t>
            </w:r>
            <w:r>
              <w:rPr>
                <w:rFonts w:hint="default" w:ascii="Times New Roman" w:hAnsi="Times New Roman" w:eastAsia="宋体" w:cs="Times New Roman"/>
                <w:color w:val="auto"/>
                <w:sz w:val="24"/>
              </w:rPr>
              <w:t>表。</w:t>
            </w:r>
          </w:p>
          <w:p w14:paraId="5F1D8C0D">
            <w:pPr>
              <w:pStyle w:val="59"/>
              <w:keepNext w:val="0"/>
              <w:keepLines w:val="0"/>
              <w:pageBreakBefore w:val="0"/>
              <w:tabs>
                <w:tab w:val="left" w:pos="3240"/>
              </w:tabs>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p>
          <w:p w14:paraId="7A3D639D">
            <w:pPr>
              <w:pStyle w:val="59"/>
              <w:keepNext w:val="0"/>
              <w:keepLines w:val="0"/>
              <w:pageBreakBefore w:val="0"/>
              <w:tabs>
                <w:tab w:val="left" w:pos="3240"/>
              </w:tabs>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表4-18 本项目固废产生及处理处置措施汇总表</w:t>
            </w:r>
          </w:p>
          <w:tbl>
            <w:tblPr>
              <w:tblStyle w:val="27"/>
              <w:tblW w:w="48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446"/>
              <w:gridCol w:w="1150"/>
              <w:gridCol w:w="692"/>
              <w:gridCol w:w="968"/>
              <w:gridCol w:w="668"/>
              <w:gridCol w:w="696"/>
              <w:gridCol w:w="1271"/>
              <w:gridCol w:w="1089"/>
              <w:gridCol w:w="805"/>
              <w:gridCol w:w="879"/>
            </w:tblGrid>
            <w:tr w14:paraId="30DEE4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09CD62EF">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序号</w:t>
                  </w:r>
                </w:p>
              </w:tc>
              <w:tc>
                <w:tcPr>
                  <w:tcW w:w="663" w:type="pct"/>
                  <w:vAlign w:val="center"/>
                </w:tcPr>
                <w:p w14:paraId="48CFB6F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固废名称</w:t>
                  </w:r>
                </w:p>
              </w:tc>
              <w:tc>
                <w:tcPr>
                  <w:tcW w:w="399" w:type="pct"/>
                  <w:tcBorders>
                    <w:bottom w:val="single" w:color="auto" w:sz="4" w:space="0"/>
                  </w:tcBorders>
                  <w:vAlign w:val="center"/>
                </w:tcPr>
                <w:p w14:paraId="22779FB6">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属性</w:t>
                  </w:r>
                </w:p>
              </w:tc>
              <w:tc>
                <w:tcPr>
                  <w:tcW w:w="558" w:type="pct"/>
                  <w:vAlign w:val="center"/>
                </w:tcPr>
                <w:p w14:paraId="6F7F0B0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产生来源</w:t>
                  </w:r>
                </w:p>
              </w:tc>
              <w:tc>
                <w:tcPr>
                  <w:tcW w:w="385" w:type="pct"/>
                  <w:vAlign w:val="center"/>
                </w:tcPr>
                <w:p w14:paraId="1750C1FC">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危废毒性</w:t>
                  </w:r>
                </w:p>
              </w:tc>
              <w:tc>
                <w:tcPr>
                  <w:tcW w:w="401" w:type="pct"/>
                  <w:vAlign w:val="center"/>
                </w:tcPr>
                <w:p w14:paraId="30734E37">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废物类别</w:t>
                  </w:r>
                </w:p>
              </w:tc>
              <w:tc>
                <w:tcPr>
                  <w:tcW w:w="733" w:type="pct"/>
                  <w:vAlign w:val="center"/>
                </w:tcPr>
                <w:p w14:paraId="141F8531">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废物代码</w:t>
                  </w:r>
                </w:p>
              </w:tc>
              <w:tc>
                <w:tcPr>
                  <w:tcW w:w="628" w:type="pct"/>
                  <w:vAlign w:val="center"/>
                </w:tcPr>
                <w:p w14:paraId="1E6DD4C8">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估算产生量（t/a）</w:t>
                  </w:r>
                </w:p>
              </w:tc>
              <w:tc>
                <w:tcPr>
                  <w:tcW w:w="464" w:type="pct"/>
                  <w:vAlign w:val="center"/>
                </w:tcPr>
                <w:p w14:paraId="3FAC8613">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利用处置方式</w:t>
                  </w:r>
                </w:p>
              </w:tc>
              <w:tc>
                <w:tcPr>
                  <w:tcW w:w="507" w:type="pct"/>
                  <w:vAlign w:val="center"/>
                </w:tcPr>
                <w:p w14:paraId="3C5FB889">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利用处置单位</w:t>
                  </w:r>
                </w:p>
              </w:tc>
            </w:tr>
            <w:tr w14:paraId="132185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5FEB0B11">
                  <w:pPr>
                    <w:pStyle w:val="6"/>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63" w:type="pct"/>
                  <w:vAlign w:val="center"/>
                </w:tcPr>
                <w:p w14:paraId="44DA2D3E">
                  <w:pPr>
                    <w:pStyle w:val="6"/>
                    <w:adjustRightInd w:val="0"/>
                    <w:snapToGrid w:val="0"/>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清洗废液</w:t>
                  </w:r>
                </w:p>
              </w:tc>
              <w:tc>
                <w:tcPr>
                  <w:tcW w:w="399" w:type="pct"/>
                  <w:vMerge w:val="restart"/>
                  <w:vAlign w:val="center"/>
                </w:tcPr>
                <w:p w14:paraId="61F9FA6C">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危险固废</w:t>
                  </w:r>
                </w:p>
              </w:tc>
              <w:tc>
                <w:tcPr>
                  <w:tcW w:w="558" w:type="pct"/>
                  <w:vAlign w:val="center"/>
                </w:tcPr>
                <w:p w14:paraId="5F0450E6">
                  <w:pPr>
                    <w:adjustRightInd w:val="0"/>
                    <w:snapToGrid w:val="0"/>
                    <w:jc w:val="center"/>
                    <w:rPr>
                      <w:rFonts w:hint="default" w:ascii="Times New Roman" w:hAnsi="Times New Roman" w:eastAsia="宋体" w:cs="Times New Roman"/>
                      <w:b w:val="0"/>
                      <w:bCs w:val="0"/>
                      <w:color w:val="FF0000"/>
                      <w:sz w:val="21"/>
                      <w:szCs w:val="21"/>
                      <w:lang w:val="en-US" w:eastAsia="zh-CN"/>
                    </w:rPr>
                  </w:pPr>
                  <w:r>
                    <w:rPr>
                      <w:rFonts w:hint="eastAsia" w:cs="Times New Roman"/>
                      <w:b w:val="0"/>
                      <w:bCs w:val="0"/>
                      <w:color w:val="FF0000"/>
                      <w:sz w:val="21"/>
                      <w:szCs w:val="21"/>
                      <w:lang w:val="en-US" w:eastAsia="zh-CN"/>
                    </w:rPr>
                    <w:t>清洗</w:t>
                  </w:r>
                </w:p>
              </w:tc>
              <w:tc>
                <w:tcPr>
                  <w:tcW w:w="385" w:type="pct"/>
                  <w:vAlign w:val="center"/>
                </w:tcPr>
                <w:p w14:paraId="671BF32E">
                  <w:pPr>
                    <w:adjustRightInd w:val="0"/>
                    <w:snapToGrid w:val="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T/</w:t>
                  </w:r>
                  <w:r>
                    <w:rPr>
                      <w:rFonts w:hint="default" w:ascii="Times New Roman" w:hAnsi="Times New Roman" w:eastAsia="宋体" w:cs="Times New Roman"/>
                      <w:color w:val="FF0000"/>
                      <w:szCs w:val="21"/>
                      <w:lang w:val="en-US" w:eastAsia="zh-CN"/>
                    </w:rPr>
                    <w:t>C</w:t>
                  </w:r>
                </w:p>
              </w:tc>
              <w:tc>
                <w:tcPr>
                  <w:tcW w:w="401" w:type="pct"/>
                  <w:vAlign w:val="center"/>
                </w:tcPr>
                <w:p w14:paraId="2CE59E0E">
                  <w:pPr>
                    <w:adjustRightInd w:val="0"/>
                    <w:snapToGrid w:val="0"/>
                    <w:jc w:val="center"/>
                    <w:rPr>
                      <w:rFonts w:hint="default" w:ascii="Times New Roman" w:hAnsi="Times New Roman" w:eastAsia="宋体" w:cs="Times New Roman"/>
                      <w:color w:val="FF0000"/>
                      <w:szCs w:val="21"/>
                    </w:rPr>
                  </w:pPr>
                  <w:r>
                    <w:rPr>
                      <w:rFonts w:hint="default" w:ascii="Times New Roman" w:hAnsi="Times New Roman" w:eastAsia="宋体" w:cs="Times New Roman"/>
                      <w:color w:val="FF0000"/>
                      <w:szCs w:val="21"/>
                    </w:rPr>
                    <w:t>HW</w:t>
                  </w:r>
                  <w:r>
                    <w:rPr>
                      <w:rFonts w:hint="default" w:ascii="Times New Roman" w:hAnsi="Times New Roman" w:eastAsia="宋体" w:cs="Times New Roman"/>
                      <w:color w:val="FF0000"/>
                      <w:szCs w:val="21"/>
                      <w:lang w:val="en-US" w:eastAsia="zh-CN"/>
                    </w:rPr>
                    <w:t>17</w:t>
                  </w:r>
                </w:p>
              </w:tc>
              <w:tc>
                <w:tcPr>
                  <w:tcW w:w="733" w:type="pct"/>
                  <w:vAlign w:val="center"/>
                </w:tcPr>
                <w:p w14:paraId="78B74711">
                  <w:pPr>
                    <w:adjustRightInd w:val="0"/>
                    <w:snapToGrid w:val="0"/>
                    <w:jc w:val="center"/>
                    <w:rPr>
                      <w:rFonts w:hint="default" w:ascii="Times New Roman" w:hAnsi="Times New Roman" w:eastAsia="宋体" w:cs="Times New Roman"/>
                      <w:color w:val="FF0000"/>
                      <w:szCs w:val="21"/>
                      <w:lang w:eastAsia="zh-CN"/>
                    </w:rPr>
                  </w:pPr>
                  <w:r>
                    <w:rPr>
                      <w:rFonts w:hint="default" w:ascii="Times New Roman" w:hAnsi="Times New Roman" w:eastAsia="宋体" w:cs="Times New Roman"/>
                      <w:color w:val="FF0000"/>
                      <w:szCs w:val="21"/>
                      <w:lang w:val="en-US" w:eastAsia="zh-CN"/>
                    </w:rPr>
                    <w:t>336</w:t>
                  </w:r>
                  <w:r>
                    <w:rPr>
                      <w:rFonts w:hint="default" w:ascii="Times New Roman" w:hAnsi="Times New Roman" w:eastAsia="宋体" w:cs="Times New Roman"/>
                      <w:color w:val="FF0000"/>
                      <w:szCs w:val="21"/>
                    </w:rPr>
                    <w:t>-0</w:t>
                  </w:r>
                  <w:r>
                    <w:rPr>
                      <w:rFonts w:hint="default" w:ascii="Times New Roman" w:hAnsi="Times New Roman" w:eastAsia="宋体" w:cs="Times New Roman"/>
                      <w:color w:val="FF0000"/>
                      <w:szCs w:val="21"/>
                      <w:lang w:val="en-US" w:eastAsia="zh-CN"/>
                    </w:rPr>
                    <w:t>64</w:t>
                  </w:r>
                  <w:r>
                    <w:rPr>
                      <w:rFonts w:hint="default" w:ascii="Times New Roman" w:hAnsi="Times New Roman" w:eastAsia="宋体" w:cs="Times New Roman"/>
                      <w:color w:val="FF0000"/>
                      <w:szCs w:val="21"/>
                    </w:rPr>
                    <w:t>-</w:t>
                  </w:r>
                  <w:r>
                    <w:rPr>
                      <w:rFonts w:hint="default" w:ascii="Times New Roman" w:hAnsi="Times New Roman" w:eastAsia="宋体" w:cs="Times New Roman"/>
                      <w:color w:val="FF0000"/>
                      <w:szCs w:val="21"/>
                      <w:lang w:val="en-US" w:eastAsia="zh-CN"/>
                    </w:rPr>
                    <w:t>17</w:t>
                  </w:r>
                </w:p>
              </w:tc>
              <w:tc>
                <w:tcPr>
                  <w:tcW w:w="628" w:type="pct"/>
                  <w:vAlign w:val="center"/>
                </w:tcPr>
                <w:p w14:paraId="60F1BF19">
                  <w:pPr>
                    <w:adjustRightInd w:val="0"/>
                    <w:snapToGrid w:val="0"/>
                    <w:jc w:val="center"/>
                    <w:rPr>
                      <w:rFonts w:hint="default" w:ascii="Times New Roman" w:hAnsi="Times New Roman" w:eastAsia="宋体" w:cs="Times New Roman"/>
                      <w:bCs/>
                      <w:color w:val="FF0000"/>
                      <w:kern w:val="2"/>
                      <w:sz w:val="21"/>
                      <w:szCs w:val="21"/>
                      <w:lang w:val="en-US" w:eastAsia="zh-CN" w:bidi="ar-SA"/>
                    </w:rPr>
                  </w:pPr>
                  <w:r>
                    <w:rPr>
                      <w:rFonts w:hint="eastAsia" w:cs="Times New Roman"/>
                      <w:bCs/>
                      <w:color w:val="FF0000"/>
                      <w:kern w:val="2"/>
                      <w:sz w:val="21"/>
                      <w:szCs w:val="21"/>
                      <w:lang w:val="en-US" w:eastAsia="zh-CN" w:bidi="ar-SA"/>
                    </w:rPr>
                    <w:t>8</w:t>
                  </w:r>
                </w:p>
              </w:tc>
              <w:tc>
                <w:tcPr>
                  <w:tcW w:w="464" w:type="pct"/>
                  <w:vMerge w:val="restart"/>
                  <w:vAlign w:val="center"/>
                </w:tcPr>
                <w:p w14:paraId="2C68E7F8">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bCs/>
                      <w:color w:val="auto"/>
                      <w:szCs w:val="21"/>
                      <w:lang w:val="en-US" w:eastAsia="zh-CN"/>
                    </w:rPr>
                    <w:t>委托处置</w:t>
                  </w:r>
                </w:p>
              </w:tc>
              <w:tc>
                <w:tcPr>
                  <w:tcW w:w="507" w:type="pct"/>
                  <w:vMerge w:val="restart"/>
                  <w:vAlign w:val="center"/>
                </w:tcPr>
                <w:p w14:paraId="32F77DC2">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szCs w:val="21"/>
                    </w:rPr>
                    <w:t>有资质单位</w:t>
                  </w:r>
                </w:p>
              </w:tc>
            </w:tr>
            <w:tr w14:paraId="2C935F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4926B18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663" w:type="pct"/>
                  <w:vAlign w:val="center"/>
                </w:tcPr>
                <w:p w14:paraId="1D35FFBE">
                  <w:pPr>
                    <w:pStyle w:val="6"/>
                    <w:adjustRightInd w:val="0"/>
                    <w:snapToGrid w:val="0"/>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highlight w:val="none"/>
                      <w:lang w:val="en-US" w:eastAsia="zh-CN"/>
                    </w:rPr>
                    <w:t>废网版</w:t>
                  </w:r>
                </w:p>
              </w:tc>
              <w:tc>
                <w:tcPr>
                  <w:tcW w:w="399" w:type="pct"/>
                  <w:vMerge w:val="continue"/>
                  <w:vAlign w:val="center"/>
                </w:tcPr>
                <w:p w14:paraId="0AC800CF">
                  <w:pPr>
                    <w:adjustRightInd w:val="0"/>
                    <w:snapToGrid w:val="0"/>
                    <w:jc w:val="center"/>
                    <w:rPr>
                      <w:rFonts w:hint="default" w:ascii="Times New Roman" w:hAnsi="Times New Roman" w:eastAsia="宋体" w:cs="Times New Roman"/>
                      <w:color w:val="auto"/>
                      <w:szCs w:val="21"/>
                    </w:rPr>
                  </w:pPr>
                </w:p>
              </w:tc>
              <w:tc>
                <w:tcPr>
                  <w:tcW w:w="558" w:type="pct"/>
                  <w:vAlign w:val="center"/>
                </w:tcPr>
                <w:p w14:paraId="65573573">
                  <w:pPr>
                    <w:adjustRightInd w:val="0"/>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丝网印刷</w:t>
                  </w:r>
                </w:p>
              </w:tc>
              <w:tc>
                <w:tcPr>
                  <w:tcW w:w="385" w:type="pct"/>
                  <w:vAlign w:val="center"/>
                </w:tcPr>
                <w:p w14:paraId="78C5D588">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I</w:t>
                  </w:r>
                </w:p>
              </w:tc>
              <w:tc>
                <w:tcPr>
                  <w:tcW w:w="401" w:type="pct"/>
                  <w:vAlign w:val="center"/>
                </w:tcPr>
                <w:p w14:paraId="0749F2C6">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HW</w:t>
                  </w:r>
                  <w:r>
                    <w:rPr>
                      <w:rFonts w:hint="default" w:ascii="Times New Roman" w:hAnsi="Times New Roman" w:eastAsia="宋体" w:cs="Times New Roman"/>
                      <w:color w:val="auto"/>
                      <w:szCs w:val="21"/>
                      <w:lang w:val="en-US" w:eastAsia="zh-CN"/>
                    </w:rPr>
                    <w:t>12</w:t>
                  </w:r>
                </w:p>
              </w:tc>
              <w:tc>
                <w:tcPr>
                  <w:tcW w:w="733" w:type="pct"/>
                  <w:vAlign w:val="center"/>
                </w:tcPr>
                <w:p w14:paraId="0D27A978">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900-</w:t>
                  </w:r>
                  <w:r>
                    <w:rPr>
                      <w:rFonts w:hint="default" w:ascii="Times New Roman" w:hAnsi="Times New Roman" w:eastAsia="宋体" w:cs="Times New Roman"/>
                      <w:color w:val="auto"/>
                      <w:szCs w:val="21"/>
                      <w:lang w:val="en-US" w:eastAsia="zh-CN"/>
                    </w:rPr>
                    <w:t>253</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12</w:t>
                  </w:r>
                </w:p>
              </w:tc>
              <w:tc>
                <w:tcPr>
                  <w:tcW w:w="628" w:type="pct"/>
                  <w:vAlign w:val="center"/>
                </w:tcPr>
                <w:p w14:paraId="52BB573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0.01</w:t>
                  </w:r>
                </w:p>
              </w:tc>
              <w:tc>
                <w:tcPr>
                  <w:tcW w:w="464" w:type="pct"/>
                  <w:vMerge w:val="continue"/>
                  <w:vAlign w:val="center"/>
                </w:tcPr>
                <w:p w14:paraId="78126870">
                  <w:pPr>
                    <w:adjustRightInd w:val="0"/>
                    <w:snapToGrid w:val="0"/>
                    <w:jc w:val="center"/>
                    <w:rPr>
                      <w:rFonts w:hint="default" w:ascii="Times New Roman" w:hAnsi="Times New Roman" w:eastAsia="宋体" w:cs="Times New Roman"/>
                      <w:color w:val="auto"/>
                      <w:szCs w:val="21"/>
                      <w:lang w:eastAsia="zh-CN"/>
                    </w:rPr>
                  </w:pPr>
                </w:p>
              </w:tc>
              <w:tc>
                <w:tcPr>
                  <w:tcW w:w="507" w:type="pct"/>
                  <w:vMerge w:val="continue"/>
                  <w:vAlign w:val="center"/>
                </w:tcPr>
                <w:p w14:paraId="60F497BE">
                  <w:pPr>
                    <w:adjustRightInd w:val="0"/>
                    <w:snapToGrid w:val="0"/>
                    <w:jc w:val="center"/>
                    <w:rPr>
                      <w:rFonts w:hint="default" w:ascii="Times New Roman" w:hAnsi="Times New Roman" w:eastAsia="宋体" w:cs="Times New Roman"/>
                      <w:color w:val="auto"/>
                      <w:szCs w:val="21"/>
                    </w:rPr>
                  </w:pPr>
                </w:p>
              </w:tc>
            </w:tr>
            <w:tr w14:paraId="2A0BFC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3796A978">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663" w:type="pct"/>
                  <w:vAlign w:val="center"/>
                </w:tcPr>
                <w:p w14:paraId="2E9F9E18">
                  <w:pPr>
                    <w:pStyle w:val="6"/>
                    <w:adjustRightInd w:val="0"/>
                    <w:snapToGrid w:val="0"/>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val="0"/>
                      <w:color w:val="auto"/>
                      <w:sz w:val="21"/>
                      <w:szCs w:val="21"/>
                      <w:highlight w:val="none"/>
                      <w:lang w:val="en-US" w:eastAsia="zh-CN"/>
                    </w:rPr>
                    <w:t>废包装瓶</w:t>
                  </w:r>
                </w:p>
              </w:tc>
              <w:tc>
                <w:tcPr>
                  <w:tcW w:w="399" w:type="pct"/>
                  <w:vMerge w:val="continue"/>
                  <w:vAlign w:val="center"/>
                </w:tcPr>
                <w:p w14:paraId="3DE8FFD3">
                  <w:pPr>
                    <w:adjustRightInd w:val="0"/>
                    <w:snapToGrid w:val="0"/>
                    <w:jc w:val="center"/>
                    <w:rPr>
                      <w:rFonts w:hint="default" w:ascii="Times New Roman" w:hAnsi="Times New Roman" w:eastAsia="宋体" w:cs="Times New Roman"/>
                      <w:color w:val="auto"/>
                      <w:szCs w:val="21"/>
                    </w:rPr>
                  </w:pPr>
                </w:p>
              </w:tc>
              <w:tc>
                <w:tcPr>
                  <w:tcW w:w="558" w:type="pct"/>
                  <w:vAlign w:val="center"/>
                </w:tcPr>
                <w:p w14:paraId="23FD3555">
                  <w:pPr>
                    <w:pStyle w:val="6"/>
                    <w:adjustRightInd w:val="0"/>
                    <w:snapToGrid w:val="0"/>
                    <w:ind w:firstLine="0" w:firstLineChars="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原料包装</w:t>
                  </w:r>
                </w:p>
              </w:tc>
              <w:tc>
                <w:tcPr>
                  <w:tcW w:w="385" w:type="pct"/>
                  <w:vAlign w:val="center"/>
                </w:tcPr>
                <w:p w14:paraId="012D7BF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T/In</w:t>
                  </w:r>
                </w:p>
              </w:tc>
              <w:tc>
                <w:tcPr>
                  <w:tcW w:w="401" w:type="pct"/>
                  <w:vAlign w:val="center"/>
                </w:tcPr>
                <w:p w14:paraId="522FD26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HW49</w:t>
                  </w:r>
                </w:p>
              </w:tc>
              <w:tc>
                <w:tcPr>
                  <w:tcW w:w="733" w:type="pct"/>
                  <w:vAlign w:val="center"/>
                </w:tcPr>
                <w:p w14:paraId="43984686">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900-041-49</w:t>
                  </w:r>
                </w:p>
              </w:tc>
              <w:tc>
                <w:tcPr>
                  <w:tcW w:w="628" w:type="pct"/>
                  <w:vAlign w:val="center"/>
                </w:tcPr>
                <w:p w14:paraId="3CBAECA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0.048</w:t>
                  </w:r>
                </w:p>
              </w:tc>
              <w:tc>
                <w:tcPr>
                  <w:tcW w:w="464" w:type="pct"/>
                  <w:vMerge w:val="continue"/>
                  <w:vAlign w:val="center"/>
                </w:tcPr>
                <w:p w14:paraId="1FED3B74">
                  <w:pPr>
                    <w:adjustRightInd w:val="0"/>
                    <w:snapToGrid w:val="0"/>
                    <w:jc w:val="center"/>
                    <w:rPr>
                      <w:rFonts w:hint="default" w:ascii="Times New Roman" w:hAnsi="Times New Roman" w:eastAsia="宋体" w:cs="Times New Roman"/>
                      <w:bCs/>
                      <w:color w:val="auto"/>
                      <w:szCs w:val="21"/>
                      <w:lang w:val="en-US" w:eastAsia="zh-CN"/>
                    </w:rPr>
                  </w:pPr>
                </w:p>
              </w:tc>
              <w:tc>
                <w:tcPr>
                  <w:tcW w:w="507" w:type="pct"/>
                  <w:vMerge w:val="continue"/>
                  <w:vAlign w:val="center"/>
                </w:tcPr>
                <w:p w14:paraId="71876CEE">
                  <w:pPr>
                    <w:adjustRightInd w:val="0"/>
                    <w:snapToGrid w:val="0"/>
                    <w:jc w:val="center"/>
                    <w:rPr>
                      <w:rFonts w:hint="default" w:ascii="Times New Roman" w:hAnsi="Times New Roman" w:eastAsia="宋体" w:cs="Times New Roman"/>
                      <w:bCs/>
                      <w:color w:val="auto"/>
                      <w:szCs w:val="21"/>
                    </w:rPr>
                  </w:pPr>
                </w:p>
              </w:tc>
            </w:tr>
            <w:tr w14:paraId="4F879B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5F5DA21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663" w:type="pct"/>
                  <w:vAlign w:val="center"/>
                </w:tcPr>
                <w:p w14:paraId="0867850F">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399" w:type="pct"/>
                  <w:vMerge w:val="continue"/>
                  <w:vAlign w:val="center"/>
                </w:tcPr>
                <w:p w14:paraId="5A0C7C77">
                  <w:pPr>
                    <w:adjustRightInd w:val="0"/>
                    <w:snapToGrid w:val="0"/>
                    <w:jc w:val="center"/>
                    <w:rPr>
                      <w:rFonts w:hint="default" w:ascii="Times New Roman" w:hAnsi="Times New Roman" w:eastAsia="宋体" w:cs="Times New Roman"/>
                      <w:color w:val="auto"/>
                      <w:szCs w:val="21"/>
                    </w:rPr>
                  </w:pPr>
                </w:p>
              </w:tc>
              <w:tc>
                <w:tcPr>
                  <w:tcW w:w="558" w:type="pct"/>
                  <w:vAlign w:val="center"/>
                </w:tcPr>
                <w:p w14:paraId="2B7CACD6">
                  <w:pPr>
                    <w:pStyle w:val="6"/>
                    <w:adjustRightInd w:val="0"/>
                    <w:snapToGrid w:val="0"/>
                    <w:ind w:firstLine="0" w:firstLineChars="0"/>
                    <w:jc w:val="center"/>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b w:val="0"/>
                      <w:bCs w:val="0"/>
                      <w:color w:val="auto"/>
                      <w:kern w:val="2"/>
                      <w:sz w:val="21"/>
                      <w:szCs w:val="21"/>
                      <w:lang w:val="en-US" w:eastAsia="zh-CN" w:bidi="ar-SA"/>
                    </w:rPr>
                    <w:t>喷头擦拭</w:t>
                  </w:r>
                </w:p>
              </w:tc>
              <w:tc>
                <w:tcPr>
                  <w:tcW w:w="385" w:type="pct"/>
                  <w:vAlign w:val="center"/>
                </w:tcPr>
                <w:p w14:paraId="13259C50">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T/In</w:t>
                  </w:r>
                </w:p>
              </w:tc>
              <w:tc>
                <w:tcPr>
                  <w:tcW w:w="401" w:type="pct"/>
                  <w:vAlign w:val="center"/>
                </w:tcPr>
                <w:p w14:paraId="7A905211">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HW49</w:t>
                  </w:r>
                </w:p>
              </w:tc>
              <w:tc>
                <w:tcPr>
                  <w:tcW w:w="733" w:type="pct"/>
                  <w:vAlign w:val="center"/>
                </w:tcPr>
                <w:p w14:paraId="12F9BA8D">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900-041-49</w:t>
                  </w:r>
                </w:p>
              </w:tc>
              <w:tc>
                <w:tcPr>
                  <w:tcW w:w="628" w:type="pct"/>
                  <w:vAlign w:val="center"/>
                </w:tcPr>
                <w:p w14:paraId="486255B4">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kern w:val="2"/>
                      <w:sz w:val="21"/>
                      <w:szCs w:val="21"/>
                      <w:lang w:val="en-US" w:eastAsia="zh-CN" w:bidi="ar-SA"/>
                    </w:rPr>
                    <w:t>0.006</w:t>
                  </w:r>
                </w:p>
              </w:tc>
              <w:tc>
                <w:tcPr>
                  <w:tcW w:w="464" w:type="pct"/>
                  <w:vMerge w:val="continue"/>
                  <w:vAlign w:val="center"/>
                </w:tcPr>
                <w:p w14:paraId="3891756B">
                  <w:pPr>
                    <w:adjustRightInd w:val="0"/>
                    <w:snapToGrid w:val="0"/>
                    <w:jc w:val="center"/>
                    <w:rPr>
                      <w:rFonts w:hint="default" w:ascii="Times New Roman" w:hAnsi="Times New Roman" w:eastAsia="宋体" w:cs="Times New Roman"/>
                      <w:color w:val="auto"/>
                      <w:szCs w:val="21"/>
                      <w:lang w:eastAsia="zh-CN"/>
                    </w:rPr>
                  </w:pPr>
                </w:p>
              </w:tc>
              <w:tc>
                <w:tcPr>
                  <w:tcW w:w="507" w:type="pct"/>
                  <w:vMerge w:val="continue"/>
                  <w:vAlign w:val="center"/>
                </w:tcPr>
                <w:p w14:paraId="2E20B7C4">
                  <w:pPr>
                    <w:adjustRightInd w:val="0"/>
                    <w:snapToGrid w:val="0"/>
                    <w:jc w:val="center"/>
                    <w:rPr>
                      <w:rFonts w:hint="default" w:ascii="Times New Roman" w:hAnsi="Times New Roman" w:eastAsia="宋体" w:cs="Times New Roman"/>
                      <w:color w:val="auto"/>
                      <w:szCs w:val="21"/>
                    </w:rPr>
                  </w:pPr>
                </w:p>
              </w:tc>
            </w:tr>
            <w:tr w14:paraId="21E158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57" w:type="pct"/>
                  <w:vAlign w:val="center"/>
                </w:tcPr>
                <w:p w14:paraId="3F12D27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w:t>
                  </w:r>
                </w:p>
              </w:tc>
              <w:tc>
                <w:tcPr>
                  <w:tcW w:w="663" w:type="pct"/>
                  <w:vAlign w:val="center"/>
                </w:tcPr>
                <w:p w14:paraId="15B73B98">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399" w:type="pct"/>
                  <w:vMerge w:val="continue"/>
                  <w:vAlign w:val="center"/>
                </w:tcPr>
                <w:p w14:paraId="02DF0DF7">
                  <w:pPr>
                    <w:adjustRightInd w:val="0"/>
                    <w:snapToGrid w:val="0"/>
                    <w:jc w:val="center"/>
                    <w:rPr>
                      <w:rFonts w:hint="default" w:ascii="Times New Roman" w:hAnsi="Times New Roman" w:eastAsia="宋体" w:cs="Times New Roman"/>
                      <w:color w:val="auto"/>
                      <w:szCs w:val="21"/>
                    </w:rPr>
                  </w:pPr>
                </w:p>
              </w:tc>
              <w:tc>
                <w:tcPr>
                  <w:tcW w:w="558" w:type="pct"/>
                  <w:vAlign w:val="center"/>
                </w:tcPr>
                <w:p w14:paraId="414EF9B0">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废气处理</w:t>
                  </w:r>
                </w:p>
              </w:tc>
              <w:tc>
                <w:tcPr>
                  <w:tcW w:w="385" w:type="pct"/>
                  <w:vAlign w:val="center"/>
                </w:tcPr>
                <w:p w14:paraId="68EFCC76">
                  <w:pPr>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T</w:t>
                  </w:r>
                </w:p>
              </w:tc>
              <w:tc>
                <w:tcPr>
                  <w:tcW w:w="401" w:type="pct"/>
                  <w:vAlign w:val="center"/>
                </w:tcPr>
                <w:p w14:paraId="1624121E">
                  <w:pPr>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HW49</w:t>
                  </w:r>
                </w:p>
              </w:tc>
              <w:tc>
                <w:tcPr>
                  <w:tcW w:w="733" w:type="pct"/>
                  <w:vAlign w:val="center"/>
                </w:tcPr>
                <w:p w14:paraId="0F843FCE">
                  <w:pPr>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900-039-49</w:t>
                  </w:r>
                </w:p>
              </w:tc>
              <w:tc>
                <w:tcPr>
                  <w:tcW w:w="628" w:type="pct"/>
                  <w:vAlign w:val="center"/>
                </w:tcPr>
                <w:p w14:paraId="40F45B54">
                  <w:pPr>
                    <w:adjustRightInd w:val="0"/>
                    <w:snapToGrid w:val="0"/>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 w:val="21"/>
                      <w:szCs w:val="21"/>
                      <w:lang w:val="en-US" w:eastAsia="zh-CN"/>
                    </w:rPr>
                    <w:t>2.001</w:t>
                  </w:r>
                </w:p>
              </w:tc>
              <w:tc>
                <w:tcPr>
                  <w:tcW w:w="464" w:type="pct"/>
                  <w:vMerge w:val="continue"/>
                  <w:vAlign w:val="center"/>
                </w:tcPr>
                <w:p w14:paraId="0EBD2A97">
                  <w:pPr>
                    <w:adjustRightInd w:val="0"/>
                    <w:snapToGrid w:val="0"/>
                    <w:jc w:val="center"/>
                    <w:rPr>
                      <w:rFonts w:hint="default" w:ascii="Times New Roman" w:hAnsi="Times New Roman" w:eastAsia="宋体" w:cs="Times New Roman"/>
                      <w:color w:val="auto"/>
                      <w:szCs w:val="21"/>
                    </w:rPr>
                  </w:pPr>
                </w:p>
              </w:tc>
              <w:tc>
                <w:tcPr>
                  <w:tcW w:w="507" w:type="pct"/>
                  <w:vMerge w:val="continue"/>
                  <w:vAlign w:val="center"/>
                </w:tcPr>
                <w:p w14:paraId="5BA564CC">
                  <w:pPr>
                    <w:adjustRightInd w:val="0"/>
                    <w:snapToGrid w:val="0"/>
                    <w:jc w:val="center"/>
                    <w:rPr>
                      <w:rFonts w:hint="default" w:ascii="Times New Roman" w:hAnsi="Times New Roman" w:eastAsia="宋体" w:cs="Times New Roman"/>
                      <w:color w:val="auto"/>
                      <w:szCs w:val="21"/>
                    </w:rPr>
                  </w:pPr>
                </w:p>
              </w:tc>
            </w:tr>
          </w:tbl>
          <w:p w14:paraId="70E1544B">
            <w:pPr>
              <w:adjustRightInd w:val="0"/>
              <w:snapToGrid w:val="0"/>
              <w:spacing w:line="500" w:lineRule="exact"/>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4、固废环境影响分析</w:t>
            </w:r>
          </w:p>
          <w:p w14:paraId="2EA0B022">
            <w:pPr>
              <w:adjustRightInd w:val="0"/>
              <w:snapToGrid w:val="0"/>
              <w:spacing w:line="5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临时贮存可行性分析：</w:t>
            </w:r>
          </w:p>
          <w:p w14:paraId="2172EF6E">
            <w:pPr>
              <w:adjustRightInd w:val="0"/>
              <w:snapToGrid w:val="0"/>
              <w:spacing w:line="5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项目产生的废物应分类收集、分类贮存，并张贴标签储存在专门的场所内，一般固废、生活垃圾、危险废物应分开储存，不得混放。危废每季度周转一次，危废暂存场所按照《危险废物贮存污染控制标准》规范要求设置，设有防风、防雨、防晒、防渗漏等措施，并设置危险废物标识和警示牌。各堆场场所按照《环境保护图形标志-固体废物贮存（处置场）》设置标示牌。</w:t>
            </w:r>
          </w:p>
          <w:p w14:paraId="6F2EA7E0">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根据《省生态环境厅关于进一步加强危险废物污染防治工作的实施意见》（苏环办</w:t>
            </w:r>
            <w:r>
              <w:rPr>
                <w:rFonts w:hint="default" w:ascii="Times New Roman" w:hAnsi="Times New Roman" w:eastAsia="宋体" w:cs="Times New Roman"/>
                <w:bCs/>
                <w:color w:val="auto"/>
                <w:sz w:val="24"/>
                <w:lang w:eastAsia="zh-CN"/>
              </w:rPr>
              <w:t>〔2019〕327号</w:t>
            </w:r>
            <w:r>
              <w:rPr>
                <w:rFonts w:hint="default" w:ascii="Times New Roman" w:hAnsi="Times New Roman" w:eastAsia="宋体" w:cs="Times New Roman"/>
                <w:bCs/>
                <w:color w:val="auto"/>
                <w:sz w:val="24"/>
              </w:rPr>
              <w:t>）要求，企业应根据危险废物的种类和特性进行分区、分类贮存，设置防雨、防火、防雷、防扬散、防渗漏装置及泄漏液体收集装置。对易爆、易燃及排出有毒气体的危险废物进行预处理，稳定后贮存，否则按易爆、易燃危险品贮存。贮存废弃剧毒化学品的，应按照公安机关要求落实治安防范措施。</w:t>
            </w:r>
            <w:r>
              <w:rPr>
                <w:rFonts w:hint="default" w:ascii="Times New Roman" w:hAnsi="Times New Roman" w:eastAsia="宋体" w:cs="Times New Roman"/>
                <w:bCs/>
                <w:color w:val="auto"/>
                <w:sz w:val="24"/>
                <w:lang w:val="en-US" w:eastAsia="zh-CN"/>
              </w:rPr>
              <w:t>危险废物经营单位需制定废物入场控制措施，并不得接受核准经营许可以外的种类；贮存设施周转的累积贮存量不得超过年许可经营能力的六分之一，贮存期限原则上不得超过三个月。</w:t>
            </w:r>
          </w:p>
          <w:p w14:paraId="6F5CA9A6">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本项目危险废物贮存场所基本情况详见</w:t>
            </w:r>
            <w:r>
              <w:rPr>
                <w:rFonts w:hint="default" w:ascii="Times New Roman" w:hAnsi="Times New Roman" w:eastAsia="宋体" w:cs="Times New Roman"/>
                <w:bCs/>
                <w:color w:val="auto"/>
                <w:sz w:val="24"/>
              </w:rPr>
              <w:t>下</w:t>
            </w:r>
            <w:r>
              <w:rPr>
                <w:rFonts w:hint="default" w:ascii="Times New Roman" w:hAnsi="Times New Roman" w:eastAsia="宋体" w:cs="Times New Roman"/>
                <w:bCs/>
                <w:color w:val="auto"/>
                <w:sz w:val="24"/>
                <w:lang w:val="en-US" w:eastAsia="zh-CN"/>
              </w:rPr>
              <w:t>表。</w:t>
            </w:r>
          </w:p>
          <w:p w14:paraId="13941237">
            <w:pPr>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表4-</w:t>
            </w:r>
            <w:r>
              <w:rPr>
                <w:rFonts w:hint="default" w:ascii="Times New Roman" w:hAnsi="Times New Roman" w:eastAsia="宋体" w:cs="Times New Roman"/>
                <w:b/>
                <w:color w:val="auto"/>
                <w:szCs w:val="21"/>
                <w:lang w:val="en-US" w:eastAsia="zh-CN"/>
              </w:rPr>
              <w:t xml:space="preserve">19 </w:t>
            </w:r>
            <w:r>
              <w:rPr>
                <w:rFonts w:hint="default" w:ascii="Times New Roman" w:hAnsi="Times New Roman" w:eastAsia="宋体" w:cs="Times New Roman"/>
                <w:b/>
                <w:color w:val="auto"/>
                <w:szCs w:val="21"/>
              </w:rPr>
              <w:t>项目</w:t>
            </w:r>
            <w:r>
              <w:rPr>
                <w:rFonts w:hint="default" w:ascii="Times New Roman" w:hAnsi="Times New Roman" w:eastAsia="宋体" w:cs="Times New Roman"/>
                <w:b/>
                <w:bCs/>
                <w:color w:val="auto"/>
                <w:szCs w:val="21"/>
              </w:rPr>
              <w:t>危险废物贮存场所情况表</w:t>
            </w:r>
          </w:p>
          <w:tbl>
            <w:tblPr>
              <w:tblStyle w:val="2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9"/>
              <w:gridCol w:w="1309"/>
              <w:gridCol w:w="660"/>
              <w:gridCol w:w="646"/>
              <w:gridCol w:w="1190"/>
              <w:gridCol w:w="748"/>
              <w:gridCol w:w="686"/>
              <w:gridCol w:w="663"/>
              <w:gridCol w:w="660"/>
              <w:gridCol w:w="844"/>
              <w:gridCol w:w="1044"/>
            </w:tblGrid>
            <w:tr w14:paraId="158C93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5D52C723">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740" w:type="pct"/>
                  <w:noWrap w:val="0"/>
                  <w:tcMar>
                    <w:top w:w="0" w:type="dxa"/>
                    <w:left w:w="11" w:type="dxa"/>
                    <w:bottom w:w="0" w:type="dxa"/>
                    <w:right w:w="11" w:type="dxa"/>
                  </w:tcMar>
                  <w:vAlign w:val="center"/>
                </w:tcPr>
                <w:p w14:paraId="6742ABDD">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名称</w:t>
                  </w:r>
                </w:p>
              </w:tc>
              <w:tc>
                <w:tcPr>
                  <w:tcW w:w="373" w:type="pct"/>
                  <w:noWrap w:val="0"/>
                  <w:tcMar>
                    <w:top w:w="0" w:type="dxa"/>
                    <w:left w:w="11" w:type="dxa"/>
                    <w:bottom w:w="0" w:type="dxa"/>
                    <w:right w:w="11" w:type="dxa"/>
                  </w:tcMar>
                  <w:vAlign w:val="center"/>
                </w:tcPr>
                <w:p w14:paraId="220D84E4">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属性</w:t>
                  </w:r>
                </w:p>
              </w:tc>
              <w:tc>
                <w:tcPr>
                  <w:tcW w:w="365" w:type="pct"/>
                  <w:noWrap w:val="0"/>
                  <w:tcMar>
                    <w:top w:w="0" w:type="dxa"/>
                    <w:left w:w="11" w:type="dxa"/>
                    <w:bottom w:w="0" w:type="dxa"/>
                    <w:right w:w="11" w:type="dxa"/>
                  </w:tcMar>
                  <w:vAlign w:val="center"/>
                </w:tcPr>
                <w:p w14:paraId="746126C1">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类别</w:t>
                  </w:r>
                </w:p>
              </w:tc>
              <w:tc>
                <w:tcPr>
                  <w:tcW w:w="672" w:type="pct"/>
                  <w:noWrap w:val="0"/>
                  <w:tcMar>
                    <w:top w:w="0" w:type="dxa"/>
                    <w:left w:w="11" w:type="dxa"/>
                    <w:bottom w:w="0" w:type="dxa"/>
                    <w:right w:w="11" w:type="dxa"/>
                  </w:tcMar>
                  <w:vAlign w:val="center"/>
                </w:tcPr>
                <w:p w14:paraId="46C603E9">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代码</w:t>
                  </w:r>
                </w:p>
              </w:tc>
              <w:tc>
                <w:tcPr>
                  <w:tcW w:w="423" w:type="pct"/>
                  <w:noWrap w:val="0"/>
                  <w:tcMar>
                    <w:top w:w="0" w:type="dxa"/>
                    <w:left w:w="11" w:type="dxa"/>
                    <w:bottom w:w="0" w:type="dxa"/>
                    <w:right w:w="11" w:type="dxa"/>
                  </w:tcMar>
                  <w:vAlign w:val="center"/>
                </w:tcPr>
                <w:p w14:paraId="4558EA9D">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产生量t/a</w:t>
                  </w:r>
                </w:p>
              </w:tc>
              <w:tc>
                <w:tcPr>
                  <w:tcW w:w="388" w:type="pct"/>
                  <w:noWrap w:val="0"/>
                  <w:tcMar>
                    <w:top w:w="0" w:type="dxa"/>
                    <w:left w:w="11" w:type="dxa"/>
                    <w:bottom w:w="0" w:type="dxa"/>
                    <w:right w:w="11" w:type="dxa"/>
                  </w:tcMar>
                  <w:vAlign w:val="center"/>
                </w:tcPr>
                <w:p w14:paraId="4CA55D83">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贮存方式</w:t>
                  </w:r>
                </w:p>
              </w:tc>
              <w:tc>
                <w:tcPr>
                  <w:tcW w:w="375" w:type="pct"/>
                  <w:noWrap w:val="0"/>
                  <w:tcMar>
                    <w:top w:w="0" w:type="dxa"/>
                    <w:left w:w="11" w:type="dxa"/>
                    <w:bottom w:w="0" w:type="dxa"/>
                    <w:right w:w="11" w:type="dxa"/>
                  </w:tcMar>
                  <w:vAlign w:val="center"/>
                </w:tcPr>
                <w:p w14:paraId="0E971BD9">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贮存周期</w:t>
                  </w:r>
                </w:p>
              </w:tc>
              <w:tc>
                <w:tcPr>
                  <w:tcW w:w="373" w:type="pct"/>
                  <w:noWrap w:val="0"/>
                  <w:tcMar>
                    <w:top w:w="0" w:type="dxa"/>
                    <w:left w:w="11" w:type="dxa"/>
                    <w:bottom w:w="0" w:type="dxa"/>
                    <w:right w:w="11" w:type="dxa"/>
                  </w:tcMar>
                  <w:vAlign w:val="center"/>
                </w:tcPr>
                <w:p w14:paraId="478EE31D">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占地面积m</w:t>
                  </w:r>
                  <w:r>
                    <w:rPr>
                      <w:rFonts w:hint="default" w:ascii="Times New Roman" w:hAnsi="Times New Roman" w:eastAsia="宋体" w:cs="Times New Roman"/>
                      <w:b/>
                      <w:bCs/>
                      <w:color w:val="auto"/>
                      <w:sz w:val="21"/>
                      <w:szCs w:val="21"/>
                      <w:vertAlign w:val="superscript"/>
                    </w:rPr>
                    <w:t>2</w:t>
                  </w:r>
                </w:p>
              </w:tc>
              <w:tc>
                <w:tcPr>
                  <w:tcW w:w="477" w:type="pct"/>
                  <w:noWrap w:val="0"/>
                  <w:tcMar>
                    <w:top w:w="0" w:type="dxa"/>
                    <w:left w:w="11" w:type="dxa"/>
                    <w:bottom w:w="0" w:type="dxa"/>
                    <w:right w:w="11" w:type="dxa"/>
                  </w:tcMar>
                  <w:vAlign w:val="center"/>
                </w:tcPr>
                <w:p w14:paraId="3AFE3CF7">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设计最大贮存量t</w:t>
                  </w:r>
                </w:p>
              </w:tc>
              <w:tc>
                <w:tcPr>
                  <w:tcW w:w="590" w:type="pct"/>
                  <w:noWrap w:val="0"/>
                  <w:tcMar>
                    <w:top w:w="0" w:type="dxa"/>
                    <w:left w:w="11" w:type="dxa"/>
                    <w:bottom w:w="0" w:type="dxa"/>
                    <w:right w:w="11" w:type="dxa"/>
                  </w:tcMar>
                  <w:vAlign w:val="center"/>
                </w:tcPr>
                <w:p w14:paraId="6E9F59BA">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贮存位置</w:t>
                  </w:r>
                </w:p>
              </w:tc>
            </w:tr>
            <w:tr w14:paraId="0E2CB6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6038B200">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09" w:type="dxa"/>
                  <w:noWrap w:val="0"/>
                  <w:tcMar>
                    <w:top w:w="0" w:type="dxa"/>
                    <w:left w:w="11" w:type="dxa"/>
                    <w:bottom w:w="0" w:type="dxa"/>
                    <w:right w:w="11" w:type="dxa"/>
                  </w:tcMar>
                  <w:vAlign w:val="center"/>
                </w:tcPr>
                <w:p w14:paraId="08BB8B39">
                  <w:pPr>
                    <w:pStyle w:val="6"/>
                    <w:adjustRightInd w:val="0"/>
                    <w:snapToGrid w:val="0"/>
                    <w:ind w:firstLine="0" w:firstLineChars="0"/>
                    <w:jc w:val="center"/>
                    <w:rPr>
                      <w:rFonts w:hint="default" w:ascii="Times New Roman" w:hAnsi="Times New Roman" w:eastAsia="宋体" w:cs="Times New Roman"/>
                      <w:bCs/>
                      <w:color w:val="auto"/>
                      <w:spacing w:val="-10"/>
                      <w:szCs w:val="21"/>
                    </w:rPr>
                  </w:pPr>
                  <w:r>
                    <w:rPr>
                      <w:rFonts w:hint="default" w:ascii="Times New Roman" w:hAnsi="Times New Roman" w:eastAsia="宋体" w:cs="Times New Roman"/>
                      <w:b w:val="0"/>
                      <w:bCs w:val="0"/>
                      <w:color w:val="auto"/>
                      <w:sz w:val="21"/>
                      <w:szCs w:val="21"/>
                      <w:highlight w:val="none"/>
                      <w:lang w:val="en-US" w:eastAsia="zh-CN"/>
                    </w:rPr>
                    <w:t>废网版</w:t>
                  </w:r>
                </w:p>
              </w:tc>
              <w:tc>
                <w:tcPr>
                  <w:tcW w:w="373" w:type="pct"/>
                  <w:vMerge w:val="restart"/>
                  <w:noWrap w:val="0"/>
                  <w:tcMar>
                    <w:top w:w="0" w:type="dxa"/>
                    <w:left w:w="11" w:type="dxa"/>
                    <w:bottom w:w="0" w:type="dxa"/>
                    <w:right w:w="11" w:type="dxa"/>
                  </w:tcMar>
                  <w:vAlign w:val="center"/>
                </w:tcPr>
                <w:p w14:paraId="0A0F0771">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危险废物</w:t>
                  </w:r>
                </w:p>
              </w:tc>
              <w:tc>
                <w:tcPr>
                  <w:tcW w:w="646" w:type="dxa"/>
                  <w:noWrap w:val="0"/>
                  <w:tcMar>
                    <w:top w:w="0" w:type="dxa"/>
                    <w:left w:w="11" w:type="dxa"/>
                    <w:bottom w:w="0" w:type="dxa"/>
                    <w:right w:w="11" w:type="dxa"/>
                  </w:tcMar>
                  <w:vAlign w:val="center"/>
                </w:tcPr>
                <w:p w14:paraId="442CFCFC">
                  <w:pPr>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Cs w:val="21"/>
                    </w:rPr>
                    <w:t>HW</w:t>
                  </w:r>
                  <w:r>
                    <w:rPr>
                      <w:rFonts w:hint="default" w:ascii="Times New Roman" w:hAnsi="Times New Roman" w:eastAsia="宋体" w:cs="Times New Roman"/>
                      <w:color w:val="auto"/>
                      <w:szCs w:val="21"/>
                      <w:lang w:val="en-US" w:eastAsia="zh-CN"/>
                    </w:rPr>
                    <w:t>12</w:t>
                  </w:r>
                </w:p>
              </w:tc>
              <w:tc>
                <w:tcPr>
                  <w:tcW w:w="1190" w:type="dxa"/>
                  <w:noWrap w:val="0"/>
                  <w:tcMar>
                    <w:top w:w="0" w:type="dxa"/>
                    <w:left w:w="11" w:type="dxa"/>
                    <w:bottom w:w="0" w:type="dxa"/>
                    <w:right w:w="11" w:type="dxa"/>
                  </w:tcMar>
                  <w:vAlign w:val="center"/>
                </w:tcPr>
                <w:p w14:paraId="6D956860">
                  <w:pPr>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900-</w:t>
                  </w:r>
                  <w:r>
                    <w:rPr>
                      <w:rFonts w:hint="default" w:ascii="Times New Roman" w:hAnsi="Times New Roman" w:eastAsia="宋体" w:cs="Times New Roman"/>
                      <w:color w:val="auto"/>
                      <w:szCs w:val="21"/>
                      <w:lang w:val="en-US" w:eastAsia="zh-CN"/>
                    </w:rPr>
                    <w:t>253</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12</w:t>
                  </w:r>
                </w:p>
              </w:tc>
              <w:tc>
                <w:tcPr>
                  <w:tcW w:w="748" w:type="dxa"/>
                  <w:noWrap w:val="0"/>
                  <w:tcMar>
                    <w:top w:w="0" w:type="dxa"/>
                    <w:left w:w="11" w:type="dxa"/>
                    <w:bottom w:w="0" w:type="dxa"/>
                    <w:right w:w="11" w:type="dxa"/>
                  </w:tcMar>
                  <w:vAlign w:val="center"/>
                </w:tcPr>
                <w:p w14:paraId="6F47980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bCs/>
                      <w:color w:val="auto"/>
                      <w:kern w:val="2"/>
                      <w:sz w:val="21"/>
                      <w:szCs w:val="21"/>
                      <w:lang w:val="en-US" w:eastAsia="zh-CN" w:bidi="ar-SA"/>
                    </w:rPr>
                    <w:t>0.01</w:t>
                  </w:r>
                </w:p>
              </w:tc>
              <w:tc>
                <w:tcPr>
                  <w:tcW w:w="388" w:type="pct"/>
                  <w:noWrap w:val="0"/>
                  <w:tcMar>
                    <w:top w:w="0" w:type="dxa"/>
                    <w:left w:w="11" w:type="dxa"/>
                    <w:bottom w:w="0" w:type="dxa"/>
                    <w:right w:w="11" w:type="dxa"/>
                  </w:tcMar>
                  <w:vAlign w:val="center"/>
                </w:tcPr>
                <w:p w14:paraId="635DCCC7">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袋装</w:t>
                  </w:r>
                </w:p>
              </w:tc>
              <w:tc>
                <w:tcPr>
                  <w:tcW w:w="375" w:type="pct"/>
                  <w:noWrap w:val="0"/>
                  <w:tcMar>
                    <w:top w:w="0" w:type="dxa"/>
                    <w:left w:w="11" w:type="dxa"/>
                    <w:bottom w:w="0" w:type="dxa"/>
                    <w:right w:w="11" w:type="dxa"/>
                  </w:tcMar>
                  <w:vAlign w:val="center"/>
                </w:tcPr>
                <w:p w14:paraId="1F33EEB2">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个月</w:t>
                  </w:r>
                </w:p>
              </w:tc>
              <w:tc>
                <w:tcPr>
                  <w:tcW w:w="373" w:type="pct"/>
                  <w:noWrap w:val="0"/>
                  <w:tcMar>
                    <w:top w:w="0" w:type="dxa"/>
                    <w:left w:w="11" w:type="dxa"/>
                    <w:bottom w:w="0" w:type="dxa"/>
                    <w:right w:w="11" w:type="dxa"/>
                  </w:tcMar>
                  <w:vAlign w:val="center"/>
                </w:tcPr>
                <w:p w14:paraId="5B0743C5">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477" w:type="pct"/>
                  <w:noWrap w:val="0"/>
                  <w:tcMar>
                    <w:top w:w="0" w:type="dxa"/>
                    <w:left w:w="11" w:type="dxa"/>
                    <w:bottom w:w="0" w:type="dxa"/>
                    <w:right w:w="11" w:type="dxa"/>
                  </w:tcMar>
                  <w:vAlign w:val="center"/>
                </w:tcPr>
                <w:p w14:paraId="06462C65">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0.002</w:t>
                  </w:r>
                </w:p>
              </w:tc>
              <w:tc>
                <w:tcPr>
                  <w:tcW w:w="590" w:type="pct"/>
                  <w:vMerge w:val="restart"/>
                  <w:noWrap w:val="0"/>
                  <w:tcMar>
                    <w:top w:w="0" w:type="dxa"/>
                    <w:left w:w="11" w:type="dxa"/>
                    <w:bottom w:w="0" w:type="dxa"/>
                    <w:right w:w="11" w:type="dxa"/>
                  </w:tcMar>
                  <w:vAlign w:val="center"/>
                </w:tcPr>
                <w:p w14:paraId="579A1FBE">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危废仓库</w:t>
                  </w:r>
                </w:p>
              </w:tc>
            </w:tr>
            <w:tr w14:paraId="5F43C9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2CF1112E">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1309" w:type="dxa"/>
                  <w:noWrap w:val="0"/>
                  <w:tcMar>
                    <w:top w:w="0" w:type="dxa"/>
                    <w:left w:w="11" w:type="dxa"/>
                    <w:bottom w:w="0" w:type="dxa"/>
                    <w:right w:w="11" w:type="dxa"/>
                  </w:tcMar>
                  <w:vAlign w:val="center"/>
                </w:tcPr>
                <w:p w14:paraId="0933C290">
                  <w:pPr>
                    <w:pStyle w:val="6"/>
                    <w:adjustRightInd w:val="0"/>
                    <w:snapToGrid w:val="0"/>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清洗废液</w:t>
                  </w:r>
                </w:p>
              </w:tc>
              <w:tc>
                <w:tcPr>
                  <w:tcW w:w="373" w:type="pct"/>
                  <w:vMerge w:val="continue"/>
                  <w:noWrap w:val="0"/>
                  <w:tcMar>
                    <w:top w:w="0" w:type="dxa"/>
                    <w:left w:w="11" w:type="dxa"/>
                    <w:bottom w:w="0" w:type="dxa"/>
                    <w:right w:w="11" w:type="dxa"/>
                  </w:tcMar>
                  <w:vAlign w:val="center"/>
                </w:tcPr>
                <w:p w14:paraId="0FD6AC27">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p>
              </w:tc>
              <w:tc>
                <w:tcPr>
                  <w:tcW w:w="646" w:type="dxa"/>
                  <w:noWrap w:val="0"/>
                  <w:tcMar>
                    <w:top w:w="0" w:type="dxa"/>
                    <w:left w:w="11" w:type="dxa"/>
                    <w:bottom w:w="0" w:type="dxa"/>
                    <w:right w:w="11" w:type="dxa"/>
                  </w:tcMar>
                  <w:vAlign w:val="center"/>
                </w:tcPr>
                <w:p w14:paraId="672945A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FF0000"/>
                      <w:szCs w:val="21"/>
                    </w:rPr>
                    <w:t>HW</w:t>
                  </w:r>
                  <w:r>
                    <w:rPr>
                      <w:rFonts w:hint="default" w:ascii="Times New Roman" w:hAnsi="Times New Roman" w:eastAsia="宋体" w:cs="Times New Roman"/>
                      <w:color w:val="FF0000"/>
                      <w:szCs w:val="21"/>
                      <w:lang w:val="en-US" w:eastAsia="zh-CN"/>
                    </w:rPr>
                    <w:t>17</w:t>
                  </w:r>
                </w:p>
              </w:tc>
              <w:tc>
                <w:tcPr>
                  <w:tcW w:w="1190" w:type="dxa"/>
                  <w:noWrap w:val="0"/>
                  <w:tcMar>
                    <w:top w:w="0" w:type="dxa"/>
                    <w:left w:w="11" w:type="dxa"/>
                    <w:bottom w:w="0" w:type="dxa"/>
                    <w:right w:w="11" w:type="dxa"/>
                  </w:tcMar>
                  <w:vAlign w:val="center"/>
                </w:tcPr>
                <w:p w14:paraId="44E422F3">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FF0000"/>
                      <w:szCs w:val="21"/>
                      <w:lang w:val="en-US" w:eastAsia="zh-CN"/>
                    </w:rPr>
                    <w:t>336</w:t>
                  </w:r>
                  <w:r>
                    <w:rPr>
                      <w:rFonts w:hint="default" w:ascii="Times New Roman" w:hAnsi="Times New Roman" w:eastAsia="宋体" w:cs="Times New Roman"/>
                      <w:color w:val="FF0000"/>
                      <w:szCs w:val="21"/>
                    </w:rPr>
                    <w:t>-0</w:t>
                  </w:r>
                  <w:r>
                    <w:rPr>
                      <w:rFonts w:hint="default" w:ascii="Times New Roman" w:hAnsi="Times New Roman" w:eastAsia="宋体" w:cs="Times New Roman"/>
                      <w:color w:val="FF0000"/>
                      <w:szCs w:val="21"/>
                      <w:lang w:val="en-US" w:eastAsia="zh-CN"/>
                    </w:rPr>
                    <w:t>64</w:t>
                  </w:r>
                  <w:r>
                    <w:rPr>
                      <w:rFonts w:hint="default" w:ascii="Times New Roman" w:hAnsi="Times New Roman" w:eastAsia="宋体" w:cs="Times New Roman"/>
                      <w:color w:val="FF0000"/>
                      <w:szCs w:val="21"/>
                    </w:rPr>
                    <w:t>-</w:t>
                  </w:r>
                  <w:r>
                    <w:rPr>
                      <w:rFonts w:hint="default" w:ascii="Times New Roman" w:hAnsi="Times New Roman" w:eastAsia="宋体" w:cs="Times New Roman"/>
                      <w:color w:val="FF0000"/>
                      <w:szCs w:val="21"/>
                      <w:lang w:val="en-US" w:eastAsia="zh-CN"/>
                    </w:rPr>
                    <w:t>17</w:t>
                  </w:r>
                </w:p>
              </w:tc>
              <w:tc>
                <w:tcPr>
                  <w:tcW w:w="748" w:type="dxa"/>
                  <w:noWrap w:val="0"/>
                  <w:tcMar>
                    <w:top w:w="0" w:type="dxa"/>
                    <w:left w:w="11" w:type="dxa"/>
                    <w:bottom w:w="0" w:type="dxa"/>
                    <w:right w:w="11" w:type="dxa"/>
                  </w:tcMar>
                  <w:vAlign w:val="center"/>
                </w:tcPr>
                <w:p w14:paraId="79100D70">
                  <w:pPr>
                    <w:adjustRightInd w:val="0"/>
                    <w:snapToGrid w:val="0"/>
                    <w:jc w:val="center"/>
                    <w:rPr>
                      <w:rFonts w:hint="default" w:ascii="Times New Roman" w:hAnsi="Times New Roman" w:eastAsia="宋体" w:cs="Times New Roman"/>
                      <w:bCs/>
                      <w:color w:val="FF0000"/>
                      <w:kern w:val="2"/>
                      <w:sz w:val="21"/>
                      <w:szCs w:val="21"/>
                      <w:lang w:val="en-US" w:eastAsia="zh-CN" w:bidi="ar-SA"/>
                    </w:rPr>
                  </w:pPr>
                  <w:r>
                    <w:rPr>
                      <w:rFonts w:hint="eastAsia" w:cs="Times New Roman"/>
                      <w:bCs/>
                      <w:color w:val="FF0000"/>
                      <w:kern w:val="2"/>
                      <w:sz w:val="21"/>
                      <w:szCs w:val="21"/>
                      <w:lang w:val="en-US" w:eastAsia="zh-CN" w:bidi="ar-SA"/>
                    </w:rPr>
                    <w:t>8</w:t>
                  </w:r>
                </w:p>
              </w:tc>
              <w:tc>
                <w:tcPr>
                  <w:tcW w:w="388" w:type="pct"/>
                  <w:noWrap w:val="0"/>
                  <w:tcMar>
                    <w:top w:w="0" w:type="dxa"/>
                    <w:left w:w="11" w:type="dxa"/>
                    <w:bottom w:w="0" w:type="dxa"/>
                    <w:right w:w="11" w:type="dxa"/>
                  </w:tcMar>
                  <w:vAlign w:val="center"/>
                </w:tcPr>
                <w:p w14:paraId="4B94BD91">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桶装</w:t>
                  </w:r>
                </w:p>
              </w:tc>
              <w:tc>
                <w:tcPr>
                  <w:tcW w:w="375" w:type="pct"/>
                  <w:noWrap w:val="0"/>
                  <w:tcMar>
                    <w:top w:w="0" w:type="dxa"/>
                    <w:left w:w="11" w:type="dxa"/>
                    <w:bottom w:w="0" w:type="dxa"/>
                    <w:right w:w="11" w:type="dxa"/>
                  </w:tcMar>
                  <w:vAlign w:val="center"/>
                </w:tcPr>
                <w:p w14:paraId="3FD76282">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rPr>
                    <w:t>3个月</w:t>
                  </w:r>
                </w:p>
              </w:tc>
              <w:tc>
                <w:tcPr>
                  <w:tcW w:w="373" w:type="pct"/>
                  <w:noWrap w:val="0"/>
                  <w:tcMar>
                    <w:top w:w="0" w:type="dxa"/>
                    <w:left w:w="11" w:type="dxa"/>
                    <w:bottom w:w="0" w:type="dxa"/>
                    <w:right w:w="11" w:type="dxa"/>
                  </w:tcMar>
                  <w:vAlign w:val="center"/>
                </w:tcPr>
                <w:p w14:paraId="17615F9A">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2</w:t>
                  </w:r>
                </w:p>
              </w:tc>
              <w:tc>
                <w:tcPr>
                  <w:tcW w:w="477" w:type="pct"/>
                  <w:noWrap w:val="0"/>
                  <w:tcMar>
                    <w:top w:w="0" w:type="dxa"/>
                    <w:left w:w="11" w:type="dxa"/>
                    <w:bottom w:w="0" w:type="dxa"/>
                    <w:right w:w="11" w:type="dxa"/>
                  </w:tcMar>
                  <w:vAlign w:val="center"/>
                </w:tcPr>
                <w:p w14:paraId="5C825785">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2</w:t>
                  </w:r>
                </w:p>
              </w:tc>
              <w:tc>
                <w:tcPr>
                  <w:tcW w:w="590" w:type="pct"/>
                  <w:vMerge w:val="continue"/>
                  <w:noWrap w:val="0"/>
                  <w:tcMar>
                    <w:top w:w="0" w:type="dxa"/>
                    <w:left w:w="11" w:type="dxa"/>
                    <w:bottom w:w="0" w:type="dxa"/>
                    <w:right w:w="11" w:type="dxa"/>
                  </w:tcMar>
                  <w:vAlign w:val="center"/>
                </w:tcPr>
                <w:p w14:paraId="21AF10FE">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205217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216F9BE2">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3</w:t>
                  </w:r>
                </w:p>
              </w:tc>
              <w:tc>
                <w:tcPr>
                  <w:tcW w:w="1309" w:type="dxa"/>
                  <w:noWrap w:val="0"/>
                  <w:tcMar>
                    <w:top w:w="0" w:type="dxa"/>
                    <w:left w:w="11" w:type="dxa"/>
                    <w:bottom w:w="0" w:type="dxa"/>
                    <w:right w:w="11" w:type="dxa"/>
                  </w:tcMar>
                  <w:vAlign w:val="center"/>
                </w:tcPr>
                <w:p w14:paraId="28CD5D7D">
                  <w:pPr>
                    <w:pStyle w:val="6"/>
                    <w:adjustRightInd w:val="0"/>
                    <w:snapToGrid w:val="0"/>
                    <w:ind w:firstLine="0" w:firstLineChars="0"/>
                    <w:jc w:val="center"/>
                    <w:rPr>
                      <w:rFonts w:hint="default" w:ascii="Times New Roman" w:hAnsi="Times New Roman" w:eastAsia="宋体" w:cs="Times New Roman"/>
                      <w:bCs/>
                      <w:color w:val="auto"/>
                      <w:spacing w:val="-10"/>
                      <w:szCs w:val="21"/>
                    </w:rPr>
                  </w:pPr>
                  <w:r>
                    <w:rPr>
                      <w:rFonts w:hint="default" w:ascii="Times New Roman" w:hAnsi="Times New Roman" w:eastAsia="宋体" w:cs="Times New Roman"/>
                      <w:b w:val="0"/>
                      <w:bCs w:val="0"/>
                      <w:color w:val="auto"/>
                      <w:sz w:val="21"/>
                      <w:szCs w:val="21"/>
                      <w:highlight w:val="none"/>
                      <w:lang w:val="en-US" w:eastAsia="zh-CN"/>
                    </w:rPr>
                    <w:t>废包装瓶</w:t>
                  </w:r>
                </w:p>
              </w:tc>
              <w:tc>
                <w:tcPr>
                  <w:tcW w:w="373" w:type="pct"/>
                  <w:vMerge w:val="continue"/>
                  <w:noWrap w:val="0"/>
                  <w:tcMar>
                    <w:top w:w="0" w:type="dxa"/>
                    <w:left w:w="11" w:type="dxa"/>
                    <w:bottom w:w="0" w:type="dxa"/>
                    <w:right w:w="11" w:type="dxa"/>
                  </w:tcMar>
                  <w:vAlign w:val="center"/>
                </w:tcPr>
                <w:p w14:paraId="3301DD63">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p>
              </w:tc>
              <w:tc>
                <w:tcPr>
                  <w:tcW w:w="646" w:type="dxa"/>
                  <w:noWrap w:val="0"/>
                  <w:tcMar>
                    <w:top w:w="0" w:type="dxa"/>
                    <w:left w:w="11" w:type="dxa"/>
                    <w:bottom w:w="0" w:type="dxa"/>
                    <w:right w:w="11" w:type="dxa"/>
                  </w:tcMar>
                  <w:vAlign w:val="center"/>
                </w:tcPr>
                <w:p w14:paraId="2341C888">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Cs w:val="21"/>
                    </w:rPr>
                    <w:t>HW49</w:t>
                  </w:r>
                </w:p>
              </w:tc>
              <w:tc>
                <w:tcPr>
                  <w:tcW w:w="1190" w:type="dxa"/>
                  <w:noWrap w:val="0"/>
                  <w:tcMar>
                    <w:top w:w="0" w:type="dxa"/>
                    <w:left w:w="11" w:type="dxa"/>
                    <w:bottom w:w="0" w:type="dxa"/>
                    <w:right w:w="11" w:type="dxa"/>
                  </w:tcMar>
                  <w:vAlign w:val="center"/>
                </w:tcPr>
                <w:p w14:paraId="5CC0FAD7">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Cs w:val="21"/>
                    </w:rPr>
                    <w:t>900-041-49</w:t>
                  </w:r>
                </w:p>
              </w:tc>
              <w:tc>
                <w:tcPr>
                  <w:tcW w:w="748" w:type="dxa"/>
                  <w:noWrap w:val="0"/>
                  <w:tcMar>
                    <w:top w:w="0" w:type="dxa"/>
                    <w:left w:w="11" w:type="dxa"/>
                    <w:bottom w:w="0" w:type="dxa"/>
                    <w:right w:w="11" w:type="dxa"/>
                  </w:tcMar>
                  <w:vAlign w:val="center"/>
                </w:tcPr>
                <w:p w14:paraId="4EA4403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2"/>
                      <w:sz w:val="21"/>
                      <w:szCs w:val="21"/>
                      <w:lang w:val="en-US" w:eastAsia="zh-CN" w:bidi="ar-SA"/>
                    </w:rPr>
                    <w:t>0.048</w:t>
                  </w:r>
                </w:p>
              </w:tc>
              <w:tc>
                <w:tcPr>
                  <w:tcW w:w="388" w:type="pct"/>
                  <w:noWrap w:val="0"/>
                  <w:tcMar>
                    <w:top w:w="0" w:type="dxa"/>
                    <w:left w:w="11" w:type="dxa"/>
                    <w:bottom w:w="0" w:type="dxa"/>
                    <w:right w:w="11" w:type="dxa"/>
                  </w:tcMar>
                  <w:vAlign w:val="center"/>
                </w:tcPr>
                <w:p w14:paraId="7EB2BC8B">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防渗托盘</w:t>
                  </w:r>
                </w:p>
              </w:tc>
              <w:tc>
                <w:tcPr>
                  <w:tcW w:w="375" w:type="pct"/>
                  <w:noWrap w:val="0"/>
                  <w:tcMar>
                    <w:top w:w="0" w:type="dxa"/>
                    <w:left w:w="11" w:type="dxa"/>
                    <w:bottom w:w="0" w:type="dxa"/>
                    <w:right w:w="11" w:type="dxa"/>
                  </w:tcMar>
                  <w:vAlign w:val="center"/>
                </w:tcPr>
                <w:p w14:paraId="33F7A96D">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3个月</w:t>
                  </w:r>
                </w:p>
              </w:tc>
              <w:tc>
                <w:tcPr>
                  <w:tcW w:w="373" w:type="pct"/>
                  <w:noWrap w:val="0"/>
                  <w:tcMar>
                    <w:top w:w="0" w:type="dxa"/>
                    <w:left w:w="11" w:type="dxa"/>
                    <w:bottom w:w="0" w:type="dxa"/>
                    <w:right w:w="11" w:type="dxa"/>
                  </w:tcMar>
                  <w:vAlign w:val="center"/>
                </w:tcPr>
                <w:p w14:paraId="705E97A0">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477" w:type="pct"/>
                  <w:noWrap w:val="0"/>
                  <w:tcMar>
                    <w:top w:w="0" w:type="dxa"/>
                    <w:left w:w="11" w:type="dxa"/>
                    <w:bottom w:w="0" w:type="dxa"/>
                    <w:right w:w="11" w:type="dxa"/>
                  </w:tcMar>
                  <w:vAlign w:val="center"/>
                </w:tcPr>
                <w:p w14:paraId="4FE916C7">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0.012</w:t>
                  </w:r>
                </w:p>
              </w:tc>
              <w:tc>
                <w:tcPr>
                  <w:tcW w:w="590" w:type="pct"/>
                  <w:vMerge w:val="continue"/>
                  <w:noWrap w:val="0"/>
                  <w:tcMar>
                    <w:top w:w="0" w:type="dxa"/>
                    <w:left w:w="11" w:type="dxa"/>
                    <w:bottom w:w="0" w:type="dxa"/>
                    <w:right w:w="11" w:type="dxa"/>
                  </w:tcMar>
                  <w:vAlign w:val="center"/>
                </w:tcPr>
                <w:p w14:paraId="258C14EE">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1CA092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2783301B">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1309" w:type="dxa"/>
                  <w:noWrap w:val="0"/>
                  <w:tcMar>
                    <w:top w:w="0" w:type="dxa"/>
                    <w:left w:w="11" w:type="dxa"/>
                    <w:bottom w:w="0" w:type="dxa"/>
                    <w:right w:w="11" w:type="dxa"/>
                  </w:tcMar>
                  <w:vAlign w:val="center"/>
                </w:tcPr>
                <w:p w14:paraId="1CE7ECF6">
                  <w:pPr>
                    <w:pStyle w:val="6"/>
                    <w:adjustRightInd w:val="0"/>
                    <w:snapToGrid w:val="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373" w:type="pct"/>
                  <w:vMerge w:val="continue"/>
                  <w:noWrap w:val="0"/>
                  <w:tcMar>
                    <w:top w:w="0" w:type="dxa"/>
                    <w:left w:w="11" w:type="dxa"/>
                    <w:bottom w:w="0" w:type="dxa"/>
                    <w:right w:w="11" w:type="dxa"/>
                  </w:tcMar>
                  <w:vAlign w:val="center"/>
                </w:tcPr>
                <w:p w14:paraId="51C48C31">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p>
              </w:tc>
              <w:tc>
                <w:tcPr>
                  <w:tcW w:w="646" w:type="dxa"/>
                  <w:noWrap w:val="0"/>
                  <w:tcMar>
                    <w:top w:w="0" w:type="dxa"/>
                    <w:left w:w="11" w:type="dxa"/>
                    <w:bottom w:w="0" w:type="dxa"/>
                    <w:right w:w="11" w:type="dxa"/>
                  </w:tcMar>
                  <w:vAlign w:val="center"/>
                </w:tcPr>
                <w:p w14:paraId="5B108C54">
                  <w:pPr>
                    <w:adjustRightInd w:val="0"/>
                    <w:snapToGrid w:val="0"/>
                    <w:jc w:val="center"/>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rPr>
                    <w:t>HW49</w:t>
                  </w:r>
                </w:p>
              </w:tc>
              <w:tc>
                <w:tcPr>
                  <w:tcW w:w="1190" w:type="dxa"/>
                  <w:noWrap w:val="0"/>
                  <w:tcMar>
                    <w:top w:w="0" w:type="dxa"/>
                    <w:left w:w="11" w:type="dxa"/>
                    <w:bottom w:w="0" w:type="dxa"/>
                    <w:right w:w="11" w:type="dxa"/>
                  </w:tcMar>
                  <w:vAlign w:val="center"/>
                </w:tcPr>
                <w:p w14:paraId="1885EBD1">
                  <w:pPr>
                    <w:adjustRightInd w:val="0"/>
                    <w:snapToGrid w:val="0"/>
                    <w:jc w:val="center"/>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rPr>
                    <w:t>900-041-49</w:t>
                  </w:r>
                </w:p>
              </w:tc>
              <w:tc>
                <w:tcPr>
                  <w:tcW w:w="748" w:type="dxa"/>
                  <w:noWrap w:val="0"/>
                  <w:tcMar>
                    <w:top w:w="0" w:type="dxa"/>
                    <w:left w:w="11" w:type="dxa"/>
                    <w:bottom w:w="0" w:type="dxa"/>
                    <w:right w:w="11" w:type="dxa"/>
                  </w:tcMar>
                  <w:vAlign w:val="center"/>
                </w:tcPr>
                <w:p w14:paraId="03F6093A">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0.006</w:t>
                  </w:r>
                </w:p>
              </w:tc>
              <w:tc>
                <w:tcPr>
                  <w:tcW w:w="388" w:type="pct"/>
                  <w:noWrap w:val="0"/>
                  <w:tcMar>
                    <w:top w:w="0" w:type="dxa"/>
                    <w:left w:w="11" w:type="dxa"/>
                    <w:bottom w:w="0" w:type="dxa"/>
                    <w:right w:w="11" w:type="dxa"/>
                  </w:tcMar>
                  <w:vAlign w:val="center"/>
                </w:tcPr>
                <w:p w14:paraId="4D652012">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袋装</w:t>
                  </w:r>
                </w:p>
              </w:tc>
              <w:tc>
                <w:tcPr>
                  <w:tcW w:w="375" w:type="pct"/>
                  <w:noWrap w:val="0"/>
                  <w:tcMar>
                    <w:top w:w="0" w:type="dxa"/>
                    <w:left w:w="11" w:type="dxa"/>
                    <w:bottom w:w="0" w:type="dxa"/>
                    <w:right w:w="11" w:type="dxa"/>
                  </w:tcMar>
                  <w:vAlign w:val="center"/>
                </w:tcPr>
                <w:p w14:paraId="363404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3个月</w:t>
                  </w:r>
                </w:p>
              </w:tc>
              <w:tc>
                <w:tcPr>
                  <w:tcW w:w="373" w:type="pct"/>
                  <w:noWrap w:val="0"/>
                  <w:tcMar>
                    <w:top w:w="0" w:type="dxa"/>
                    <w:left w:w="11" w:type="dxa"/>
                    <w:bottom w:w="0" w:type="dxa"/>
                    <w:right w:w="11" w:type="dxa"/>
                  </w:tcMar>
                  <w:vAlign w:val="center"/>
                </w:tcPr>
                <w:p w14:paraId="29896C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477" w:type="pct"/>
                  <w:noWrap w:val="0"/>
                  <w:tcMar>
                    <w:top w:w="0" w:type="dxa"/>
                    <w:left w:w="11" w:type="dxa"/>
                    <w:bottom w:w="0" w:type="dxa"/>
                    <w:right w:w="11" w:type="dxa"/>
                  </w:tcMar>
                  <w:vAlign w:val="center"/>
                </w:tcPr>
                <w:p w14:paraId="307FD856">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0.006</w:t>
                  </w:r>
                </w:p>
              </w:tc>
              <w:tc>
                <w:tcPr>
                  <w:tcW w:w="590" w:type="pct"/>
                  <w:vMerge w:val="continue"/>
                  <w:noWrap w:val="0"/>
                  <w:tcMar>
                    <w:top w:w="0" w:type="dxa"/>
                    <w:left w:w="11" w:type="dxa"/>
                    <w:bottom w:w="0" w:type="dxa"/>
                    <w:right w:w="11" w:type="dxa"/>
                  </w:tcMar>
                  <w:vAlign w:val="center"/>
                </w:tcPr>
                <w:p w14:paraId="23DDF381">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48E2F1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0" w:type="pct"/>
                  <w:noWrap w:val="0"/>
                  <w:tcMar>
                    <w:top w:w="0" w:type="dxa"/>
                    <w:left w:w="11" w:type="dxa"/>
                    <w:bottom w:w="0" w:type="dxa"/>
                    <w:right w:w="11" w:type="dxa"/>
                  </w:tcMar>
                  <w:vAlign w:val="center"/>
                </w:tcPr>
                <w:p w14:paraId="77F3ED46">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1309" w:type="dxa"/>
                  <w:noWrap w:val="0"/>
                  <w:tcMar>
                    <w:top w:w="0" w:type="dxa"/>
                    <w:left w:w="11" w:type="dxa"/>
                    <w:bottom w:w="0" w:type="dxa"/>
                    <w:right w:w="11" w:type="dxa"/>
                  </w:tcMar>
                  <w:vAlign w:val="center"/>
                </w:tcPr>
                <w:p w14:paraId="092A1636">
                  <w:pPr>
                    <w:pStyle w:val="6"/>
                    <w:adjustRightInd w:val="0"/>
                    <w:snapToGrid w:val="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373" w:type="pct"/>
                  <w:vMerge w:val="continue"/>
                  <w:noWrap w:val="0"/>
                  <w:tcMar>
                    <w:top w:w="0" w:type="dxa"/>
                    <w:left w:w="11" w:type="dxa"/>
                    <w:bottom w:w="0" w:type="dxa"/>
                    <w:right w:w="11" w:type="dxa"/>
                  </w:tcMar>
                  <w:vAlign w:val="center"/>
                </w:tcPr>
                <w:p w14:paraId="12451C21">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p>
              </w:tc>
              <w:tc>
                <w:tcPr>
                  <w:tcW w:w="646" w:type="dxa"/>
                  <w:noWrap w:val="0"/>
                  <w:tcMar>
                    <w:top w:w="0" w:type="dxa"/>
                    <w:left w:w="11" w:type="dxa"/>
                    <w:bottom w:w="0" w:type="dxa"/>
                    <w:right w:w="11" w:type="dxa"/>
                  </w:tcMar>
                  <w:vAlign w:val="center"/>
                </w:tcPr>
                <w:p w14:paraId="1DEF0596">
                  <w:pPr>
                    <w:snapToGrid w:val="0"/>
                    <w:jc w:val="center"/>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rPr>
                    <w:t>HW49</w:t>
                  </w:r>
                </w:p>
              </w:tc>
              <w:tc>
                <w:tcPr>
                  <w:tcW w:w="1190" w:type="dxa"/>
                  <w:noWrap w:val="0"/>
                  <w:tcMar>
                    <w:top w:w="0" w:type="dxa"/>
                    <w:left w:w="11" w:type="dxa"/>
                    <w:bottom w:w="0" w:type="dxa"/>
                    <w:right w:w="11" w:type="dxa"/>
                  </w:tcMar>
                  <w:vAlign w:val="center"/>
                </w:tcPr>
                <w:p w14:paraId="232C0444">
                  <w:pPr>
                    <w:snapToGrid w:val="0"/>
                    <w:jc w:val="center"/>
                    <w:rPr>
                      <w:rFonts w:hint="default" w:ascii="Times New Roman" w:hAnsi="Times New Roman" w:eastAsia="宋体" w:cs="Times New Roman"/>
                      <w:color w:val="auto"/>
                      <w:szCs w:val="21"/>
                      <w:lang w:bidi="ar"/>
                    </w:rPr>
                  </w:pPr>
                  <w:r>
                    <w:rPr>
                      <w:rFonts w:hint="default" w:ascii="Times New Roman" w:hAnsi="Times New Roman" w:eastAsia="宋体" w:cs="Times New Roman"/>
                      <w:color w:val="auto"/>
                      <w:szCs w:val="21"/>
                    </w:rPr>
                    <w:t>900-039-49</w:t>
                  </w:r>
                </w:p>
              </w:tc>
              <w:tc>
                <w:tcPr>
                  <w:tcW w:w="748" w:type="dxa"/>
                  <w:noWrap w:val="0"/>
                  <w:tcMar>
                    <w:top w:w="0" w:type="dxa"/>
                    <w:left w:w="11" w:type="dxa"/>
                    <w:bottom w:w="0" w:type="dxa"/>
                    <w:right w:w="11" w:type="dxa"/>
                  </w:tcMar>
                  <w:vAlign w:val="center"/>
                </w:tcPr>
                <w:p w14:paraId="57935CE8">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2.001</w:t>
                  </w:r>
                </w:p>
              </w:tc>
              <w:tc>
                <w:tcPr>
                  <w:tcW w:w="388" w:type="pct"/>
                  <w:noWrap w:val="0"/>
                  <w:tcMar>
                    <w:top w:w="0" w:type="dxa"/>
                    <w:left w:w="11" w:type="dxa"/>
                    <w:bottom w:w="0" w:type="dxa"/>
                    <w:right w:w="11" w:type="dxa"/>
                  </w:tcMar>
                  <w:vAlign w:val="center"/>
                </w:tcPr>
                <w:p w14:paraId="255EF7E1">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袋装</w:t>
                  </w:r>
                </w:p>
              </w:tc>
              <w:tc>
                <w:tcPr>
                  <w:tcW w:w="375" w:type="pct"/>
                  <w:noWrap w:val="0"/>
                  <w:tcMar>
                    <w:top w:w="0" w:type="dxa"/>
                    <w:left w:w="11" w:type="dxa"/>
                    <w:bottom w:w="0" w:type="dxa"/>
                    <w:right w:w="11" w:type="dxa"/>
                  </w:tcMar>
                  <w:vAlign w:val="center"/>
                </w:tcPr>
                <w:p w14:paraId="291EEC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3个月</w:t>
                  </w:r>
                </w:p>
              </w:tc>
              <w:tc>
                <w:tcPr>
                  <w:tcW w:w="373" w:type="pct"/>
                  <w:noWrap w:val="0"/>
                  <w:tcMar>
                    <w:top w:w="0" w:type="dxa"/>
                    <w:left w:w="11" w:type="dxa"/>
                    <w:bottom w:w="0" w:type="dxa"/>
                    <w:right w:w="11" w:type="dxa"/>
                  </w:tcMar>
                  <w:vAlign w:val="center"/>
                </w:tcPr>
                <w:p w14:paraId="2F25E8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477" w:type="pct"/>
                  <w:noWrap w:val="0"/>
                  <w:tcMar>
                    <w:top w:w="0" w:type="dxa"/>
                    <w:left w:w="11" w:type="dxa"/>
                    <w:bottom w:w="0" w:type="dxa"/>
                    <w:right w:w="11" w:type="dxa"/>
                  </w:tcMar>
                  <w:vAlign w:val="center"/>
                </w:tcPr>
                <w:p w14:paraId="7B28E117">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590" w:type="pct"/>
                  <w:vMerge w:val="continue"/>
                  <w:noWrap w:val="0"/>
                  <w:tcMar>
                    <w:top w:w="0" w:type="dxa"/>
                    <w:left w:w="11" w:type="dxa"/>
                    <w:bottom w:w="0" w:type="dxa"/>
                    <w:right w:w="11" w:type="dxa"/>
                  </w:tcMar>
                  <w:vAlign w:val="center"/>
                </w:tcPr>
                <w:p w14:paraId="3FEB55B0">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p>
              </w:tc>
            </w:tr>
            <w:tr w14:paraId="645A27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1" w:type="pct"/>
                  <w:gridSpan w:val="5"/>
                  <w:noWrap w:val="0"/>
                  <w:tcMar>
                    <w:top w:w="0" w:type="dxa"/>
                    <w:left w:w="11" w:type="dxa"/>
                    <w:bottom w:w="0" w:type="dxa"/>
                    <w:right w:w="11" w:type="dxa"/>
                  </w:tcMar>
                  <w:vAlign w:val="center"/>
                </w:tcPr>
                <w:p w14:paraId="529707FA">
                  <w:pPr>
                    <w:pStyle w:val="102"/>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合计</w:t>
                  </w:r>
                </w:p>
              </w:tc>
              <w:tc>
                <w:tcPr>
                  <w:tcW w:w="423" w:type="pct"/>
                  <w:noWrap w:val="0"/>
                  <w:tcMar>
                    <w:top w:w="0" w:type="dxa"/>
                    <w:left w:w="11" w:type="dxa"/>
                    <w:bottom w:w="0" w:type="dxa"/>
                    <w:right w:w="11" w:type="dxa"/>
                  </w:tcMar>
                  <w:vAlign w:val="center"/>
                </w:tcPr>
                <w:p w14:paraId="17A2302B">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88" w:type="pct"/>
                  <w:noWrap w:val="0"/>
                  <w:tcMar>
                    <w:top w:w="0" w:type="dxa"/>
                    <w:left w:w="11" w:type="dxa"/>
                    <w:bottom w:w="0" w:type="dxa"/>
                    <w:right w:w="11" w:type="dxa"/>
                  </w:tcMar>
                  <w:vAlign w:val="center"/>
                </w:tcPr>
                <w:p w14:paraId="69C138FF">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75" w:type="pct"/>
                  <w:noWrap w:val="0"/>
                  <w:tcMar>
                    <w:top w:w="0" w:type="dxa"/>
                    <w:left w:w="11" w:type="dxa"/>
                    <w:bottom w:w="0" w:type="dxa"/>
                    <w:right w:w="11" w:type="dxa"/>
                  </w:tcMar>
                  <w:vAlign w:val="center"/>
                </w:tcPr>
                <w:p w14:paraId="0DDF74A7">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373" w:type="pct"/>
                  <w:noWrap w:val="0"/>
                  <w:tcMar>
                    <w:top w:w="0" w:type="dxa"/>
                    <w:left w:w="11" w:type="dxa"/>
                    <w:bottom w:w="0" w:type="dxa"/>
                    <w:right w:w="11" w:type="dxa"/>
                  </w:tcMar>
                  <w:vAlign w:val="center"/>
                </w:tcPr>
                <w:p w14:paraId="2007ACBB">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c>
                <w:tcPr>
                  <w:tcW w:w="477" w:type="pct"/>
                  <w:noWrap w:val="0"/>
                  <w:tcMar>
                    <w:top w:w="0" w:type="dxa"/>
                    <w:left w:w="11" w:type="dxa"/>
                    <w:bottom w:w="0" w:type="dxa"/>
                    <w:right w:w="11" w:type="dxa"/>
                  </w:tcMar>
                  <w:vAlign w:val="center"/>
                </w:tcPr>
                <w:p w14:paraId="70494720">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590" w:type="pct"/>
                  <w:noWrap w:val="0"/>
                  <w:tcMar>
                    <w:top w:w="0" w:type="dxa"/>
                    <w:left w:w="11" w:type="dxa"/>
                    <w:bottom w:w="0" w:type="dxa"/>
                    <w:right w:w="11" w:type="dxa"/>
                  </w:tcMar>
                  <w:vAlign w:val="center"/>
                </w:tcPr>
                <w:p w14:paraId="11D6B00D">
                  <w:pPr>
                    <w:pStyle w:val="8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bl>
          <w:p w14:paraId="2458C65C">
            <w:pPr>
              <w:adjustRightInd w:val="0"/>
              <w:snapToGrid w:val="0"/>
              <w:spacing w:line="50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rPr>
              <w:t>本项目危险废物收集后暂存于危废仓库，由上表可知项目建成后</w:t>
            </w:r>
            <w:r>
              <w:rPr>
                <w:rFonts w:hint="default" w:ascii="Times New Roman" w:hAnsi="Times New Roman" w:eastAsia="宋体" w:cs="Times New Roman"/>
                <w:color w:val="auto"/>
                <w:sz w:val="24"/>
                <w:lang w:val="en-US" w:eastAsia="zh-CN"/>
              </w:rPr>
              <w:t>项目新增</w:t>
            </w:r>
            <w:r>
              <w:rPr>
                <w:rFonts w:hint="default" w:ascii="Times New Roman" w:hAnsi="Times New Roman" w:eastAsia="宋体" w:cs="Times New Roman"/>
                <w:color w:val="auto"/>
                <w:sz w:val="24"/>
              </w:rPr>
              <w:t>危险废物贮存占用面积约为</w:t>
            </w:r>
            <w:r>
              <w:rPr>
                <w:rFonts w:hint="eastAsia" w:cs="Times New Roman"/>
                <w:color w:val="auto"/>
                <w:sz w:val="24"/>
                <w:lang w:val="en-US" w:eastAsia="zh-CN"/>
              </w:rPr>
              <w:t>4</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本项目拟将现有的危废库房（6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lang w:val="en-US" w:eastAsia="zh-CN"/>
              </w:rPr>
              <w:t>）扩建至1</w:t>
            </w:r>
            <w:r>
              <w:rPr>
                <w:rFonts w:hint="default" w:ascii="Times New Roman" w:hAnsi="Times New Roman" w:eastAsia="宋体" w:cs="Times New Roman"/>
                <w:color w:val="auto"/>
                <w:sz w:val="24"/>
              </w:rPr>
              <w:t>0m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，可以满足本项目</w:t>
            </w:r>
            <w:r>
              <w:rPr>
                <w:rFonts w:hint="default" w:ascii="Times New Roman" w:hAnsi="Times New Roman" w:eastAsia="宋体" w:cs="Times New Roman"/>
                <w:color w:val="auto"/>
                <w:sz w:val="24"/>
                <w:lang w:eastAsia="zh-CN"/>
              </w:rPr>
              <w:t>危废暂存</w:t>
            </w:r>
            <w:r>
              <w:rPr>
                <w:rFonts w:hint="default" w:ascii="Times New Roman" w:hAnsi="Times New Roman" w:eastAsia="宋体" w:cs="Times New Roman"/>
                <w:color w:val="auto"/>
                <w:sz w:val="24"/>
              </w:rPr>
              <w:t>需要。</w:t>
            </w:r>
          </w:p>
          <w:p w14:paraId="39DB760B">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5、</w:t>
            </w:r>
            <w:r>
              <w:rPr>
                <w:rFonts w:hint="default" w:ascii="Times New Roman" w:hAnsi="Times New Roman" w:eastAsia="宋体" w:cs="Times New Roman"/>
                <w:b/>
                <w:bCs/>
                <w:color w:val="auto"/>
                <w:sz w:val="24"/>
              </w:rPr>
              <w:t>环境管理要求</w:t>
            </w:r>
          </w:p>
          <w:p w14:paraId="7A88CE54">
            <w:pPr>
              <w:keepNext w:val="0"/>
              <w:keepLines w:val="0"/>
              <w:pageBreakBefore w:val="0"/>
              <w:widowControl/>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b/>
                <w:bCs/>
                <w:color w:val="auto"/>
                <w:kern w:val="0"/>
                <w:szCs w:val="21"/>
                <w:lang w:bidi="ar"/>
              </w:rPr>
            </w:pPr>
            <w:r>
              <w:rPr>
                <w:rFonts w:hint="default" w:ascii="Times New Roman" w:hAnsi="Times New Roman" w:eastAsia="宋体" w:cs="Times New Roman"/>
                <w:bCs/>
                <w:color w:val="auto"/>
                <w:sz w:val="24"/>
                <w:lang w:val="en-US" w:eastAsia="zh-CN"/>
              </w:rPr>
              <w:t>①</w:t>
            </w:r>
            <w:r>
              <w:rPr>
                <w:rFonts w:hint="default" w:ascii="Times New Roman" w:hAnsi="Times New Roman" w:eastAsia="宋体" w:cs="Times New Roman"/>
                <w:color w:val="auto"/>
                <w:kern w:val="0"/>
                <w:sz w:val="24"/>
                <w:lang w:bidi="ar"/>
              </w:rPr>
              <w:t>与《</w:t>
            </w:r>
            <w:r>
              <w:rPr>
                <w:rFonts w:hint="default" w:ascii="Times New Roman" w:hAnsi="Times New Roman" w:eastAsia="宋体" w:cs="Times New Roman"/>
                <w:color w:val="auto"/>
                <w:kern w:val="0"/>
                <w:sz w:val="24"/>
                <w:lang w:val="en-US" w:eastAsia="zh-CN" w:bidi="ar"/>
              </w:rPr>
              <w:t>江苏省固体废物全过程环境监管工作意见</w:t>
            </w:r>
            <w:r>
              <w:rPr>
                <w:rFonts w:hint="default" w:ascii="Times New Roman" w:hAnsi="Times New Roman" w:eastAsia="宋体" w:cs="Times New Roman"/>
                <w:color w:val="auto"/>
                <w:kern w:val="0"/>
                <w:sz w:val="24"/>
                <w:lang w:bidi="ar"/>
              </w:rPr>
              <w:t>》（</w:t>
            </w:r>
            <w:r>
              <w:rPr>
                <w:rFonts w:hint="default" w:ascii="Times New Roman" w:hAnsi="Times New Roman" w:eastAsia="宋体" w:cs="Times New Roman"/>
                <w:color w:val="auto"/>
                <w:kern w:val="0"/>
                <w:sz w:val="24"/>
                <w:lang w:eastAsia="zh-CN" w:bidi="ar"/>
              </w:rPr>
              <w:t>苏环办〔2024〕16号）</w:t>
            </w:r>
            <w:r>
              <w:rPr>
                <w:rFonts w:hint="default" w:ascii="Times New Roman" w:hAnsi="Times New Roman" w:eastAsia="宋体" w:cs="Times New Roman"/>
                <w:color w:val="auto"/>
                <w:kern w:val="0"/>
                <w:sz w:val="24"/>
                <w:lang w:bidi="ar"/>
              </w:rPr>
              <w:t xml:space="preserve">相符性分析 </w:t>
            </w:r>
          </w:p>
          <w:p w14:paraId="6EEE8777">
            <w:pPr>
              <w:widowControl/>
              <w:jc w:val="center"/>
              <w:rPr>
                <w:rFonts w:hint="default" w:ascii="Times New Roman" w:hAnsi="Times New Roman" w:eastAsia="宋体" w:cs="Times New Roman"/>
                <w:b/>
                <w:bCs/>
                <w:color w:val="auto"/>
                <w:kern w:val="0"/>
                <w:szCs w:val="21"/>
                <w:lang w:bidi="ar"/>
              </w:rPr>
            </w:pPr>
          </w:p>
          <w:p w14:paraId="194E6DC1">
            <w:pPr>
              <w:widowControl/>
              <w:jc w:val="center"/>
              <w:rPr>
                <w:rFonts w:hint="default" w:ascii="Times New Roman" w:hAnsi="Times New Roman" w:eastAsia="宋体" w:cs="Times New Roman"/>
                <w:color w:val="auto"/>
                <w:szCs w:val="21"/>
              </w:rPr>
            </w:pPr>
            <w:r>
              <w:rPr>
                <w:rFonts w:hint="default" w:ascii="Times New Roman" w:hAnsi="Times New Roman" w:eastAsia="宋体" w:cs="Times New Roman"/>
                <w:b/>
                <w:bCs/>
                <w:color w:val="auto"/>
                <w:kern w:val="0"/>
                <w:szCs w:val="21"/>
                <w:lang w:bidi="ar"/>
              </w:rPr>
              <w:t>表4-</w:t>
            </w:r>
            <w:r>
              <w:rPr>
                <w:rFonts w:hint="default" w:ascii="Times New Roman" w:hAnsi="Times New Roman" w:eastAsia="宋体" w:cs="Times New Roman"/>
                <w:b/>
                <w:bCs/>
                <w:color w:val="auto"/>
                <w:kern w:val="0"/>
                <w:szCs w:val="21"/>
                <w:lang w:val="en-US" w:eastAsia="zh-CN" w:bidi="ar"/>
              </w:rPr>
              <w:t>20</w:t>
            </w:r>
            <w:r>
              <w:rPr>
                <w:rFonts w:hint="default" w:ascii="Times New Roman" w:hAnsi="Times New Roman" w:eastAsia="宋体" w:cs="Times New Roman"/>
                <w:b/>
                <w:bCs/>
                <w:color w:val="auto"/>
                <w:kern w:val="0"/>
                <w:szCs w:val="21"/>
                <w:lang w:bidi="ar"/>
              </w:rPr>
              <w:t xml:space="preserve"> 项目与</w:t>
            </w:r>
            <w:r>
              <w:rPr>
                <w:rFonts w:hint="default" w:ascii="Times New Roman" w:hAnsi="Times New Roman" w:eastAsia="宋体" w:cs="Times New Roman"/>
                <w:b/>
                <w:bCs/>
                <w:color w:val="auto"/>
                <w:kern w:val="0"/>
                <w:szCs w:val="21"/>
                <w:lang w:eastAsia="zh-CN" w:bidi="ar"/>
              </w:rPr>
              <w:t>苏环办〔2024〕16号</w:t>
            </w:r>
            <w:r>
              <w:rPr>
                <w:rFonts w:hint="default" w:ascii="Times New Roman" w:hAnsi="Times New Roman" w:eastAsia="宋体" w:cs="Times New Roman"/>
                <w:b/>
                <w:bCs/>
                <w:color w:val="auto"/>
                <w:kern w:val="0"/>
                <w:szCs w:val="21"/>
                <w:lang w:bidi="ar"/>
              </w:rPr>
              <w:t>文相符性分析一览表</w:t>
            </w:r>
          </w:p>
          <w:tbl>
            <w:tblPr>
              <w:tblStyle w:val="27"/>
              <w:tblW w:w="4997"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484"/>
              <w:gridCol w:w="2465"/>
              <w:gridCol w:w="890"/>
            </w:tblGrid>
            <w:tr w14:paraId="32F8F6A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01" w:type="pct"/>
                  <w:noWrap w:val="0"/>
                  <w:vAlign w:val="center"/>
                </w:tcPr>
                <w:p w14:paraId="2896279C">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文件规定要求</w:t>
                  </w:r>
                </w:p>
              </w:tc>
              <w:tc>
                <w:tcPr>
                  <w:tcW w:w="1394" w:type="pct"/>
                  <w:noWrap w:val="0"/>
                  <w:vAlign w:val="center"/>
                </w:tcPr>
                <w:p w14:paraId="727245D1">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项目概况</w:t>
                  </w:r>
                </w:p>
              </w:tc>
              <w:tc>
                <w:tcPr>
                  <w:tcW w:w="503" w:type="pct"/>
                  <w:noWrap w:val="0"/>
                  <w:vAlign w:val="center"/>
                </w:tcPr>
                <w:p w14:paraId="18114276">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相符性</w:t>
                  </w:r>
                </w:p>
              </w:tc>
            </w:tr>
            <w:tr w14:paraId="23B8526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01" w:type="pct"/>
                  <w:noWrap w:val="0"/>
                  <w:vAlign w:val="center"/>
                </w:tcPr>
                <w:p w14:paraId="3D60A6C6">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规范贮存管理要求。根据《危险废物贮存污染控制标准》(GB18597-2023)，企业可根据实际情况选择采用危险废物贮存设施或贮存点两类方式进行贮存，符合相应的污染控制标准;不具备建设贮存设施条件、选用贮存点方式的，除符合国家关于贮存点控制要求外，还要执行《江苏省危险废物集中收集体系建设工作方案(试行)》(苏环办〔2021〕290号)中关于贮存周期和贮存量的要求，I级、II级、</w:t>
                  </w:r>
                  <w:r>
                    <w:rPr>
                      <w:rFonts w:hint="default" w:ascii="Times New Roman" w:hAnsi="Times New Roman" w:eastAsia="宋体" w:cs="Times New Roman"/>
                      <w:color w:val="auto"/>
                      <w:szCs w:val="21"/>
                      <w:lang w:val="en-US" w:eastAsia="zh-CN"/>
                    </w:rPr>
                    <w:fldChar w:fldCharType="begin"/>
                  </w:r>
                  <w:r>
                    <w:rPr>
                      <w:rFonts w:hint="default" w:ascii="Times New Roman" w:hAnsi="Times New Roman" w:eastAsia="宋体" w:cs="Times New Roman"/>
                      <w:color w:val="auto"/>
                      <w:szCs w:val="21"/>
                      <w:lang w:val="en-US" w:eastAsia="zh-CN"/>
                    </w:rPr>
                    <w:instrText xml:space="preserve"> = 3 \* ROMAN \* MERGEFORMAT </w:instrText>
                  </w:r>
                  <w:r>
                    <w:rPr>
                      <w:rFonts w:hint="default" w:ascii="Times New Roman" w:hAnsi="Times New Roman" w:eastAsia="宋体" w:cs="Times New Roman"/>
                      <w:color w:val="auto"/>
                      <w:szCs w:val="21"/>
                      <w:lang w:val="en-US" w:eastAsia="zh-CN"/>
                    </w:rPr>
                    <w:fldChar w:fldCharType="separate"/>
                  </w:r>
                  <w:r>
                    <w:rPr>
                      <w:rFonts w:hint="default" w:ascii="Times New Roman" w:hAnsi="Times New Roman" w:eastAsia="宋体" w:cs="Times New Roman"/>
                      <w:color w:val="auto"/>
                    </w:rPr>
                    <w:t>III</w:t>
                  </w:r>
                  <w:r>
                    <w:rPr>
                      <w:rFonts w:hint="default" w:ascii="Times New Roman" w:hAnsi="Times New Roman" w:eastAsia="宋体" w:cs="Times New Roman"/>
                      <w:color w:val="auto"/>
                      <w:szCs w:val="21"/>
                      <w:lang w:val="en-US" w:eastAsia="zh-CN"/>
                    </w:rPr>
                    <w:fldChar w:fldCharType="end"/>
                  </w:r>
                  <w:r>
                    <w:rPr>
                      <w:rFonts w:hint="default" w:ascii="Times New Roman" w:hAnsi="Times New Roman" w:eastAsia="宋体" w:cs="Times New Roman"/>
                      <w:color w:val="auto"/>
                      <w:szCs w:val="21"/>
                      <w:lang w:val="en-US" w:eastAsia="zh-CN"/>
                    </w:rPr>
                    <w:t>级危险废物贮存时间分别不得超过30天、60天、90天，最大贮存量不得超过1t。</w:t>
                  </w:r>
                </w:p>
              </w:tc>
              <w:tc>
                <w:tcPr>
                  <w:tcW w:w="1394" w:type="pct"/>
                  <w:noWrap w:val="0"/>
                  <w:vAlign w:val="center"/>
                </w:tcPr>
                <w:p w14:paraId="77C75F36">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w:t>
                  </w:r>
                  <w:r>
                    <w:rPr>
                      <w:rFonts w:hint="default" w:ascii="Times New Roman" w:hAnsi="Times New Roman" w:eastAsia="宋体" w:cs="Times New Roman"/>
                      <w:color w:val="auto"/>
                      <w:szCs w:val="21"/>
                      <w:lang w:val="en-US" w:eastAsia="zh-CN"/>
                    </w:rPr>
                    <w:t>危废仓库按照《危险废物贮存污染控制标准》(GB18597-2023)要求建设，项目危废贮存时间不超过90天</w:t>
                  </w:r>
                  <w:r>
                    <w:rPr>
                      <w:rFonts w:hint="default" w:ascii="Times New Roman" w:hAnsi="Times New Roman" w:eastAsia="宋体" w:cs="Times New Roman"/>
                      <w:color w:val="auto"/>
                      <w:szCs w:val="21"/>
                    </w:rPr>
                    <w:t>。</w:t>
                  </w:r>
                </w:p>
              </w:tc>
              <w:tc>
                <w:tcPr>
                  <w:tcW w:w="503" w:type="pct"/>
                  <w:noWrap w:val="0"/>
                  <w:vAlign w:val="center"/>
                </w:tcPr>
                <w:p w14:paraId="196D29CA">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696E890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01" w:type="pct"/>
                  <w:noWrap w:val="0"/>
                  <w:vAlign w:val="center"/>
                </w:tcPr>
                <w:p w14:paraId="5A4D7B69">
                  <w:pPr>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强化转移过程管理。全面落实危险废物转移电子联单制度，实行省内全域扫描“二维码”转移。加强与危险货物道路运输电子运单数据共享，实现运输轨迹可溯可查。危险废物产生单位须依法核实经营单位主体资格和技术能力，直接签订委托合同，并向经营单位提供相关危险废物产生工艺、具体成分，以及是否易燃易爆等信息，违法委托的，应当与造成环境污染和生态破坏的受托方承担连带责任;经营单位须按合同及包装物扫码签收危险废物，签收人、车辆信息等须拍照上传至系统，严禁“空转”二维码。</w:t>
                  </w:r>
                </w:p>
              </w:tc>
              <w:tc>
                <w:tcPr>
                  <w:tcW w:w="1394" w:type="pct"/>
                  <w:noWrap w:val="0"/>
                  <w:vAlign w:val="center"/>
                </w:tcPr>
                <w:p w14:paraId="59BE4E2A">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w:t>
                  </w:r>
                  <w:r>
                    <w:rPr>
                      <w:rFonts w:hint="default" w:ascii="Times New Roman" w:hAnsi="Times New Roman" w:eastAsia="宋体" w:cs="Times New Roman"/>
                      <w:color w:val="auto"/>
                      <w:szCs w:val="21"/>
                      <w:lang w:val="en-US" w:eastAsia="zh-CN"/>
                    </w:rPr>
                    <w:t>建成后将</w:t>
                  </w:r>
                  <w:r>
                    <w:rPr>
                      <w:rFonts w:hint="default" w:ascii="Times New Roman" w:hAnsi="Times New Roman" w:eastAsia="宋体" w:cs="Times New Roman"/>
                      <w:color w:val="auto"/>
                      <w:szCs w:val="21"/>
                    </w:rPr>
                    <w:t>严格执行危险废物转移电子联单制度，建立电子档案，做好危废相关的手续及存档。</w:t>
                  </w:r>
                </w:p>
                <w:p w14:paraId="512552FF">
                  <w:pPr>
                    <w:adjustRightInd w:val="0"/>
                    <w:snapToGrid w:val="0"/>
                    <w:rPr>
                      <w:rFonts w:hint="default" w:ascii="Times New Roman" w:hAnsi="Times New Roman" w:eastAsia="宋体" w:cs="Times New Roman"/>
                      <w:color w:val="auto"/>
                      <w:szCs w:val="21"/>
                    </w:rPr>
                  </w:pPr>
                </w:p>
              </w:tc>
              <w:tc>
                <w:tcPr>
                  <w:tcW w:w="503" w:type="pct"/>
                  <w:noWrap w:val="0"/>
                  <w:vAlign w:val="center"/>
                </w:tcPr>
                <w:p w14:paraId="203DD5E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091B8D8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82" w:hRule="atLeast"/>
              </w:trPr>
              <w:tc>
                <w:tcPr>
                  <w:tcW w:w="3101" w:type="pct"/>
                  <w:noWrap w:val="0"/>
                  <w:vAlign w:val="center"/>
                </w:tcPr>
                <w:p w14:paraId="3037F67A">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落实信息公开制度。危险废物环境重点监管单位要在出入口、设施内部、危险废物运输车辆通道等关键位置设置视频监控并与中控室联网，通过设立公开栏、标志牌等方式，主动公开危险废物产生和利用处置等有关信息。</w:t>
                  </w:r>
                </w:p>
              </w:tc>
              <w:tc>
                <w:tcPr>
                  <w:tcW w:w="1394" w:type="pct"/>
                  <w:noWrap w:val="0"/>
                  <w:vAlign w:val="center"/>
                </w:tcPr>
                <w:p w14:paraId="1D7432B2">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w:t>
                  </w:r>
                  <w:r>
                    <w:rPr>
                      <w:rFonts w:hint="default" w:ascii="Times New Roman" w:hAnsi="Times New Roman" w:eastAsia="宋体" w:cs="Times New Roman"/>
                      <w:color w:val="auto"/>
                      <w:szCs w:val="21"/>
                      <w:lang w:val="en-US" w:eastAsia="zh-CN"/>
                    </w:rPr>
                    <w:t>危废仓库内外均设置视频监控并与中控室联网</w:t>
                  </w:r>
                  <w:r>
                    <w:rPr>
                      <w:rFonts w:hint="default" w:ascii="Times New Roman" w:hAnsi="Times New Roman" w:eastAsia="宋体" w:cs="Times New Roman"/>
                      <w:color w:val="auto"/>
                      <w:szCs w:val="21"/>
                    </w:rPr>
                    <w:t>。本项目</w:t>
                  </w:r>
                  <w:r>
                    <w:rPr>
                      <w:rFonts w:hint="default" w:ascii="Times New Roman" w:hAnsi="Times New Roman" w:eastAsia="宋体" w:cs="Times New Roman"/>
                      <w:color w:val="auto"/>
                      <w:szCs w:val="21"/>
                      <w:lang w:val="en-US" w:eastAsia="zh-CN"/>
                    </w:rPr>
                    <w:t>建成后将通过设立公开栏、标志牌等方式，主动公开危险废物产生和利用处置等有关信息。</w:t>
                  </w:r>
                </w:p>
                <w:p w14:paraId="03459F6D">
                  <w:pPr>
                    <w:adjustRightInd w:val="0"/>
                    <w:snapToGrid w:val="0"/>
                    <w:rPr>
                      <w:rFonts w:hint="default" w:ascii="Times New Roman" w:hAnsi="Times New Roman" w:eastAsia="宋体" w:cs="Times New Roman"/>
                      <w:color w:val="auto"/>
                      <w:szCs w:val="21"/>
                    </w:rPr>
                  </w:pPr>
                </w:p>
              </w:tc>
              <w:tc>
                <w:tcPr>
                  <w:tcW w:w="503" w:type="pct"/>
                  <w:noWrap w:val="0"/>
                  <w:vAlign w:val="center"/>
                </w:tcPr>
                <w:p w14:paraId="56A30E0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14:paraId="0423ED27">
            <w:pPr>
              <w:adjustRightInd w:val="0"/>
              <w:snapToGrid w:val="0"/>
              <w:spacing w:line="360" w:lineRule="auto"/>
              <w:ind w:left="63" w:leftChars="3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由上表可知，本项目建设符合</w:t>
            </w:r>
            <w:r>
              <w:rPr>
                <w:rFonts w:hint="default" w:ascii="Times New Roman" w:hAnsi="Times New Roman" w:eastAsia="宋体" w:cs="Times New Roman"/>
                <w:color w:val="auto"/>
                <w:kern w:val="0"/>
                <w:sz w:val="24"/>
                <w:lang w:bidi="ar"/>
              </w:rPr>
              <w:t>《</w:t>
            </w:r>
            <w:r>
              <w:rPr>
                <w:rFonts w:hint="default" w:ascii="Times New Roman" w:hAnsi="Times New Roman" w:eastAsia="宋体" w:cs="Times New Roman"/>
                <w:color w:val="auto"/>
                <w:kern w:val="0"/>
                <w:sz w:val="24"/>
                <w:lang w:val="en-US" w:eastAsia="zh-CN" w:bidi="ar"/>
              </w:rPr>
              <w:t>江苏省固体废物全过程环境监管工作意见</w:t>
            </w:r>
            <w:r>
              <w:rPr>
                <w:rFonts w:hint="default" w:ascii="Times New Roman" w:hAnsi="Times New Roman" w:eastAsia="宋体" w:cs="Times New Roman"/>
                <w:color w:val="auto"/>
                <w:kern w:val="0"/>
                <w:sz w:val="24"/>
                <w:lang w:bidi="ar"/>
              </w:rPr>
              <w:t>》（</w:t>
            </w:r>
            <w:r>
              <w:rPr>
                <w:rFonts w:hint="default" w:ascii="Times New Roman" w:hAnsi="Times New Roman" w:eastAsia="宋体" w:cs="Times New Roman"/>
                <w:color w:val="auto"/>
                <w:kern w:val="0"/>
                <w:sz w:val="24"/>
                <w:lang w:eastAsia="zh-CN" w:bidi="ar"/>
              </w:rPr>
              <w:t>苏环办〔2024〕16号）</w:t>
            </w:r>
            <w:r>
              <w:rPr>
                <w:rFonts w:hint="default" w:ascii="Times New Roman" w:hAnsi="Times New Roman" w:eastAsia="宋体" w:cs="Times New Roman"/>
                <w:color w:val="auto"/>
                <w:sz w:val="24"/>
              </w:rPr>
              <w:t xml:space="preserve">相关要求。 </w:t>
            </w:r>
          </w:p>
          <w:p w14:paraId="6968A603">
            <w:pPr>
              <w:adjustRightInd w:val="0"/>
              <w:snapToGrid w:val="0"/>
              <w:spacing w:line="360" w:lineRule="auto"/>
              <w:ind w:left="63" w:leftChars="3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lang w:val="en-US" w:eastAsia="zh-CN"/>
              </w:rPr>
              <w:t>②</w:t>
            </w:r>
            <w:r>
              <w:rPr>
                <w:rFonts w:hint="default" w:ascii="Times New Roman" w:hAnsi="Times New Roman" w:eastAsia="宋体" w:cs="Times New Roman"/>
                <w:color w:val="auto"/>
                <w:kern w:val="0"/>
                <w:sz w:val="24"/>
                <w:lang w:bidi="ar"/>
              </w:rPr>
              <w:t>与《关于进一步加强危险废物环境管理工作的通知》（苏环办</w:t>
            </w:r>
            <w:r>
              <w:rPr>
                <w:rFonts w:hint="default" w:ascii="Times New Roman" w:hAnsi="Times New Roman" w:eastAsia="宋体" w:cs="Times New Roman"/>
                <w:color w:val="auto"/>
                <w:kern w:val="0"/>
                <w:sz w:val="24"/>
                <w:lang w:eastAsia="zh-CN" w:bidi="ar"/>
              </w:rPr>
              <w:t>〔2021〕207号</w:t>
            </w:r>
            <w:r>
              <w:rPr>
                <w:rFonts w:hint="default" w:ascii="Times New Roman" w:hAnsi="Times New Roman" w:eastAsia="宋体" w:cs="Times New Roman"/>
                <w:color w:val="auto"/>
                <w:kern w:val="0"/>
                <w:sz w:val="24"/>
                <w:lang w:bidi="ar"/>
              </w:rPr>
              <w:t>）相符性分析</w:t>
            </w:r>
          </w:p>
          <w:p w14:paraId="5EC6E5D0">
            <w:pPr>
              <w:keepNext w:val="0"/>
              <w:keepLines w:val="0"/>
              <w:pageBreakBefore w:val="0"/>
              <w:widowControl/>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b/>
                <w:bCs/>
                <w:color w:val="auto"/>
                <w:kern w:val="0"/>
                <w:szCs w:val="21"/>
                <w:lang w:bidi="ar"/>
              </w:rPr>
              <w:t>表4-</w:t>
            </w:r>
            <w:r>
              <w:rPr>
                <w:rFonts w:hint="default" w:ascii="Times New Roman" w:hAnsi="Times New Roman" w:eastAsia="宋体" w:cs="Times New Roman"/>
                <w:b/>
                <w:bCs/>
                <w:color w:val="auto"/>
                <w:kern w:val="0"/>
                <w:szCs w:val="21"/>
                <w:lang w:val="en-US" w:eastAsia="zh-CN" w:bidi="ar"/>
              </w:rPr>
              <w:t>21</w:t>
            </w:r>
            <w:r>
              <w:rPr>
                <w:rFonts w:hint="default" w:ascii="Times New Roman" w:hAnsi="Times New Roman" w:eastAsia="宋体" w:cs="Times New Roman"/>
                <w:b/>
                <w:bCs/>
                <w:color w:val="auto"/>
                <w:kern w:val="0"/>
                <w:szCs w:val="21"/>
                <w:lang w:bidi="ar"/>
              </w:rPr>
              <w:t xml:space="preserve"> 项目与苏环办</w:t>
            </w:r>
            <w:r>
              <w:rPr>
                <w:rFonts w:hint="default" w:ascii="Times New Roman" w:hAnsi="Times New Roman" w:eastAsia="宋体" w:cs="Times New Roman"/>
                <w:b/>
                <w:bCs/>
                <w:color w:val="auto"/>
                <w:kern w:val="0"/>
                <w:szCs w:val="21"/>
                <w:lang w:eastAsia="zh-CN" w:bidi="ar"/>
              </w:rPr>
              <w:t>〔2021〕207号</w:t>
            </w:r>
            <w:r>
              <w:rPr>
                <w:rFonts w:hint="default" w:ascii="Times New Roman" w:hAnsi="Times New Roman" w:eastAsia="宋体" w:cs="Times New Roman"/>
                <w:b/>
                <w:bCs/>
                <w:color w:val="auto"/>
                <w:kern w:val="0"/>
                <w:szCs w:val="21"/>
                <w:lang w:bidi="ar"/>
              </w:rPr>
              <w:t>文相符性分析一览表</w:t>
            </w:r>
          </w:p>
          <w:tbl>
            <w:tblPr>
              <w:tblStyle w:val="27"/>
              <w:tblW w:w="4998"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791"/>
              <w:gridCol w:w="3158"/>
              <w:gridCol w:w="891"/>
            </w:tblGrid>
            <w:tr w14:paraId="6A0ADF6F">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09" w:type="pct"/>
                  <w:noWrap w:val="0"/>
                  <w:vAlign w:val="center"/>
                </w:tcPr>
                <w:p w14:paraId="34085549">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文件规定要求</w:t>
                  </w:r>
                </w:p>
              </w:tc>
              <w:tc>
                <w:tcPr>
                  <w:tcW w:w="1786" w:type="pct"/>
                  <w:noWrap w:val="0"/>
                  <w:vAlign w:val="center"/>
                </w:tcPr>
                <w:p w14:paraId="0748B116">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项目概况</w:t>
                  </w:r>
                </w:p>
              </w:tc>
              <w:tc>
                <w:tcPr>
                  <w:tcW w:w="504" w:type="pct"/>
                  <w:noWrap w:val="0"/>
                  <w:vAlign w:val="center"/>
                </w:tcPr>
                <w:p w14:paraId="32E65A5D">
                  <w:pPr>
                    <w:adjustRightInd w:val="0"/>
                    <w:snapToGrid w:val="0"/>
                    <w:jc w:val="center"/>
                    <w:rPr>
                      <w:rFonts w:hint="default" w:ascii="Times New Roman" w:hAnsi="Times New Roman" w:eastAsia="宋体" w:cs="Times New Roman"/>
                      <w:b/>
                      <w:color w:val="auto"/>
                      <w:spacing w:val="-10"/>
                      <w:szCs w:val="21"/>
                    </w:rPr>
                  </w:pPr>
                  <w:r>
                    <w:rPr>
                      <w:rFonts w:hint="default" w:ascii="Times New Roman" w:hAnsi="Times New Roman" w:eastAsia="宋体" w:cs="Times New Roman"/>
                      <w:b/>
                      <w:color w:val="auto"/>
                      <w:spacing w:val="-10"/>
                      <w:szCs w:val="21"/>
                    </w:rPr>
                    <w:t>相符性</w:t>
                  </w:r>
                </w:p>
              </w:tc>
            </w:tr>
            <w:tr w14:paraId="5616323D">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09" w:type="pct"/>
                  <w:noWrap w:val="0"/>
                  <w:vAlign w:val="center"/>
                </w:tcPr>
                <w:p w14:paraId="33D02287">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落实产废单位危险废物污染环境防治主体责任。产废单位必须将危险废物提供或者委托给有资质单位从事收集、贮存、利用处置活动，并有危险废物利用处置合同、资金往来、废物交接等相关证明材料。严禁产废单位委托第三方中介机构运输和利用处置危险废物；严禁将危险废物提供或者委托给无资质单位进行收集、贮存和利用处置。</w:t>
                  </w:r>
                </w:p>
              </w:tc>
              <w:tc>
                <w:tcPr>
                  <w:tcW w:w="1786" w:type="pct"/>
                  <w:noWrap w:val="0"/>
                  <w:vAlign w:val="center"/>
                </w:tcPr>
                <w:p w14:paraId="5770CD97">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本项目拟将产生的危废委托有资质单位进行运输和利用处置。</w:t>
                  </w:r>
                </w:p>
              </w:tc>
              <w:tc>
                <w:tcPr>
                  <w:tcW w:w="504" w:type="pct"/>
                  <w:noWrap w:val="0"/>
                  <w:vAlign w:val="center"/>
                </w:tcPr>
                <w:p w14:paraId="4B0E6C75">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10100DF8">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64" w:hRule="atLeast"/>
              </w:trPr>
              <w:tc>
                <w:tcPr>
                  <w:tcW w:w="2709" w:type="pct"/>
                  <w:noWrap w:val="0"/>
                  <w:vAlign w:val="center"/>
                </w:tcPr>
                <w:p w14:paraId="7B081218">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危险废物产生贮存环境监管。通过“江苏环保脸谱”，全面推行产生和贮存现场实时申报，自动生成二维码包装标识，实现危险废物从产生到贮存信息化监管。严禁任何企业、供应商、经销商等以生态环境部门名义向产废单位、收集单位、利用处置单位推销购买任何与全生命周期监控系统相关的智能设备；严禁任何第三方在全生命周期监控系统推广使用、宣传、培训过程中以夸大、捆绑、谎称、垄断等方式借机推销相关设备和软件系统。</w:t>
                  </w:r>
                </w:p>
              </w:tc>
              <w:tc>
                <w:tcPr>
                  <w:tcW w:w="1786" w:type="pct"/>
                  <w:noWrap w:val="0"/>
                  <w:vAlign w:val="center"/>
                </w:tcPr>
                <w:p w14:paraId="025EC848">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本项目在日常的运营管理过程中</w:t>
                  </w:r>
                  <w:r>
                    <w:rPr>
                      <w:rFonts w:hint="default" w:ascii="Times New Roman" w:hAnsi="Times New Roman" w:eastAsia="宋体" w:cs="Times New Roman"/>
                      <w:color w:val="auto"/>
                      <w:szCs w:val="21"/>
                      <w:lang w:eastAsia="zh-CN"/>
                    </w:rPr>
                    <w:t>，通</w:t>
                  </w:r>
                  <w:r>
                    <w:rPr>
                      <w:rFonts w:hint="default" w:ascii="Times New Roman" w:hAnsi="Times New Roman" w:eastAsia="宋体" w:cs="Times New Roman"/>
                      <w:color w:val="auto"/>
                      <w:szCs w:val="21"/>
                    </w:rPr>
                    <w:t>过“江苏环保脸谱” 实现危险废物从产生到贮存信息化监管。不接受其他单位推销的任何与全生命周期监控系统相关的智能设备。</w:t>
                  </w:r>
                </w:p>
                <w:p w14:paraId="2085117E">
                  <w:pPr>
                    <w:adjustRightInd w:val="0"/>
                    <w:snapToGrid w:val="0"/>
                    <w:rPr>
                      <w:rFonts w:hint="default" w:ascii="Times New Roman" w:hAnsi="Times New Roman" w:eastAsia="宋体" w:cs="Times New Roman"/>
                      <w:color w:val="auto"/>
                      <w:szCs w:val="21"/>
                    </w:rPr>
                  </w:pPr>
                </w:p>
              </w:tc>
              <w:tc>
                <w:tcPr>
                  <w:tcW w:w="504" w:type="pct"/>
                  <w:noWrap w:val="0"/>
                  <w:vAlign w:val="center"/>
                </w:tcPr>
                <w:p w14:paraId="43A95530">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3AD379C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09" w:type="pct"/>
                  <w:noWrap w:val="0"/>
                  <w:vAlign w:val="center"/>
                </w:tcPr>
                <w:p w14:paraId="4430374B">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 xml:space="preserve">严格危险废物转移环境监管。全面推行危险废物转移电子联单，自2021年7月10日起，危险废物通过全生命周期监控系统扫描二维码转移，严禁无二维码转移行为（槽罐车、管道等除外）。各地要加强危险废物流向监控，建立电子档案，严厉打击危险废物转移过程中的环境违法行为。 </w:t>
                  </w:r>
                </w:p>
                <w:p w14:paraId="6A199125">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严禁生态环境系统人员直接或间接为产废单位指定或介绍收集、转运、利用处置单位。违反上述要求的，各地生态环境部门可关闭相关企业危险废物转移系统功能，禁止其危险废物转移，</w:t>
                  </w:r>
                  <w:r>
                    <w:rPr>
                      <w:rFonts w:hint="default" w:ascii="Times New Roman" w:hAnsi="Times New Roman" w:eastAsia="宋体" w:cs="Times New Roman"/>
                      <w:color w:val="auto"/>
                      <w:szCs w:val="21"/>
                      <w:lang w:eastAsia="zh-CN"/>
                    </w:rPr>
                    <w:t>并追究</w:t>
                  </w:r>
                  <w:r>
                    <w:rPr>
                      <w:rFonts w:hint="default" w:ascii="Times New Roman" w:hAnsi="Times New Roman" w:eastAsia="宋体" w:cs="Times New Roman"/>
                      <w:color w:val="auto"/>
                      <w:szCs w:val="21"/>
                    </w:rPr>
                    <w:t>相关责任人责任。</w:t>
                  </w:r>
                </w:p>
              </w:tc>
              <w:tc>
                <w:tcPr>
                  <w:tcW w:w="1786" w:type="pct"/>
                  <w:noWrap w:val="0"/>
                  <w:vAlign w:val="center"/>
                </w:tcPr>
                <w:p w14:paraId="6B129452">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本项目严格执行危险废物转移电子联单制度，建立电子档案，做好危废相关的手续及存档。</w:t>
                  </w:r>
                </w:p>
                <w:p w14:paraId="68428457">
                  <w:pPr>
                    <w:adjustRightInd w:val="0"/>
                    <w:snapToGrid w:val="0"/>
                    <w:rPr>
                      <w:rFonts w:hint="default" w:ascii="Times New Roman" w:hAnsi="Times New Roman" w:eastAsia="宋体" w:cs="Times New Roman"/>
                      <w:color w:val="auto"/>
                      <w:szCs w:val="21"/>
                    </w:rPr>
                  </w:pPr>
                </w:p>
              </w:tc>
              <w:tc>
                <w:tcPr>
                  <w:tcW w:w="504" w:type="pct"/>
                  <w:noWrap w:val="0"/>
                  <w:vAlign w:val="center"/>
                </w:tcPr>
                <w:p w14:paraId="4AA1B95B">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4A06658E">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09" w:type="pct"/>
                  <w:noWrap w:val="0"/>
                  <w:vAlign w:val="center"/>
                </w:tcPr>
                <w:p w14:paraId="740E44D4">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执行危险废物豁免管理清单。各设区市生态环境部门要对照国家危险废物豁免管理清单，梳理本辖区符合豁免管理条件的利用处置单位（非持证单位），在设区市生态环境部门官网公开，实施动态管理。各地生态环境部门要加强危险废物豁免管理单位的日常监管，将豁免管理</w:t>
                  </w:r>
                  <w:r>
                    <w:rPr>
                      <w:rFonts w:hint="default" w:ascii="Times New Roman" w:hAnsi="Times New Roman" w:eastAsia="宋体" w:cs="Times New Roman"/>
                      <w:color w:val="auto"/>
                      <w:szCs w:val="21"/>
                      <w:lang w:val="en-US" w:eastAsia="zh-CN"/>
                    </w:rPr>
                    <w:t>的</w:t>
                  </w:r>
                  <w:r>
                    <w:rPr>
                      <w:rFonts w:hint="default" w:ascii="Times New Roman" w:hAnsi="Times New Roman" w:eastAsia="宋体" w:cs="Times New Roman"/>
                      <w:color w:val="auto"/>
                      <w:szCs w:val="21"/>
                    </w:rPr>
                    <w:t>危险废物产生、贮存、运输、利用、处置等情况纳入全生命周期监控系统，严格落实危险废物相关管理制度，加强业务培训，提升危险废物规范化管理水平。</w:t>
                  </w:r>
                </w:p>
              </w:tc>
              <w:tc>
                <w:tcPr>
                  <w:tcW w:w="1786" w:type="pct"/>
                  <w:noWrap w:val="0"/>
                  <w:vAlign w:val="center"/>
                </w:tcPr>
                <w:p w14:paraId="4ED6B4DB">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本项目危废不涉及豁免管理。</w:t>
                  </w:r>
                </w:p>
                <w:p w14:paraId="00F9A734">
                  <w:pPr>
                    <w:adjustRightInd w:val="0"/>
                    <w:snapToGrid w:val="0"/>
                    <w:rPr>
                      <w:rFonts w:hint="default" w:ascii="Times New Roman" w:hAnsi="Times New Roman" w:eastAsia="宋体" w:cs="Times New Roman"/>
                      <w:color w:val="auto"/>
                      <w:szCs w:val="21"/>
                    </w:rPr>
                  </w:pPr>
                </w:p>
              </w:tc>
              <w:tc>
                <w:tcPr>
                  <w:tcW w:w="504" w:type="pct"/>
                  <w:noWrap w:val="0"/>
                  <w:vAlign w:val="center"/>
                </w:tcPr>
                <w:p w14:paraId="7D9F8A10">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14:paraId="4343B4A5">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709" w:type="pct"/>
                  <w:noWrap w:val="0"/>
                  <w:vAlign w:val="center"/>
                </w:tcPr>
                <w:p w14:paraId="66510946">
                  <w:pPr>
                    <w:pStyle w:val="7"/>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严格危险废物应急处置和行政代处置管理。各地要结合实际制定危险废物应急处置和行政代处置管理方案，明确适用范围、各方职责、执行程序和监管措施等内容。按照《</w:t>
                  </w:r>
                  <w:r>
                    <w:rPr>
                      <w:rFonts w:hint="default" w:ascii="Times New Roman" w:hAnsi="Times New Roman" w:eastAsia="宋体" w:cs="Times New Roman"/>
                      <w:color w:val="auto"/>
                    </w:rPr>
                    <w:t>中华人民共和国固体废物污染环境防治法</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国家危险废物名录》（2021版）等要求，需采取应急处置或行政代处置的相关部门和单位，要科学制定处置方案并按要求向有关生态环境部门和地方政府报备。严禁借应急处置和行政代处置名义逃避监管，违法处置危险废物。</w:t>
                  </w:r>
                </w:p>
              </w:tc>
              <w:tc>
                <w:tcPr>
                  <w:tcW w:w="1786" w:type="pct"/>
                  <w:noWrap w:val="0"/>
                  <w:vAlign w:val="center"/>
                </w:tcPr>
                <w:p w14:paraId="3549B9B7">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 xml:space="preserve">本项目危废均交由有资质单 </w:t>
                  </w:r>
                </w:p>
                <w:p w14:paraId="1093B48F">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 xml:space="preserve">位处置，不涉及危险废物应 </w:t>
                  </w:r>
                </w:p>
                <w:p w14:paraId="1E1F7B59">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急处置和行政代处置管理。</w:t>
                  </w:r>
                </w:p>
                <w:p w14:paraId="095B8DF6">
                  <w:pPr>
                    <w:adjustRightInd w:val="0"/>
                    <w:snapToGrid w:val="0"/>
                    <w:rPr>
                      <w:rFonts w:hint="default" w:ascii="Times New Roman" w:hAnsi="Times New Roman" w:eastAsia="宋体" w:cs="Times New Roman"/>
                      <w:color w:val="auto"/>
                      <w:szCs w:val="21"/>
                    </w:rPr>
                  </w:pPr>
                </w:p>
              </w:tc>
              <w:tc>
                <w:tcPr>
                  <w:tcW w:w="504" w:type="pct"/>
                  <w:noWrap w:val="0"/>
                  <w:vAlign w:val="center"/>
                </w:tcPr>
                <w:p w14:paraId="367A68F2">
                  <w:pPr>
                    <w:adjustRightInd w:val="0"/>
                    <w:snapToGrid w:val="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14:paraId="4FD39DE9">
            <w:pPr>
              <w:pStyle w:val="6"/>
              <w:adjustRightInd w:val="0"/>
              <w:snapToGrid w:val="0"/>
              <w:spacing w:line="500" w:lineRule="exact"/>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由上表可知，本项目建设符合《关于进一步加强危险废物环境管理工作的通知》（苏环办</w:t>
            </w:r>
            <w:r>
              <w:rPr>
                <w:rFonts w:hint="default" w:ascii="Times New Roman" w:hAnsi="Times New Roman" w:eastAsia="宋体" w:cs="Times New Roman"/>
                <w:color w:val="auto"/>
                <w:kern w:val="0"/>
                <w:sz w:val="24"/>
                <w:lang w:eastAsia="zh-CN"/>
              </w:rPr>
              <w:t>〔2021〕207号</w:t>
            </w:r>
            <w:r>
              <w:rPr>
                <w:rFonts w:hint="default" w:ascii="Times New Roman" w:hAnsi="Times New Roman" w:eastAsia="宋体" w:cs="Times New Roman"/>
                <w:color w:val="auto"/>
                <w:kern w:val="0"/>
                <w:sz w:val="24"/>
              </w:rPr>
              <w:t xml:space="preserve">）相关要求。 </w:t>
            </w:r>
          </w:p>
          <w:p w14:paraId="4FDFA8FC">
            <w:pPr>
              <w:pStyle w:val="6"/>
              <w:adjustRightInd w:val="0"/>
              <w:snapToGrid w:val="0"/>
              <w:spacing w:line="500" w:lineRule="exact"/>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val="en-US" w:eastAsia="zh-CN"/>
              </w:rPr>
              <w:t>企业在做好废物产生、收集、贮运、处置各环节的措施及厂内管理后，固废均能得到合理、有效地处置。因此，厂内产生的固体废物经有效处理和处置后对环境影响较小。</w:t>
            </w:r>
          </w:p>
          <w:p w14:paraId="3F258537">
            <w:pPr>
              <w:pStyle w:val="6"/>
              <w:adjustRightInd w:val="0"/>
              <w:snapToGrid w:val="0"/>
              <w:spacing w:line="500" w:lineRule="exact"/>
              <w:ind w:firstLine="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eastAsia="zh-CN"/>
              </w:rPr>
              <w:t>五</w:t>
            </w:r>
            <w:r>
              <w:rPr>
                <w:rFonts w:hint="default" w:ascii="Times New Roman" w:hAnsi="Times New Roman" w:eastAsia="宋体" w:cs="Times New Roman"/>
                <w:b/>
                <w:bCs/>
                <w:color w:val="auto"/>
                <w:sz w:val="24"/>
                <w:szCs w:val="24"/>
              </w:rPr>
              <w:t>、土壤、地下水</w:t>
            </w:r>
          </w:p>
          <w:p w14:paraId="23CC39C9">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（1）土壤、地下水环境影响分析</w:t>
            </w:r>
          </w:p>
          <w:p w14:paraId="22069831">
            <w:pPr>
              <w:spacing w:line="48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本项目正常运行过程中，落实各项污染防渗措施的情况下，不会对当地</w:t>
            </w:r>
            <w:r>
              <w:rPr>
                <w:rFonts w:hint="default" w:ascii="Times New Roman" w:hAnsi="Times New Roman" w:eastAsia="宋体" w:cs="Times New Roman"/>
                <w:color w:val="auto"/>
                <w:sz w:val="24"/>
                <w:lang w:val="en-US" w:eastAsia="zh-CN"/>
              </w:rPr>
              <w:t>土壤及</w:t>
            </w:r>
            <w:r>
              <w:rPr>
                <w:rFonts w:hint="default" w:ascii="Times New Roman" w:hAnsi="Times New Roman" w:eastAsia="宋体" w:cs="Times New Roman"/>
                <w:color w:val="auto"/>
                <w:sz w:val="24"/>
              </w:rPr>
              <w:t>地下水水质产生影响。若产生泄漏，污染物下渗则可能会在厂区及周边较小范围内造成</w:t>
            </w:r>
            <w:r>
              <w:rPr>
                <w:rFonts w:hint="default" w:ascii="Times New Roman" w:hAnsi="Times New Roman" w:eastAsia="宋体" w:cs="Times New Roman"/>
                <w:color w:val="auto"/>
                <w:sz w:val="24"/>
                <w:lang w:val="en-US" w:eastAsia="zh-CN"/>
              </w:rPr>
              <w:t>土壤及地下水</w:t>
            </w:r>
            <w:r>
              <w:rPr>
                <w:rFonts w:hint="default" w:ascii="Times New Roman" w:hAnsi="Times New Roman" w:eastAsia="宋体" w:cs="Times New Roman"/>
                <w:color w:val="auto"/>
                <w:sz w:val="24"/>
              </w:rPr>
              <w:t>水质污染。项目所在地水文地质单元内水力梯度小，水流速度较慢，污染物不易随水流迁移。区域地层以风化基岩为主，透水性较小，污染物在其中迁移距离较小，对地下水基本无影响。</w:t>
            </w:r>
          </w:p>
          <w:p w14:paraId="2DF9805F">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若固体废物不考虑设置废物堆放处或者没有适当的防漏措施，其中的有害组分很容易经过风化、雨水淋溶、地表径流的侵蚀，产生有毒液体渗入土壤，</w:t>
            </w:r>
            <w:r>
              <w:rPr>
                <w:rFonts w:hint="default" w:ascii="Times New Roman" w:hAnsi="Times New Roman" w:eastAsia="宋体" w:cs="Times New Roman"/>
                <w:color w:val="auto"/>
                <w:sz w:val="24"/>
                <w:lang w:val="en-US" w:eastAsia="zh-CN"/>
              </w:rPr>
              <w:t>对土壤环境造成污染</w:t>
            </w:r>
            <w:r>
              <w:rPr>
                <w:rFonts w:hint="default" w:ascii="Times New Roman" w:hAnsi="Times New Roman" w:eastAsia="宋体" w:cs="Times New Roman"/>
                <w:color w:val="auto"/>
                <w:sz w:val="24"/>
              </w:rPr>
              <w:t>。同时这些水分经土壤渗入地下水，对地下水水质也造成污染。本项目设置有危废仓库暂存危险废物，且危险废物仓库采取 “三防”（防扬散、防流失、防渗漏）和防腐措施。因此，项目运行期可有效避免由于固废的泄露而造成土壤环境的污染。</w:t>
            </w:r>
          </w:p>
          <w:p w14:paraId="19A10EBC">
            <w:pPr>
              <w:adjustRightInd w:val="0"/>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大气沉降主要考虑重点重金属</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color w:val="auto"/>
                <w:sz w:val="24"/>
              </w:rPr>
              <w:t>铅、汞、镉、铬、砷和铊</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bCs/>
                <w:color w:val="auto"/>
                <w:sz w:val="24"/>
              </w:rPr>
              <w:t>、持久性有机污染物（特别是二噁英，典型行业有铅蓄电池和危废焚烧等）、难降解有机污染物（苯系物等）以及最高法司法解释中规定的（主要有危废、剧毒化合物、重金属、农药等持久性有机污染物）。本项目废气不属于重点重金属、持久性有机污染物或难降解有机污染物，大气沉降对土壤基本无影响。</w:t>
            </w:r>
          </w:p>
          <w:p w14:paraId="1FA79780">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（2）</w:t>
            </w:r>
            <w:r>
              <w:rPr>
                <w:rFonts w:hint="default" w:ascii="Times New Roman" w:hAnsi="Times New Roman" w:eastAsia="宋体" w:cs="Times New Roman"/>
                <w:bCs/>
                <w:color w:val="auto"/>
                <w:sz w:val="24"/>
              </w:rPr>
              <w:t>土壤</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地下水污染防治措施</w:t>
            </w:r>
          </w:p>
          <w:p w14:paraId="22E84794">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本项目土壤地下水污染防治措施按照“源头控制、分区防治、污染监控、应急响应”相结合的原则，从污染物的产生、入渗、扩散、应急响应进行控制。</w:t>
            </w:r>
          </w:p>
          <w:p w14:paraId="2730AE91">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①源头控制措施</w:t>
            </w:r>
          </w:p>
          <w:p w14:paraId="0AAF06A0">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以先进工艺、管道、设备、污水储存，尽可能从源头上减少废水产生；严格按照国家相关规范要求，对工艺、管道、设备、污水储存及处理构筑物采取相应的措施，以防止和降低废水的跑、冒、滴、漏，将废水泄漏的环境风险事故降到最低程度。</w:t>
            </w:r>
          </w:p>
          <w:p w14:paraId="0E3B313D">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②分区防渗措施</w:t>
            </w:r>
          </w:p>
          <w:p w14:paraId="285AB20B">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根据防渗参照的标准和规范，结合目前施工过程中的可操作性和技术水平，针对不同的防渗区域采用典型防渗措施，在具体设计中将根据实际情况在满足防渗标准的前提下做必要的调整。</w:t>
            </w:r>
          </w:p>
          <w:p w14:paraId="51DCF33F">
            <w:pPr>
              <w:spacing w:line="500" w:lineRule="exact"/>
              <w:ind w:firstLine="480" w:firstLineChars="200"/>
              <w:rPr>
                <w:rFonts w:hint="default" w:ascii="Times New Roman" w:hAnsi="Times New Roman" w:eastAsia="宋体" w:cs="Times New Roman"/>
                <w:bCs/>
                <w:color w:val="auto"/>
                <w:sz w:val="24"/>
              </w:rPr>
            </w:pPr>
            <w:bookmarkStart w:id="6" w:name="OLE_LINK23"/>
            <w:r>
              <w:rPr>
                <w:rFonts w:hint="default" w:ascii="Times New Roman" w:hAnsi="Times New Roman" w:eastAsia="宋体" w:cs="Times New Roman"/>
                <w:bCs/>
                <w:color w:val="auto"/>
                <w:sz w:val="24"/>
                <w:lang w:val="en-US" w:eastAsia="zh-CN"/>
              </w:rPr>
              <w:t>A、</w:t>
            </w:r>
            <w:r>
              <w:rPr>
                <w:rFonts w:hint="default" w:ascii="Times New Roman" w:hAnsi="Times New Roman" w:eastAsia="宋体" w:cs="Times New Roman"/>
                <w:bCs/>
                <w:color w:val="auto"/>
                <w:sz w:val="24"/>
              </w:rPr>
              <w:t>重点防渗区</w:t>
            </w:r>
            <w:bookmarkEnd w:id="6"/>
          </w:p>
          <w:p w14:paraId="3586AE86">
            <w:pPr>
              <w:spacing w:line="500" w:lineRule="exact"/>
              <w:ind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rPr>
              <w:t>本项目建成后，重</w:t>
            </w:r>
            <w:r>
              <w:rPr>
                <w:rFonts w:hint="default" w:ascii="Times New Roman" w:hAnsi="Times New Roman" w:eastAsia="宋体" w:cs="Times New Roman"/>
                <w:color w:val="auto"/>
                <w:sz w:val="24"/>
                <w:szCs w:val="24"/>
                <w:highlight w:val="none"/>
              </w:rPr>
              <w:t>点防渗区</w:t>
            </w:r>
            <w:r>
              <w:rPr>
                <w:rFonts w:hint="default" w:ascii="Times New Roman" w:hAnsi="Times New Roman" w:eastAsia="宋体" w:cs="Times New Roman"/>
                <w:color w:val="auto"/>
                <w:sz w:val="24"/>
                <w:szCs w:val="24"/>
                <w:highlight w:val="none"/>
                <w:lang w:val="en-US" w:eastAsia="zh-CN"/>
              </w:rPr>
              <w:t>主要为印刷间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危废仓库等。</w:t>
            </w:r>
          </w:p>
          <w:p w14:paraId="310FFC4E">
            <w:pPr>
              <w:spacing w:line="500" w:lineRule="exact"/>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危废仓库</w:t>
            </w:r>
            <w:r>
              <w:rPr>
                <w:rFonts w:hint="default" w:ascii="Times New Roman" w:hAnsi="Times New Roman" w:eastAsia="宋体" w:cs="Times New Roman"/>
                <w:bCs/>
                <w:color w:val="auto"/>
                <w:sz w:val="24"/>
                <w:lang w:eastAsia="zh-CN"/>
              </w:rPr>
              <w:t>为现有建筑，但不符合</w:t>
            </w:r>
            <w:r>
              <w:rPr>
                <w:rFonts w:hint="default" w:ascii="Times New Roman" w:hAnsi="Times New Roman" w:eastAsia="宋体" w:cs="Times New Roman"/>
                <w:bCs/>
                <w:color w:val="auto"/>
                <w:sz w:val="24"/>
              </w:rPr>
              <w:t>重</w:t>
            </w:r>
            <w:r>
              <w:rPr>
                <w:rFonts w:hint="default" w:ascii="Times New Roman" w:hAnsi="Times New Roman" w:eastAsia="宋体" w:cs="Times New Roman"/>
                <w:color w:val="auto"/>
                <w:sz w:val="24"/>
                <w:szCs w:val="24"/>
                <w:highlight w:val="none"/>
              </w:rPr>
              <w:t>点防渗区</w:t>
            </w:r>
            <w:r>
              <w:rPr>
                <w:rFonts w:hint="default" w:ascii="Times New Roman" w:hAnsi="Times New Roman" w:eastAsia="宋体" w:cs="Times New Roman"/>
                <w:color w:val="auto"/>
                <w:sz w:val="24"/>
                <w:szCs w:val="24"/>
                <w:highlight w:val="none"/>
                <w:lang w:eastAsia="zh-CN"/>
              </w:rPr>
              <w:t>要求，需</w:t>
            </w:r>
            <w:r>
              <w:rPr>
                <w:rFonts w:hint="default" w:ascii="Times New Roman" w:hAnsi="Times New Roman" w:eastAsia="宋体" w:cs="Times New Roman"/>
                <w:bCs/>
                <w:color w:val="auto"/>
                <w:sz w:val="24"/>
                <w:lang w:eastAsia="zh-CN"/>
              </w:rPr>
              <w:t>参照</w:t>
            </w:r>
            <w:r>
              <w:rPr>
                <w:rFonts w:hint="default" w:ascii="Times New Roman" w:hAnsi="Times New Roman" w:eastAsia="宋体" w:cs="Times New Roman"/>
                <w:bCs/>
                <w:color w:val="auto"/>
                <w:sz w:val="24"/>
              </w:rPr>
              <w:t>《危险废物贮存污染控制标准》（GB18597-2023）进行防渗设计，具备耐腐蚀的硬化地面和基础防渗层</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渗透系数小于1.0×10</w:t>
            </w:r>
            <w:r>
              <w:rPr>
                <w:rFonts w:hint="default" w:ascii="Times New Roman" w:hAnsi="Times New Roman" w:eastAsia="宋体" w:cs="Times New Roman"/>
                <w:bCs/>
                <w:color w:val="auto"/>
                <w:sz w:val="24"/>
                <w:vertAlign w:val="superscript"/>
              </w:rPr>
              <w:t>-10</w:t>
            </w:r>
            <w:r>
              <w:rPr>
                <w:rFonts w:hint="default" w:ascii="Times New Roman" w:hAnsi="Times New Roman" w:eastAsia="宋体" w:cs="Times New Roman"/>
                <w:bCs/>
                <w:color w:val="auto"/>
                <w:sz w:val="24"/>
              </w:rPr>
              <w:t>厘米/秒</w:t>
            </w:r>
            <w:r>
              <w:rPr>
                <w:rFonts w:hint="default" w:ascii="Times New Roman" w:hAnsi="Times New Roman" w:eastAsia="宋体" w:cs="Times New Roman"/>
                <w:bCs/>
                <w:color w:val="auto"/>
                <w:sz w:val="24"/>
                <w:lang w:eastAsia="zh-CN"/>
              </w:rPr>
              <w:t>；</w:t>
            </w:r>
          </w:p>
          <w:p w14:paraId="03012E89">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szCs w:val="24"/>
                <w:highlight w:val="none"/>
                <w:lang w:val="en-US" w:eastAsia="zh-CN"/>
              </w:rPr>
              <w:t>印刷间</w:t>
            </w:r>
            <w:r>
              <w:rPr>
                <w:rFonts w:hint="default" w:ascii="Times New Roman" w:hAnsi="Times New Roman" w:eastAsia="宋体" w:cs="Times New Roman"/>
                <w:color w:val="auto"/>
                <w:sz w:val="24"/>
                <w:szCs w:val="24"/>
                <w:highlight w:val="none"/>
                <w:lang w:eastAsia="zh-CN"/>
              </w:rPr>
              <w:t>为新增建筑，需</w:t>
            </w:r>
            <w:r>
              <w:rPr>
                <w:rFonts w:hint="default" w:ascii="Times New Roman" w:hAnsi="Times New Roman" w:eastAsia="宋体" w:cs="Times New Roman"/>
                <w:bCs/>
                <w:color w:val="auto"/>
                <w:sz w:val="24"/>
                <w:lang w:eastAsia="zh-CN"/>
              </w:rPr>
              <w:t>参照</w:t>
            </w:r>
            <w:r>
              <w:rPr>
                <w:rFonts w:hint="default" w:ascii="Times New Roman" w:hAnsi="Times New Roman" w:eastAsia="宋体" w:cs="Times New Roman"/>
                <w:bCs/>
                <w:color w:val="auto"/>
                <w:sz w:val="24"/>
              </w:rPr>
              <w:t>《危险废物贮存污染控制标准》（GB18597-2023）进行防渗设计，具备耐腐蚀的硬化地面和基础防渗层</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rPr>
              <w:t>渗透系数小于1.0×10</w:t>
            </w:r>
            <w:r>
              <w:rPr>
                <w:rFonts w:hint="default" w:ascii="Times New Roman" w:hAnsi="Times New Roman" w:eastAsia="宋体" w:cs="Times New Roman"/>
                <w:bCs/>
                <w:color w:val="auto"/>
                <w:sz w:val="24"/>
                <w:vertAlign w:val="superscript"/>
              </w:rPr>
              <w:t>-10</w:t>
            </w:r>
            <w:r>
              <w:rPr>
                <w:rFonts w:hint="default" w:ascii="Times New Roman" w:hAnsi="Times New Roman" w:eastAsia="宋体" w:cs="Times New Roman"/>
                <w:bCs/>
                <w:color w:val="auto"/>
                <w:sz w:val="24"/>
              </w:rPr>
              <w:t>厘米/秒。</w:t>
            </w:r>
          </w:p>
          <w:p w14:paraId="22F55F83">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B、</w:t>
            </w:r>
            <w:r>
              <w:rPr>
                <w:rFonts w:hint="default" w:ascii="Times New Roman" w:hAnsi="Times New Roman" w:eastAsia="宋体" w:cs="Times New Roman"/>
                <w:bCs/>
                <w:color w:val="auto"/>
                <w:sz w:val="24"/>
              </w:rPr>
              <w:t>一般防渗区</w:t>
            </w:r>
          </w:p>
          <w:p w14:paraId="5A9372A1">
            <w:pPr>
              <w:spacing w:line="500" w:lineRule="exact"/>
              <w:ind w:firstLine="480" w:firstLineChars="200"/>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Cs/>
                <w:color w:val="auto"/>
                <w:sz w:val="24"/>
              </w:rPr>
              <w:t>本项目建成后，一般防渗区主要为</w:t>
            </w:r>
            <w:r>
              <w:rPr>
                <w:rFonts w:hint="default" w:ascii="Times New Roman" w:hAnsi="Times New Roman" w:eastAsia="宋体" w:cs="Times New Roman"/>
                <w:bCs/>
                <w:color w:val="auto"/>
                <w:sz w:val="24"/>
                <w:lang w:val="en-US" w:eastAsia="zh-CN"/>
              </w:rPr>
              <w:t>车间其他生产区域、仓库</w:t>
            </w:r>
            <w:r>
              <w:rPr>
                <w:rFonts w:hint="default" w:ascii="Times New Roman" w:hAnsi="Times New Roman" w:eastAsia="宋体" w:cs="Times New Roman"/>
                <w:bCs/>
                <w:color w:val="auto"/>
                <w:sz w:val="24"/>
              </w:rPr>
              <w:t>等。</w:t>
            </w:r>
            <w:r>
              <w:rPr>
                <w:rFonts w:hint="default" w:ascii="Times New Roman" w:hAnsi="Times New Roman" w:eastAsia="宋体" w:cs="Times New Roman"/>
                <w:bCs/>
                <w:color w:val="auto"/>
                <w:sz w:val="24"/>
                <w:lang w:eastAsia="zh-CN"/>
              </w:rPr>
              <w:t>厂区</w:t>
            </w:r>
            <w:r>
              <w:rPr>
                <w:rFonts w:hint="default" w:ascii="Times New Roman" w:hAnsi="Times New Roman" w:eastAsia="宋体" w:cs="Times New Roman"/>
                <w:bCs/>
                <w:color w:val="auto"/>
                <w:sz w:val="24"/>
                <w:lang w:val="en-US" w:eastAsia="zh-CN"/>
              </w:rPr>
              <w:t>仓库</w:t>
            </w:r>
            <w:r>
              <w:rPr>
                <w:rFonts w:hint="default" w:ascii="Times New Roman" w:hAnsi="Times New Roman" w:eastAsia="宋体" w:cs="Times New Roman"/>
                <w:bCs/>
                <w:color w:val="auto"/>
                <w:sz w:val="24"/>
                <w:lang w:eastAsia="zh-CN"/>
              </w:rPr>
              <w:t>已</w:t>
            </w:r>
            <w:r>
              <w:rPr>
                <w:rFonts w:hint="default" w:ascii="Times New Roman" w:hAnsi="Times New Roman" w:eastAsia="宋体" w:cs="Times New Roman"/>
                <w:bCs/>
                <w:color w:val="auto"/>
                <w:sz w:val="24"/>
              </w:rPr>
              <w:t>进行水泥硬化处理，确保渗透系数≤10</w:t>
            </w:r>
            <w:r>
              <w:rPr>
                <w:rFonts w:hint="default" w:ascii="Times New Roman" w:hAnsi="Times New Roman" w:eastAsia="宋体" w:cs="Times New Roman"/>
                <w:bCs/>
                <w:color w:val="auto"/>
                <w:sz w:val="24"/>
                <w:vertAlign w:val="superscript"/>
              </w:rPr>
              <w:t>-7</w:t>
            </w:r>
            <w:r>
              <w:rPr>
                <w:rFonts w:hint="default" w:ascii="Times New Roman" w:hAnsi="Times New Roman" w:eastAsia="宋体" w:cs="Times New Roman"/>
                <w:bCs/>
                <w:color w:val="auto"/>
                <w:sz w:val="24"/>
              </w:rPr>
              <w:t>cm/s</w:t>
            </w:r>
            <w:r>
              <w:rPr>
                <w:rFonts w:hint="default" w:ascii="Times New Roman" w:hAnsi="Times New Roman" w:eastAsia="宋体" w:cs="Times New Roman"/>
                <w:bCs/>
                <w:color w:val="auto"/>
                <w:sz w:val="24"/>
                <w:lang w:eastAsia="zh-CN"/>
              </w:rPr>
              <w:t>。</w:t>
            </w:r>
          </w:p>
          <w:p w14:paraId="73459865">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③应急处置</w:t>
            </w:r>
          </w:p>
          <w:p w14:paraId="538D3CE3">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当发生异常情况，需要马上采取紧急措施。按照装置制定的环境事故应急预案，启动应急预案。在第一时间内尽快上报主管领导，启动周围社会预案，密切关注地下水水质变化情况。组织专业队伍负责查找环境事故发生地点，分析事故原因，尽量将紧急</w:t>
            </w:r>
            <w:r>
              <w:rPr>
                <w:rFonts w:hint="default" w:ascii="Times New Roman" w:hAnsi="Times New Roman" w:eastAsia="宋体" w:cs="Times New Roman"/>
                <w:bCs/>
                <w:color w:val="auto"/>
                <w:sz w:val="24"/>
                <w:lang w:eastAsia="zh-CN"/>
              </w:rPr>
              <w:t>事件</w:t>
            </w:r>
            <w:r>
              <w:rPr>
                <w:rFonts w:hint="default" w:ascii="Times New Roman" w:hAnsi="Times New Roman" w:eastAsia="宋体" w:cs="Times New Roman"/>
                <w:bCs/>
                <w:color w:val="auto"/>
                <w:sz w:val="24"/>
              </w:rPr>
              <w:t>局部化，如可能应予以消除，尽量缩小环境事故对人和财产的影响，减低事故后果的手段，包括切断生产装置或设施。对事故现场进</w:t>
            </w:r>
            <w:r>
              <w:rPr>
                <w:rFonts w:hint="default" w:ascii="Times New Roman" w:hAnsi="Times New Roman" w:eastAsia="宋体" w:cs="Times New Roman"/>
                <w:bCs/>
                <w:color w:val="auto"/>
                <w:sz w:val="24"/>
                <w:lang w:eastAsia="zh-CN"/>
              </w:rPr>
              <w:t>行</w:t>
            </w:r>
            <w:r>
              <w:rPr>
                <w:rFonts w:hint="default" w:ascii="Times New Roman" w:hAnsi="Times New Roman" w:eastAsia="宋体" w:cs="Times New Roman"/>
                <w:bCs/>
                <w:color w:val="auto"/>
                <w:sz w:val="24"/>
              </w:rPr>
              <w:t>调查、监测、处理。对事故后果进行评估，采取紧急措施制止事故的扩散、扩大，并制定防止类似事件发生的措施。如果本公司力量不足，需要请求社会应急力量协助。</w:t>
            </w:r>
          </w:p>
          <w:p w14:paraId="227CC568">
            <w:pPr>
              <w:adjustRightInd w:val="0"/>
              <w:snapToGrid w:val="0"/>
              <w:spacing w:line="500" w:lineRule="exac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六</w:t>
            </w:r>
            <w:r>
              <w:rPr>
                <w:rFonts w:hint="default" w:ascii="Times New Roman" w:hAnsi="Times New Roman" w:eastAsia="宋体" w:cs="Times New Roman"/>
                <w:b/>
                <w:bCs/>
                <w:color w:val="auto"/>
                <w:sz w:val="24"/>
              </w:rPr>
              <w:t>、生态</w:t>
            </w:r>
          </w:p>
          <w:p w14:paraId="75FD5E58">
            <w:pPr>
              <w:adjustRightInd w:val="0"/>
              <w:snapToGrid w:val="0"/>
              <w:spacing w:line="500" w:lineRule="exact"/>
              <w:ind w:firstLine="480" w:firstLineChars="200"/>
              <w:rPr>
                <w:rFonts w:hint="default" w:ascii="Times New Roman" w:hAnsi="Times New Roman" w:eastAsia="宋体" w:cs="Times New Roman"/>
                <w:bCs/>
                <w:color w:val="auto"/>
                <w:sz w:val="24"/>
                <w:szCs w:val="22"/>
              </w:rPr>
            </w:pPr>
            <w:r>
              <w:rPr>
                <w:rFonts w:hint="default" w:ascii="Times New Roman" w:hAnsi="Times New Roman" w:eastAsia="宋体" w:cs="Times New Roman"/>
                <w:bCs/>
                <w:color w:val="auto"/>
                <w:sz w:val="24"/>
                <w:szCs w:val="22"/>
              </w:rPr>
              <w:t>本项目不在已划定的生态空间管控区域和生态红线区内，无须设置生态保护措施。</w:t>
            </w:r>
          </w:p>
          <w:p w14:paraId="5A09BB36">
            <w:pPr>
              <w:adjustRightInd w:val="0"/>
              <w:snapToGrid w:val="0"/>
              <w:spacing w:line="500" w:lineRule="exac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七</w:t>
            </w:r>
            <w:r>
              <w:rPr>
                <w:rFonts w:hint="default" w:ascii="Times New Roman" w:hAnsi="Times New Roman" w:eastAsia="宋体" w:cs="Times New Roman"/>
                <w:b/>
                <w:bCs/>
                <w:color w:val="auto"/>
                <w:sz w:val="24"/>
              </w:rPr>
              <w:t>、环境风险</w:t>
            </w:r>
          </w:p>
          <w:p w14:paraId="4117BA1F">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rPr>
              <w:t>风险识别</w:t>
            </w:r>
          </w:p>
          <w:p w14:paraId="6B32C709">
            <w:pPr>
              <w:spacing w:line="500" w:lineRule="exact"/>
              <w:ind w:firstLine="480"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Cs/>
                <w:color w:val="auto"/>
                <w:sz w:val="24"/>
              </w:rPr>
              <w:t>本项目涉及的风险物质最大存储量与临界量见下表。</w:t>
            </w:r>
          </w:p>
          <w:p w14:paraId="3E6D38DD">
            <w:pPr>
              <w:spacing w:line="500" w:lineRule="exact"/>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表4-2</w:t>
            </w:r>
            <w:r>
              <w:rPr>
                <w:rFonts w:hint="default" w:ascii="Times New Roman" w:hAnsi="Times New Roman" w:eastAsia="宋体" w:cs="Times New Roman"/>
                <w:b/>
                <w:bCs/>
                <w:color w:val="auto"/>
                <w:szCs w:val="21"/>
                <w:highlight w:val="none"/>
                <w:lang w:val="en-US" w:eastAsia="zh-CN"/>
              </w:rPr>
              <w:t xml:space="preserve">2 </w:t>
            </w:r>
            <w:r>
              <w:rPr>
                <w:rFonts w:hint="default" w:ascii="Times New Roman" w:hAnsi="Times New Roman" w:eastAsia="宋体" w:cs="Times New Roman"/>
                <w:b/>
                <w:bCs/>
                <w:color w:val="auto"/>
                <w:szCs w:val="21"/>
                <w:highlight w:val="none"/>
              </w:rPr>
              <w:t>风险物质与临界量比值结果表</w:t>
            </w:r>
          </w:p>
          <w:tbl>
            <w:tblPr>
              <w:tblStyle w:val="28"/>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1521"/>
              <w:gridCol w:w="1763"/>
              <w:gridCol w:w="1816"/>
              <w:gridCol w:w="1225"/>
              <w:gridCol w:w="1742"/>
            </w:tblGrid>
            <w:tr w14:paraId="3029FD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Align w:val="center"/>
                </w:tcPr>
                <w:p w14:paraId="3F8E6E19">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序号</w:t>
                  </w:r>
                </w:p>
              </w:tc>
              <w:tc>
                <w:tcPr>
                  <w:tcW w:w="860" w:type="pct"/>
                  <w:vAlign w:val="center"/>
                </w:tcPr>
                <w:p w14:paraId="0C9FEBC2">
                  <w:pPr>
                    <w:adjustRightInd w:val="0"/>
                    <w:snapToGrid w:val="0"/>
                    <w:jc w:val="center"/>
                    <w:rPr>
                      <w:rFonts w:hint="default" w:ascii="Times New Roman" w:hAnsi="Times New Roman" w:eastAsia="宋体" w:cs="Times New Roman"/>
                      <w:b/>
                      <w:color w:val="auto"/>
                    </w:rPr>
                  </w:pPr>
                  <w:r>
                    <w:rPr>
                      <w:rFonts w:hint="default" w:ascii="Times New Roman" w:hAnsi="Times New Roman" w:eastAsia="宋体" w:cs="Times New Roman"/>
                      <w:b/>
                      <w:color w:val="auto"/>
                      <w:szCs w:val="21"/>
                    </w:rPr>
                    <w:t>名称</w:t>
                  </w:r>
                </w:p>
              </w:tc>
              <w:tc>
                <w:tcPr>
                  <w:tcW w:w="997" w:type="pct"/>
                  <w:tcBorders>
                    <w:right w:val="single" w:color="000000" w:sz="4" w:space="0"/>
                  </w:tcBorders>
                  <w:vAlign w:val="center"/>
                </w:tcPr>
                <w:p w14:paraId="5BED4273">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最大存在总量（t）</w:t>
                  </w:r>
                </w:p>
              </w:tc>
              <w:tc>
                <w:tcPr>
                  <w:tcW w:w="1027" w:type="pct"/>
                  <w:tcBorders>
                    <w:left w:val="single" w:color="000000" w:sz="4" w:space="0"/>
                    <w:right w:val="single" w:color="000000" w:sz="4" w:space="0"/>
                  </w:tcBorders>
                  <w:vAlign w:val="center"/>
                </w:tcPr>
                <w:p w14:paraId="377892DA">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贮存/暂存场所</w:t>
                  </w:r>
                </w:p>
              </w:tc>
              <w:tc>
                <w:tcPr>
                  <w:tcW w:w="692" w:type="pct"/>
                  <w:tcBorders>
                    <w:left w:val="single" w:color="000000" w:sz="4" w:space="0"/>
                  </w:tcBorders>
                  <w:vAlign w:val="center"/>
                </w:tcPr>
                <w:p w14:paraId="58E660C8">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临界量（t）</w:t>
                  </w:r>
                </w:p>
              </w:tc>
              <w:tc>
                <w:tcPr>
                  <w:tcW w:w="985" w:type="pct"/>
                  <w:vAlign w:val="center"/>
                </w:tcPr>
                <w:p w14:paraId="0ED895D5">
                  <w:pPr>
                    <w:adjustRightInd w:val="0"/>
                    <w:snapToGrid w:val="0"/>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最大储存量与临界量的比值（q</w:t>
                  </w:r>
                  <w:r>
                    <w:rPr>
                      <w:rFonts w:hint="default" w:ascii="Times New Roman" w:hAnsi="Times New Roman" w:eastAsia="宋体" w:cs="Times New Roman"/>
                      <w:b/>
                      <w:color w:val="auto"/>
                      <w:szCs w:val="21"/>
                      <w:vertAlign w:val="subscript"/>
                    </w:rPr>
                    <w:t>i</w:t>
                  </w:r>
                  <w:r>
                    <w:rPr>
                      <w:rFonts w:hint="default" w:ascii="Times New Roman" w:hAnsi="Times New Roman" w:eastAsia="宋体" w:cs="Times New Roman"/>
                      <w:b/>
                      <w:color w:val="auto"/>
                      <w:szCs w:val="21"/>
                    </w:rPr>
                    <w:t>/Q</w:t>
                  </w:r>
                  <w:r>
                    <w:rPr>
                      <w:rFonts w:hint="default" w:ascii="Times New Roman" w:hAnsi="Times New Roman" w:eastAsia="宋体" w:cs="Times New Roman"/>
                      <w:b/>
                      <w:color w:val="auto"/>
                      <w:szCs w:val="21"/>
                      <w:vertAlign w:val="subscript"/>
                    </w:rPr>
                    <w:t>i</w:t>
                  </w:r>
                  <w:r>
                    <w:rPr>
                      <w:rFonts w:hint="default" w:ascii="Times New Roman" w:hAnsi="Times New Roman" w:eastAsia="宋体" w:cs="Times New Roman"/>
                      <w:b/>
                      <w:color w:val="auto"/>
                      <w:szCs w:val="21"/>
                    </w:rPr>
                    <w:t>）</w:t>
                  </w:r>
                </w:p>
              </w:tc>
            </w:tr>
            <w:tr w14:paraId="69F6DB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Merge w:val="restart"/>
                  <w:vAlign w:val="center"/>
                </w:tcPr>
                <w:p w14:paraId="30F020F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860" w:type="pct"/>
                  <w:vMerge w:val="restart"/>
                  <w:vAlign w:val="center"/>
                </w:tcPr>
                <w:p w14:paraId="20276429">
                  <w:pPr>
                    <w:keepNext w:val="0"/>
                    <w:keepLines w:val="0"/>
                    <w:widowControl/>
                    <w:suppressLineNumbers w:val="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丝网印刷油墨</w:t>
                  </w:r>
                </w:p>
              </w:tc>
              <w:tc>
                <w:tcPr>
                  <w:tcW w:w="997" w:type="pct"/>
                  <w:tcBorders>
                    <w:right w:val="single" w:color="000000" w:sz="4" w:space="0"/>
                  </w:tcBorders>
                  <w:vAlign w:val="center"/>
                </w:tcPr>
                <w:p w14:paraId="05A364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highlight w:val="none"/>
                      <w:lang w:val="en-US" w:eastAsia="zh-CN"/>
                    </w:rPr>
                    <w:t>0.001（</w:t>
                  </w:r>
                  <w:r>
                    <w:rPr>
                      <w:rFonts w:hint="default" w:ascii="Times New Roman" w:hAnsi="Times New Roman" w:eastAsia="宋体" w:cs="Times New Roman"/>
                      <w:bCs/>
                      <w:color w:val="auto"/>
                      <w:kern w:val="2"/>
                      <w:sz w:val="21"/>
                      <w:szCs w:val="21"/>
                      <w:highlight w:val="none"/>
                      <w:lang w:val="en-US" w:eastAsia="zh-CN" w:bidi="ar-SA"/>
                    </w:rPr>
                    <w:t>甲苯</w:t>
                  </w:r>
                  <w:r>
                    <w:rPr>
                      <w:rFonts w:hint="default" w:ascii="Times New Roman" w:hAnsi="Times New Roman" w:eastAsia="宋体" w:cs="Times New Roman"/>
                      <w:color w:val="auto"/>
                      <w:kern w:val="0"/>
                      <w:szCs w:val="21"/>
                      <w:highlight w:val="none"/>
                      <w:lang w:val="en-US" w:eastAsia="zh-CN"/>
                    </w:rPr>
                    <w:t>）</w:t>
                  </w:r>
                </w:p>
              </w:tc>
              <w:tc>
                <w:tcPr>
                  <w:tcW w:w="1027" w:type="pct"/>
                  <w:vMerge w:val="restart"/>
                  <w:tcBorders>
                    <w:left w:val="single" w:color="000000" w:sz="4" w:space="0"/>
                    <w:right w:val="single" w:color="000000" w:sz="4" w:space="0"/>
                  </w:tcBorders>
                  <w:vAlign w:val="center"/>
                </w:tcPr>
                <w:p w14:paraId="71C02427">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防爆柜</w:t>
                  </w:r>
                </w:p>
              </w:tc>
              <w:tc>
                <w:tcPr>
                  <w:tcW w:w="692" w:type="pct"/>
                  <w:tcBorders>
                    <w:left w:val="single" w:color="000000" w:sz="4" w:space="0"/>
                  </w:tcBorders>
                  <w:vAlign w:val="center"/>
                </w:tcPr>
                <w:p w14:paraId="3CF2D5F8">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w:t>
                  </w:r>
                </w:p>
              </w:tc>
              <w:tc>
                <w:tcPr>
                  <w:tcW w:w="1742" w:type="dxa"/>
                  <w:vAlign w:val="center"/>
                </w:tcPr>
                <w:p w14:paraId="1CCD021C">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0.0001</w:t>
                  </w:r>
                </w:p>
              </w:tc>
            </w:tr>
            <w:tr w14:paraId="499BA3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Merge w:val="continue"/>
                  <w:vAlign w:val="center"/>
                </w:tcPr>
                <w:p w14:paraId="1541D1F4">
                  <w:pPr>
                    <w:adjustRightInd w:val="0"/>
                    <w:snapToGrid w:val="0"/>
                    <w:jc w:val="center"/>
                    <w:rPr>
                      <w:rFonts w:hint="default" w:ascii="Times New Roman" w:hAnsi="Times New Roman" w:eastAsia="宋体" w:cs="Times New Roman"/>
                      <w:color w:val="auto"/>
                      <w:szCs w:val="21"/>
                    </w:rPr>
                  </w:pPr>
                </w:p>
              </w:tc>
              <w:tc>
                <w:tcPr>
                  <w:tcW w:w="860" w:type="pct"/>
                  <w:vMerge w:val="continue"/>
                  <w:vAlign w:val="center"/>
                </w:tcPr>
                <w:p w14:paraId="2E8F495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97" w:type="pct"/>
                  <w:tcBorders>
                    <w:right w:val="single" w:color="000000" w:sz="4" w:space="0"/>
                  </w:tcBorders>
                  <w:vAlign w:val="center"/>
                </w:tcPr>
                <w:p w14:paraId="4DB529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0.009（其他组分）</w:t>
                  </w:r>
                </w:p>
              </w:tc>
              <w:tc>
                <w:tcPr>
                  <w:tcW w:w="1027" w:type="pct"/>
                  <w:vMerge w:val="continue"/>
                  <w:tcBorders>
                    <w:left w:val="single" w:color="000000" w:sz="4" w:space="0"/>
                    <w:right w:val="single" w:color="000000" w:sz="4" w:space="0"/>
                  </w:tcBorders>
                  <w:vAlign w:val="center"/>
                </w:tcPr>
                <w:p w14:paraId="3CEEB155">
                  <w:pPr>
                    <w:adjustRightInd w:val="0"/>
                    <w:snapToGrid w:val="0"/>
                    <w:jc w:val="center"/>
                    <w:rPr>
                      <w:rFonts w:hint="default" w:ascii="Times New Roman" w:hAnsi="Times New Roman" w:eastAsia="宋体" w:cs="Times New Roman"/>
                      <w:color w:val="auto"/>
                      <w:szCs w:val="21"/>
                      <w:lang w:val="en-US" w:eastAsia="zh-CN"/>
                    </w:rPr>
                  </w:pPr>
                </w:p>
              </w:tc>
              <w:tc>
                <w:tcPr>
                  <w:tcW w:w="692" w:type="pct"/>
                  <w:tcBorders>
                    <w:left w:val="single" w:color="000000" w:sz="4" w:space="0"/>
                  </w:tcBorders>
                  <w:vAlign w:val="center"/>
                </w:tcPr>
                <w:p w14:paraId="4070D101">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w:t>
                  </w:r>
                </w:p>
              </w:tc>
              <w:tc>
                <w:tcPr>
                  <w:tcW w:w="1742" w:type="dxa"/>
                  <w:vAlign w:val="center"/>
                </w:tcPr>
                <w:p w14:paraId="7CA919D2">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0.00018</w:t>
                  </w:r>
                </w:p>
              </w:tc>
            </w:tr>
            <w:tr w14:paraId="3F98FE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Align w:val="center"/>
                </w:tcPr>
                <w:p w14:paraId="3BCC641D">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860" w:type="pct"/>
                  <w:vAlign w:val="center"/>
                </w:tcPr>
                <w:p w14:paraId="43392F79">
                  <w:pPr>
                    <w:keepNext w:val="0"/>
                    <w:keepLines w:val="0"/>
                    <w:widowControl/>
                    <w:suppressLineNumbers w:val="0"/>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i w:val="0"/>
                      <w:iCs w:val="0"/>
                      <w:color w:val="auto"/>
                      <w:kern w:val="0"/>
                      <w:sz w:val="21"/>
                      <w:szCs w:val="21"/>
                      <w:u w:val="none"/>
                      <w:lang w:val="en-US" w:eastAsia="zh-CN" w:bidi="ar"/>
                    </w:rPr>
                    <w:t>UV油墨</w:t>
                  </w:r>
                </w:p>
              </w:tc>
              <w:tc>
                <w:tcPr>
                  <w:tcW w:w="997" w:type="pct"/>
                  <w:tcBorders>
                    <w:right w:val="single" w:color="000000" w:sz="4" w:space="0"/>
                  </w:tcBorders>
                  <w:vAlign w:val="center"/>
                </w:tcPr>
                <w:p w14:paraId="4F945F5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highlight w:val="none"/>
                      <w:lang w:val="en-US" w:eastAsia="zh-CN"/>
                    </w:rPr>
                    <w:t>0.01</w:t>
                  </w:r>
                </w:p>
              </w:tc>
              <w:tc>
                <w:tcPr>
                  <w:tcW w:w="1027" w:type="pct"/>
                  <w:tcBorders>
                    <w:left w:val="single" w:color="000000" w:sz="4" w:space="0"/>
                    <w:right w:val="single" w:color="000000" w:sz="4" w:space="0"/>
                  </w:tcBorders>
                  <w:vAlign w:val="center"/>
                </w:tcPr>
                <w:p w14:paraId="5425A861">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防爆柜</w:t>
                  </w:r>
                </w:p>
              </w:tc>
              <w:tc>
                <w:tcPr>
                  <w:tcW w:w="692" w:type="pct"/>
                  <w:tcBorders>
                    <w:left w:val="single" w:color="000000" w:sz="4" w:space="0"/>
                  </w:tcBorders>
                  <w:vAlign w:val="center"/>
                </w:tcPr>
                <w:p w14:paraId="0CD23C02">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w:t>
                  </w:r>
                </w:p>
              </w:tc>
              <w:tc>
                <w:tcPr>
                  <w:tcW w:w="1742" w:type="dxa"/>
                  <w:vAlign w:val="center"/>
                </w:tcPr>
                <w:p w14:paraId="708CB61B">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0.0002</w:t>
                  </w:r>
                </w:p>
              </w:tc>
            </w:tr>
            <w:tr w14:paraId="4188F1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Align w:val="center"/>
                </w:tcPr>
                <w:p w14:paraId="7AEB00C2">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3</w:t>
                  </w:r>
                </w:p>
              </w:tc>
              <w:tc>
                <w:tcPr>
                  <w:tcW w:w="860" w:type="pct"/>
                  <w:vAlign w:val="center"/>
                </w:tcPr>
                <w:p w14:paraId="72A8D8D4">
                  <w:pPr>
                    <w:keepNext w:val="0"/>
                    <w:keepLines w:val="0"/>
                    <w:widowControl/>
                    <w:suppressLineNumbers w:val="0"/>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i w:val="0"/>
                      <w:iCs w:val="0"/>
                      <w:color w:val="auto"/>
                      <w:kern w:val="0"/>
                      <w:sz w:val="21"/>
                      <w:szCs w:val="21"/>
                      <w:u w:val="none"/>
                      <w:lang w:val="en-US" w:eastAsia="zh-CN" w:bidi="ar"/>
                    </w:rPr>
                    <w:t>写真机油墨</w:t>
                  </w:r>
                </w:p>
              </w:tc>
              <w:tc>
                <w:tcPr>
                  <w:tcW w:w="997" w:type="pct"/>
                  <w:tcBorders>
                    <w:bottom w:val="single" w:color="000000" w:sz="4" w:space="0"/>
                    <w:right w:val="single" w:color="000000" w:sz="4" w:space="0"/>
                  </w:tcBorders>
                  <w:vAlign w:val="center"/>
                </w:tcPr>
                <w:p w14:paraId="536420F6">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highlight w:val="none"/>
                      <w:lang w:val="en-US" w:eastAsia="zh-CN"/>
                    </w:rPr>
                    <w:t>0.01</w:t>
                  </w:r>
                </w:p>
              </w:tc>
              <w:tc>
                <w:tcPr>
                  <w:tcW w:w="1027" w:type="pct"/>
                  <w:tcBorders>
                    <w:left w:val="single" w:color="000000" w:sz="4" w:space="0"/>
                    <w:bottom w:val="single" w:color="000000" w:sz="4" w:space="0"/>
                    <w:right w:val="single" w:color="000000" w:sz="4" w:space="0"/>
                  </w:tcBorders>
                  <w:vAlign w:val="center"/>
                </w:tcPr>
                <w:p w14:paraId="3803D955">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防爆柜</w:t>
                  </w:r>
                </w:p>
              </w:tc>
              <w:tc>
                <w:tcPr>
                  <w:tcW w:w="692" w:type="pct"/>
                  <w:tcBorders>
                    <w:left w:val="single" w:color="000000" w:sz="4" w:space="0"/>
                    <w:bottom w:val="single" w:color="000000" w:sz="4" w:space="0"/>
                  </w:tcBorders>
                  <w:vAlign w:val="center"/>
                </w:tcPr>
                <w:p w14:paraId="17D2DE5E">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w:t>
                  </w:r>
                </w:p>
              </w:tc>
              <w:tc>
                <w:tcPr>
                  <w:tcW w:w="1742" w:type="dxa"/>
                  <w:vAlign w:val="center"/>
                </w:tcPr>
                <w:p w14:paraId="7C102976">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0.0002</w:t>
                  </w:r>
                </w:p>
              </w:tc>
            </w:tr>
            <w:tr w14:paraId="52B52C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37" w:type="pct"/>
                  <w:vAlign w:val="center"/>
                </w:tcPr>
                <w:p w14:paraId="6E79E4A6">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w:t>
                  </w:r>
                </w:p>
              </w:tc>
              <w:tc>
                <w:tcPr>
                  <w:tcW w:w="860" w:type="pct"/>
                  <w:vAlign w:val="center"/>
                </w:tcPr>
                <w:p w14:paraId="2B9565AB">
                  <w:pPr>
                    <w:keepNext w:val="0"/>
                    <w:keepLines w:val="0"/>
                    <w:widowControl/>
                    <w:suppressLineNumbers w:val="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乙醇</w:t>
                  </w:r>
                </w:p>
              </w:tc>
              <w:tc>
                <w:tcPr>
                  <w:tcW w:w="997" w:type="pct"/>
                  <w:tcBorders>
                    <w:bottom w:val="single" w:color="000000" w:sz="4" w:space="0"/>
                    <w:right w:val="single" w:color="000000" w:sz="4" w:space="0"/>
                  </w:tcBorders>
                  <w:vAlign w:val="center"/>
                </w:tcPr>
                <w:p w14:paraId="47493BBA">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kern w:val="0"/>
                      <w:szCs w:val="21"/>
                      <w:highlight w:val="none"/>
                      <w:lang w:val="en-US" w:eastAsia="zh-CN"/>
                    </w:rPr>
                    <w:t>0.01</w:t>
                  </w:r>
                </w:p>
              </w:tc>
              <w:tc>
                <w:tcPr>
                  <w:tcW w:w="1027" w:type="pct"/>
                  <w:tcBorders>
                    <w:left w:val="single" w:color="000000" w:sz="4" w:space="0"/>
                    <w:bottom w:val="single" w:color="000000" w:sz="4" w:space="0"/>
                    <w:right w:val="single" w:color="000000" w:sz="4" w:space="0"/>
                  </w:tcBorders>
                  <w:vAlign w:val="center"/>
                </w:tcPr>
                <w:p w14:paraId="176ADC5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val="en-US" w:eastAsia="zh-CN"/>
                    </w:rPr>
                    <w:t>防爆柜</w:t>
                  </w:r>
                </w:p>
              </w:tc>
              <w:tc>
                <w:tcPr>
                  <w:tcW w:w="692" w:type="pct"/>
                  <w:tcBorders>
                    <w:left w:val="single" w:color="000000" w:sz="4" w:space="0"/>
                    <w:bottom w:val="single" w:color="000000" w:sz="4" w:space="0"/>
                  </w:tcBorders>
                  <w:vAlign w:val="center"/>
                </w:tcPr>
                <w:p w14:paraId="46576A41">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500</w:t>
                  </w:r>
                </w:p>
              </w:tc>
              <w:tc>
                <w:tcPr>
                  <w:tcW w:w="1742" w:type="dxa"/>
                  <w:vAlign w:val="center"/>
                </w:tcPr>
                <w:p w14:paraId="0EF495C6">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0.00002</w:t>
                  </w:r>
                </w:p>
              </w:tc>
            </w:tr>
            <w:tr w14:paraId="02E64A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37" w:type="pct"/>
                  <w:vAlign w:val="center"/>
                </w:tcPr>
                <w:p w14:paraId="573A2A86">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w:t>
                  </w:r>
                </w:p>
              </w:tc>
              <w:tc>
                <w:tcPr>
                  <w:tcW w:w="860" w:type="pct"/>
                  <w:vAlign w:val="center"/>
                </w:tcPr>
                <w:p w14:paraId="394D7840">
                  <w:pPr>
                    <w:jc w:val="center"/>
                    <w:rPr>
                      <w:rFonts w:hint="default" w:ascii="Times New Roman" w:hAnsi="Times New Roman" w:eastAsia="宋体" w:cs="Times New Roman"/>
                      <w:color w:val="auto"/>
                    </w:rPr>
                  </w:pPr>
                  <w:r>
                    <w:rPr>
                      <w:rFonts w:hint="default" w:ascii="Times New Roman" w:hAnsi="Times New Roman" w:eastAsia="宋体" w:cs="Times New Roman"/>
                      <w:color w:val="auto"/>
                      <w:szCs w:val="21"/>
                    </w:rPr>
                    <w:t>危险废物</w:t>
                  </w:r>
                </w:p>
              </w:tc>
              <w:tc>
                <w:tcPr>
                  <w:tcW w:w="997" w:type="pct"/>
                  <w:tcBorders>
                    <w:top w:val="single" w:color="000000" w:sz="4" w:space="0"/>
                    <w:bottom w:val="single" w:color="000000" w:sz="4" w:space="0"/>
                    <w:right w:val="single" w:color="000000" w:sz="4" w:space="0"/>
                  </w:tcBorders>
                  <w:vAlign w:val="center"/>
                </w:tcPr>
                <w:p w14:paraId="64C77056">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w:t>
                  </w:r>
                  <w:r>
                    <w:rPr>
                      <w:rFonts w:hint="default" w:ascii="Times New Roman" w:hAnsi="Times New Roman" w:eastAsia="宋体" w:cs="Times New Roman"/>
                      <w:color w:val="auto"/>
                      <w:szCs w:val="21"/>
                      <w:lang w:val="en-US" w:eastAsia="zh-CN"/>
                    </w:rPr>
                    <w:t>.52</w:t>
                  </w:r>
                </w:p>
              </w:tc>
              <w:tc>
                <w:tcPr>
                  <w:tcW w:w="1027" w:type="pct"/>
                  <w:tcBorders>
                    <w:top w:val="single" w:color="000000" w:sz="4" w:space="0"/>
                    <w:left w:val="single" w:color="000000" w:sz="4" w:space="0"/>
                    <w:bottom w:val="single" w:color="000000" w:sz="4" w:space="0"/>
                    <w:right w:val="single" w:color="000000" w:sz="4" w:space="0"/>
                  </w:tcBorders>
                  <w:vAlign w:val="center"/>
                </w:tcPr>
                <w:p w14:paraId="098173CF">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危废仓库</w:t>
                  </w:r>
                </w:p>
              </w:tc>
              <w:tc>
                <w:tcPr>
                  <w:tcW w:w="692" w:type="pct"/>
                  <w:tcBorders>
                    <w:top w:val="single" w:color="000000" w:sz="4" w:space="0"/>
                    <w:left w:val="single" w:color="000000" w:sz="4" w:space="0"/>
                    <w:bottom w:val="single" w:color="000000" w:sz="4" w:space="0"/>
                  </w:tcBorders>
                  <w:vAlign w:val="center"/>
                </w:tcPr>
                <w:p w14:paraId="76A1AAF0">
                  <w:pPr>
                    <w:adjustRightInd w:val="0"/>
                    <w:snapToGrid w:val="0"/>
                    <w:ind w:firstLine="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50</w:t>
                  </w:r>
                </w:p>
              </w:tc>
              <w:tc>
                <w:tcPr>
                  <w:tcW w:w="1742" w:type="dxa"/>
                  <w:vAlign w:val="center"/>
                </w:tcPr>
                <w:p w14:paraId="7808F177">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0.0</w:t>
                  </w:r>
                  <w:r>
                    <w:rPr>
                      <w:rFonts w:hint="eastAsia" w:cs="Times New Roman"/>
                      <w:color w:val="auto"/>
                      <w:szCs w:val="21"/>
                      <w:lang w:val="en-US" w:eastAsia="zh-CN"/>
                    </w:rPr>
                    <w:t>5</w:t>
                  </w:r>
                  <w:r>
                    <w:rPr>
                      <w:rFonts w:hint="default" w:ascii="Times New Roman" w:hAnsi="Times New Roman" w:eastAsia="宋体" w:cs="Times New Roman"/>
                      <w:color w:val="auto"/>
                      <w:szCs w:val="21"/>
                      <w:lang w:val="en-US" w:eastAsia="zh-CN"/>
                    </w:rPr>
                    <w:t>04</w:t>
                  </w:r>
                </w:p>
              </w:tc>
            </w:tr>
            <w:tr w14:paraId="5C426B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014" w:type="pct"/>
                  <w:gridSpan w:val="5"/>
                  <w:vAlign w:val="center"/>
                </w:tcPr>
                <w:p w14:paraId="24BB5930">
                  <w:pPr>
                    <w:pStyle w:val="6"/>
                    <w:adjustRightInd w:val="0"/>
                    <w:snapToGrid w:val="0"/>
                    <w:ind w:firstLine="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Cs w:val="21"/>
                    </w:rPr>
                    <w:t>合计</w:t>
                  </w:r>
                </w:p>
              </w:tc>
              <w:tc>
                <w:tcPr>
                  <w:tcW w:w="1742" w:type="dxa"/>
                  <w:vAlign w:val="center"/>
                </w:tcPr>
                <w:p w14:paraId="125D8391">
                  <w:pPr>
                    <w:adjustRightInd w:val="0"/>
                    <w:snapToGrid w:val="0"/>
                    <w:ind w:firstLine="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w:t>
                  </w:r>
                  <w:r>
                    <w:rPr>
                      <w:rFonts w:hint="eastAsia" w:cs="Times New Roman"/>
                      <w:color w:val="auto"/>
                      <w:szCs w:val="21"/>
                      <w:lang w:val="en-US" w:eastAsia="zh-CN"/>
                    </w:rPr>
                    <w:t>05</w:t>
                  </w:r>
                  <w:r>
                    <w:rPr>
                      <w:rFonts w:hint="default" w:ascii="Times New Roman" w:hAnsi="Times New Roman" w:eastAsia="宋体" w:cs="Times New Roman"/>
                      <w:color w:val="auto"/>
                      <w:szCs w:val="21"/>
                      <w:lang w:val="en-US" w:eastAsia="zh-CN"/>
                    </w:rPr>
                    <w:t>11</w:t>
                  </w:r>
                </w:p>
              </w:tc>
            </w:tr>
          </w:tbl>
          <w:p w14:paraId="06331ADA">
            <w:pPr>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由上表可知风险物质与临界量比值Q＜1，故本项目环境风险潜势等级低。</w:t>
            </w:r>
          </w:p>
          <w:p w14:paraId="2121B684">
            <w:pPr>
              <w:snapToGrid w:val="0"/>
              <w:spacing w:line="500" w:lineRule="exact"/>
              <w:ind w:firstLine="480" w:firstLineChars="200"/>
              <w:rPr>
                <w:rFonts w:hint="default" w:ascii="Times New Roman" w:hAnsi="Times New Roman" w:eastAsia="宋体" w:cs="Times New Roman"/>
                <w:bCs/>
                <w:color w:val="auto"/>
                <w:sz w:val="24"/>
                <w:lang w:eastAsia="zh-CN"/>
              </w:rPr>
            </w:pPr>
            <w:r>
              <w:rPr>
                <w:rFonts w:hint="default" w:ascii="Times New Roman" w:hAnsi="Times New Roman" w:eastAsia="宋体" w:cs="Times New Roman"/>
                <w:bCs/>
                <w:color w:val="auto"/>
                <w:sz w:val="24"/>
              </w:rPr>
              <w:t>通过对本项目的风险识别</w:t>
            </w:r>
            <w:r>
              <w:rPr>
                <w:rFonts w:hint="default" w:ascii="Times New Roman" w:hAnsi="Times New Roman" w:eastAsia="宋体" w:cs="Times New Roman"/>
                <w:bCs/>
                <w:color w:val="auto"/>
                <w:sz w:val="24"/>
                <w:szCs w:val="24"/>
              </w:rPr>
              <w:t>，参考同类企业的有关资料，本项目可能发生的突发环境事件为</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①</w:t>
            </w:r>
            <w:r>
              <w:rPr>
                <w:rFonts w:hint="default" w:ascii="Times New Roman" w:hAnsi="Times New Roman" w:eastAsia="宋体" w:cs="Times New Roman"/>
                <w:bCs/>
                <w:color w:val="auto"/>
                <w:sz w:val="24"/>
                <w:szCs w:val="24"/>
                <w:lang w:eastAsia="zh-CN"/>
              </w:rPr>
              <w:t>存放</w:t>
            </w:r>
            <w:r>
              <w:rPr>
                <w:rFonts w:hint="default" w:ascii="Times New Roman" w:hAnsi="Times New Roman" w:eastAsia="宋体" w:cs="Times New Roman"/>
                <w:bCs/>
                <w:color w:val="auto"/>
                <w:sz w:val="24"/>
                <w:szCs w:val="24"/>
                <w:lang w:val="en-US" w:eastAsia="zh-CN"/>
              </w:rPr>
              <w:t>油墨</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乙醇</w:t>
            </w:r>
            <w:r>
              <w:rPr>
                <w:rFonts w:hint="default" w:ascii="Times New Roman" w:hAnsi="Times New Roman" w:eastAsia="宋体" w:cs="Times New Roman"/>
                <w:bCs/>
                <w:color w:val="auto"/>
                <w:sz w:val="24"/>
                <w:szCs w:val="24"/>
                <w:lang w:eastAsia="zh-CN"/>
              </w:rPr>
              <w:t>等的容器破损导致物料泄漏进入厂区内雨水管道，通过雨水冲刷和下渗影响土壤、地表水和地下水环境；</w:t>
            </w:r>
            <w:r>
              <w:rPr>
                <w:rFonts w:hint="default" w:ascii="Times New Roman" w:hAnsi="Times New Roman" w:eastAsia="宋体" w:cs="Times New Roman"/>
                <w:bCs/>
                <w:color w:val="auto"/>
                <w:sz w:val="24"/>
                <w:szCs w:val="24"/>
              </w:rPr>
              <w:t>②项目部分物料</w:t>
            </w:r>
            <w:r>
              <w:rPr>
                <w:rFonts w:hint="default" w:ascii="Times New Roman" w:hAnsi="Times New Roman" w:eastAsia="宋体" w:cs="Times New Roman"/>
                <w:bCs/>
                <w:color w:val="auto"/>
                <w:sz w:val="24"/>
                <w:szCs w:val="24"/>
                <w:lang w:val="en-US" w:eastAsia="zh-CN"/>
              </w:rPr>
              <w:t>易燃易爆</w:t>
            </w:r>
            <w:r>
              <w:rPr>
                <w:rFonts w:hint="default" w:ascii="Times New Roman" w:hAnsi="Times New Roman" w:eastAsia="宋体" w:cs="Times New Roman"/>
                <w:bCs/>
                <w:color w:val="auto"/>
                <w:sz w:val="24"/>
                <w:szCs w:val="24"/>
              </w:rPr>
              <w:t>，遇明火可能发生火灾爆炸事故，</w:t>
            </w:r>
            <w:r>
              <w:rPr>
                <w:rFonts w:hint="default" w:ascii="Times New Roman" w:hAnsi="Times New Roman" w:eastAsia="宋体" w:cs="Times New Roman"/>
                <w:bCs/>
                <w:color w:val="auto"/>
                <w:sz w:val="24"/>
                <w:szCs w:val="24"/>
                <w:lang w:eastAsia="zh-CN"/>
              </w:rPr>
              <w:t>同时</w:t>
            </w:r>
            <w:r>
              <w:rPr>
                <w:rFonts w:hint="default" w:ascii="Times New Roman" w:hAnsi="Times New Roman" w:eastAsia="宋体" w:cs="Times New Roman"/>
                <w:bCs/>
                <w:color w:val="auto"/>
                <w:sz w:val="24"/>
                <w:szCs w:val="24"/>
              </w:rPr>
              <w:t>产生次生/伴生环境事故</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rPr>
              <w:t>③</w:t>
            </w:r>
            <w:r>
              <w:rPr>
                <w:rFonts w:hint="default" w:ascii="Times New Roman" w:hAnsi="Times New Roman" w:eastAsia="宋体" w:cs="Times New Roman"/>
                <w:bCs/>
                <w:color w:val="auto"/>
                <w:sz w:val="24"/>
                <w:szCs w:val="24"/>
                <w:lang w:eastAsia="zh-CN"/>
              </w:rPr>
              <w:t>环保设备故障导致车间局部</w:t>
            </w:r>
            <w:r>
              <w:rPr>
                <w:rFonts w:hint="default" w:ascii="Times New Roman" w:hAnsi="Times New Roman" w:eastAsia="宋体" w:cs="Times New Roman"/>
                <w:bCs/>
                <w:color w:val="auto"/>
                <w:sz w:val="24"/>
                <w:szCs w:val="24"/>
                <w:lang w:val="en-US" w:eastAsia="zh-CN"/>
              </w:rPr>
              <w:t>有机废气</w:t>
            </w:r>
            <w:r>
              <w:rPr>
                <w:rFonts w:hint="default" w:ascii="Times New Roman" w:hAnsi="Times New Roman" w:eastAsia="宋体" w:cs="Times New Roman"/>
                <w:bCs/>
                <w:color w:val="auto"/>
                <w:sz w:val="24"/>
                <w:szCs w:val="24"/>
                <w:lang w:eastAsia="zh-CN"/>
              </w:rPr>
              <w:t>浓度过高，</w:t>
            </w:r>
            <w:r>
              <w:rPr>
                <w:rFonts w:hint="default" w:ascii="Times New Roman" w:hAnsi="Times New Roman" w:eastAsia="宋体" w:cs="Times New Roman"/>
                <w:bCs/>
                <w:color w:val="auto"/>
                <w:sz w:val="24"/>
                <w:szCs w:val="24"/>
              </w:rPr>
              <w:t>遇明火可能发生火灾爆炸事故，</w:t>
            </w:r>
            <w:r>
              <w:rPr>
                <w:rFonts w:hint="default" w:ascii="Times New Roman" w:hAnsi="Times New Roman" w:eastAsia="宋体" w:cs="Times New Roman"/>
                <w:bCs/>
                <w:color w:val="auto"/>
                <w:sz w:val="24"/>
                <w:szCs w:val="24"/>
                <w:lang w:eastAsia="zh-CN"/>
              </w:rPr>
              <w:t>同时</w:t>
            </w:r>
            <w:r>
              <w:rPr>
                <w:rFonts w:hint="default" w:ascii="Times New Roman" w:hAnsi="Times New Roman" w:eastAsia="宋体" w:cs="Times New Roman"/>
                <w:bCs/>
                <w:color w:val="auto"/>
                <w:sz w:val="24"/>
                <w:szCs w:val="24"/>
              </w:rPr>
              <w:t>产生次生/伴生环境事故。</w:t>
            </w:r>
          </w:p>
          <w:p w14:paraId="30638B93">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2、</w:t>
            </w:r>
            <w:r>
              <w:rPr>
                <w:rFonts w:hint="default" w:ascii="Times New Roman" w:hAnsi="Times New Roman" w:eastAsia="宋体" w:cs="Times New Roman"/>
                <w:bCs/>
                <w:color w:val="auto"/>
                <w:sz w:val="24"/>
              </w:rPr>
              <w:t>环境风险防范及应急管理要求</w:t>
            </w:r>
          </w:p>
          <w:p w14:paraId="6128BE91">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根据国家环境保护部《关于进一步加强环境影响评价管理防范环境风险的通知（环发</w:t>
            </w:r>
            <w:r>
              <w:rPr>
                <w:rFonts w:hint="default" w:ascii="Times New Roman" w:hAnsi="Times New Roman" w:eastAsia="宋体" w:cs="Times New Roman"/>
                <w:bCs/>
                <w:color w:val="auto"/>
                <w:sz w:val="24"/>
                <w:lang w:eastAsia="zh-CN"/>
              </w:rPr>
              <w:t>〔2012〕77号</w:t>
            </w:r>
            <w:r>
              <w:rPr>
                <w:rFonts w:hint="default" w:ascii="Times New Roman" w:hAnsi="Times New Roman" w:eastAsia="宋体" w:cs="Times New Roman"/>
                <w:bCs/>
                <w:color w:val="auto"/>
                <w:sz w:val="24"/>
              </w:rPr>
              <w:t>文）》的要求：“提出环境风险应急预案和事故防范、减缓措施，特别要针对特征污染物提出有效地防止二次污染的应急措施”，对发生概率小，但危害严重的事故采取安全措施，防患于未然。因此，建议本项目在设计、建设和营运过程中，应科学规划、合理布局。采取必要的防泄漏措施，建立严格的安全生产制度，大力提高操作人员的素质和水平，以最大限度地降低事故的发生率，同时制定详细的应急救援预案。</w:t>
            </w:r>
          </w:p>
          <w:p w14:paraId="32E4D231">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1）</w:t>
            </w:r>
            <w:r>
              <w:rPr>
                <w:rFonts w:hint="default" w:ascii="Times New Roman" w:hAnsi="Times New Roman" w:eastAsia="宋体" w:cs="Times New Roman"/>
                <w:bCs/>
                <w:color w:val="auto"/>
                <w:sz w:val="24"/>
              </w:rPr>
              <w:t>管理、储存、使用、运输中的防范措施</w:t>
            </w:r>
          </w:p>
          <w:p w14:paraId="471DA2A4">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加强对液态物料和危险废物的管理；制定相应的安全操作规程，要求操作人员严格按操作规程作业；对相关作业人员定期进行安全培训教育；对作业场所定期进行安全检查。液态物料和危险废物在厂区内转运时，通道、出入口和通向消防设施的道路保持畅通，运输人员应配置必要且质量合格的防护器材。</w:t>
            </w:r>
          </w:p>
          <w:p w14:paraId="3538AAF5">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2）</w:t>
            </w:r>
            <w:r>
              <w:rPr>
                <w:rFonts w:hint="default" w:ascii="Times New Roman" w:hAnsi="Times New Roman" w:eastAsia="宋体" w:cs="Times New Roman"/>
                <w:bCs/>
                <w:color w:val="auto"/>
                <w:sz w:val="24"/>
              </w:rPr>
              <w:t>存放区风险防范措施</w:t>
            </w:r>
          </w:p>
          <w:p w14:paraId="0CEBFC35">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szCs w:val="24"/>
                <w:lang w:val="en-US" w:eastAsia="zh-CN"/>
              </w:rPr>
              <w:t>油墨</w:t>
            </w: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乙醇</w:t>
            </w:r>
            <w:r>
              <w:rPr>
                <w:rFonts w:hint="default" w:ascii="Times New Roman" w:hAnsi="Times New Roman" w:eastAsia="宋体" w:cs="Times New Roman"/>
                <w:bCs/>
                <w:color w:val="auto"/>
                <w:sz w:val="24"/>
                <w:szCs w:val="24"/>
                <w:lang w:eastAsia="zh-CN"/>
              </w:rPr>
              <w:t>等</w:t>
            </w:r>
            <w:r>
              <w:rPr>
                <w:rFonts w:hint="default" w:ascii="Times New Roman" w:hAnsi="Times New Roman" w:eastAsia="宋体" w:cs="Times New Roman"/>
                <w:bCs/>
                <w:color w:val="auto"/>
                <w:sz w:val="24"/>
                <w:lang w:val="en-US" w:eastAsia="zh-CN"/>
              </w:rPr>
              <w:t>化学品</w:t>
            </w:r>
            <w:r>
              <w:rPr>
                <w:rFonts w:hint="default" w:ascii="Times New Roman" w:hAnsi="Times New Roman" w:eastAsia="宋体" w:cs="Times New Roman"/>
                <w:bCs/>
                <w:color w:val="auto"/>
                <w:sz w:val="24"/>
              </w:rPr>
              <w:t>必须设置于</w:t>
            </w:r>
            <w:r>
              <w:rPr>
                <w:rFonts w:hint="default" w:ascii="Times New Roman" w:hAnsi="Times New Roman" w:eastAsia="宋体" w:cs="Times New Roman"/>
                <w:bCs/>
                <w:color w:val="auto"/>
                <w:sz w:val="24"/>
                <w:lang w:val="en-US" w:eastAsia="zh-CN"/>
              </w:rPr>
              <w:t>防爆柜中</w:t>
            </w:r>
            <w:r>
              <w:rPr>
                <w:rFonts w:hint="default" w:ascii="Times New Roman" w:hAnsi="Times New Roman" w:eastAsia="宋体" w:cs="Times New Roman"/>
                <w:bCs/>
                <w:color w:val="auto"/>
                <w:sz w:val="24"/>
              </w:rPr>
              <w:t>；危废仓库</w:t>
            </w:r>
            <w:r>
              <w:rPr>
                <w:rFonts w:hint="default" w:ascii="Times New Roman" w:hAnsi="Times New Roman" w:eastAsia="宋体" w:cs="Times New Roman"/>
                <w:bCs/>
                <w:color w:val="auto"/>
                <w:sz w:val="24"/>
                <w:lang w:eastAsia="zh-CN"/>
              </w:rPr>
              <w:t>需</w:t>
            </w:r>
            <w:r>
              <w:rPr>
                <w:rFonts w:hint="default" w:ascii="Times New Roman" w:hAnsi="Times New Roman" w:eastAsia="宋体" w:cs="Times New Roman"/>
                <w:bCs/>
                <w:color w:val="auto"/>
                <w:sz w:val="24"/>
              </w:rPr>
              <w:t>设置</w:t>
            </w:r>
            <w:r>
              <w:rPr>
                <w:rFonts w:hint="default" w:ascii="Times New Roman" w:hAnsi="Times New Roman" w:eastAsia="宋体" w:cs="Times New Roman"/>
                <w:bCs/>
                <w:color w:val="auto"/>
                <w:sz w:val="24"/>
                <w:lang w:eastAsia="zh-CN"/>
              </w:rPr>
              <w:t>应急</w:t>
            </w:r>
            <w:r>
              <w:rPr>
                <w:rFonts w:hint="default" w:ascii="Times New Roman" w:hAnsi="Times New Roman" w:eastAsia="宋体" w:cs="Times New Roman"/>
                <w:bCs/>
                <w:color w:val="auto"/>
                <w:sz w:val="24"/>
              </w:rPr>
              <w:t>桶，当泄漏事故发生时，可及时将泄漏的物料或废料收集至桶内暂存，最终作为危险废物处理；</w:t>
            </w:r>
            <w:r>
              <w:rPr>
                <w:rFonts w:hint="default" w:ascii="Times New Roman" w:hAnsi="Times New Roman" w:eastAsia="宋体" w:cs="Times New Roman"/>
                <w:bCs/>
                <w:color w:val="auto"/>
                <w:sz w:val="24"/>
                <w:lang w:val="en-US" w:eastAsia="zh-CN"/>
              </w:rPr>
              <w:t>印刷间</w:t>
            </w:r>
            <w:r>
              <w:rPr>
                <w:rFonts w:hint="default" w:ascii="Times New Roman" w:hAnsi="Times New Roman" w:eastAsia="宋体" w:cs="Times New Roman"/>
                <w:bCs/>
                <w:color w:val="auto"/>
                <w:sz w:val="24"/>
              </w:rPr>
              <w:t>、危废仓库应配备吸附剂等材料，发生</w:t>
            </w:r>
            <w:r>
              <w:rPr>
                <w:rFonts w:hint="default" w:ascii="Times New Roman" w:hAnsi="Times New Roman" w:eastAsia="宋体" w:cs="Times New Roman"/>
                <w:bCs/>
                <w:color w:val="auto"/>
                <w:sz w:val="24"/>
                <w:lang w:val="en-US" w:eastAsia="zh-CN"/>
              </w:rPr>
              <w:t>泄漏</w:t>
            </w:r>
            <w:r>
              <w:rPr>
                <w:rFonts w:hint="default" w:ascii="Times New Roman" w:hAnsi="Times New Roman" w:eastAsia="宋体" w:cs="Times New Roman"/>
                <w:bCs/>
                <w:color w:val="auto"/>
                <w:sz w:val="24"/>
              </w:rPr>
              <w:t>事故时能对</w:t>
            </w:r>
            <w:r>
              <w:rPr>
                <w:rFonts w:hint="default" w:ascii="Times New Roman" w:hAnsi="Times New Roman" w:eastAsia="宋体" w:cs="Times New Roman"/>
                <w:bCs/>
                <w:color w:val="auto"/>
                <w:sz w:val="24"/>
                <w:lang w:val="en-US" w:eastAsia="zh-CN"/>
              </w:rPr>
              <w:t>泄漏物料</w:t>
            </w:r>
            <w:r>
              <w:rPr>
                <w:rFonts w:hint="default" w:ascii="Times New Roman" w:hAnsi="Times New Roman" w:eastAsia="宋体" w:cs="Times New Roman"/>
                <w:bCs/>
                <w:color w:val="auto"/>
                <w:sz w:val="24"/>
              </w:rPr>
              <w:t>进行应急处理。</w:t>
            </w:r>
          </w:p>
          <w:p w14:paraId="1A8DEDEE">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3）泄漏事故风险防范措施</w:t>
            </w:r>
          </w:p>
          <w:p w14:paraId="31029782">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小量泄漏：尽可能采用不产生冲击、静电火花的工具进行泄漏物的回收，将泄漏物收集在密闭容器内，用</w:t>
            </w:r>
            <w:r>
              <w:rPr>
                <w:rFonts w:hint="default" w:ascii="Times New Roman" w:hAnsi="Times New Roman" w:eastAsia="宋体" w:cs="Times New Roman"/>
                <w:bCs/>
                <w:color w:val="auto"/>
                <w:sz w:val="24"/>
                <w:lang w:eastAsia="zh-CN"/>
              </w:rPr>
              <w:t>沙土</w:t>
            </w:r>
            <w:r>
              <w:rPr>
                <w:rFonts w:hint="default" w:ascii="Times New Roman" w:hAnsi="Times New Roman" w:eastAsia="宋体" w:cs="Times New Roman"/>
                <w:bCs/>
                <w:color w:val="auto"/>
                <w:sz w:val="24"/>
              </w:rPr>
              <w:t>或其它惰性材料吸收</w:t>
            </w:r>
            <w:r>
              <w:rPr>
                <w:rFonts w:hint="default" w:ascii="Times New Roman" w:hAnsi="Times New Roman" w:eastAsia="宋体" w:cs="Times New Roman"/>
                <w:bCs/>
                <w:color w:val="auto"/>
                <w:sz w:val="24"/>
                <w:lang w:val="en-US" w:eastAsia="zh-CN"/>
              </w:rPr>
              <w:t>残液</w:t>
            </w:r>
            <w:r>
              <w:rPr>
                <w:rFonts w:hint="default" w:ascii="Times New Roman" w:hAnsi="Times New Roman" w:eastAsia="宋体" w:cs="Times New Roman"/>
                <w:bCs/>
                <w:color w:val="auto"/>
                <w:sz w:val="24"/>
              </w:rPr>
              <w:t>。</w:t>
            </w:r>
          </w:p>
          <w:p w14:paraId="6CBC4034">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大量泄漏：用泡沫覆盖，降低蒸汽灾害。喷雾状水冷却和稀释蒸汽，保护现场人员。用防爆泵转移至槽车或专用收集器内，回收或运至废物处理场所处理。</w:t>
            </w:r>
          </w:p>
          <w:p w14:paraId="15561D81">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4）火灾爆炸事故风险防范措施</w:t>
            </w:r>
          </w:p>
          <w:p w14:paraId="498FA3FF">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①</w:t>
            </w:r>
            <w:r>
              <w:rPr>
                <w:rFonts w:hint="default" w:ascii="Times New Roman" w:hAnsi="Times New Roman" w:eastAsia="宋体" w:cs="Times New Roman"/>
                <w:bCs/>
                <w:color w:val="auto"/>
                <w:sz w:val="24"/>
                <w:lang w:val="en-US" w:eastAsia="zh-CN"/>
              </w:rPr>
              <w:t>定期对储运设备进行安全检测，检测内容、时间、人员应有记录保存。安全检测应根据设备的安全性、危险性设定检测频次。</w:t>
            </w:r>
          </w:p>
          <w:p w14:paraId="647A0738">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②</w:t>
            </w:r>
            <w:r>
              <w:rPr>
                <w:rFonts w:hint="default" w:ascii="Times New Roman" w:hAnsi="Times New Roman" w:eastAsia="宋体" w:cs="Times New Roman"/>
                <w:bCs/>
                <w:color w:val="auto"/>
                <w:sz w:val="24"/>
                <w:lang w:val="en-US" w:eastAsia="zh-CN"/>
              </w:rPr>
              <w:t>在管道以及其他设备上，设置永久性接地装置；在危险操作时，操作人员应使用抗静电工作帽和具有导电性的作业鞋；有防雷装置，特别防止雷击。</w:t>
            </w:r>
          </w:p>
          <w:p w14:paraId="6B4BC79A">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③</w:t>
            </w:r>
            <w:r>
              <w:rPr>
                <w:rFonts w:hint="default" w:ascii="Times New Roman" w:hAnsi="Times New Roman" w:eastAsia="宋体" w:cs="Times New Roman"/>
                <w:bCs/>
                <w:color w:val="auto"/>
                <w:sz w:val="24"/>
                <w:lang w:val="en-US" w:eastAsia="zh-CN"/>
              </w:rPr>
              <w:t>应加强火源的管理，严禁烟火带入，对设备需进行维修焊接，应经安全部门确认、准许，并有记录。机动车在厂内行驶，须安装阻火器，必要设备安装防火、防爆装置。</w:t>
            </w:r>
          </w:p>
          <w:p w14:paraId="2608AB66">
            <w:pPr>
              <w:snapToGrid w:val="0"/>
              <w:spacing w:line="500" w:lineRule="exact"/>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lang w:val="en-US" w:eastAsia="zh-CN"/>
              </w:rPr>
              <w:t>④要有完善的安全消防措施。各重点部位建议设置灭火器，并且对其做定期检查。</w:t>
            </w:r>
          </w:p>
          <w:p w14:paraId="382DC335">
            <w:pPr>
              <w:snapToGrid w:val="0"/>
              <w:spacing w:line="500" w:lineRule="exact"/>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szCs w:val="24"/>
                <w:lang w:val="en-US" w:eastAsia="zh-CN"/>
              </w:rPr>
              <w:t>⑤</w:t>
            </w:r>
            <w:r>
              <w:rPr>
                <w:rFonts w:hint="default" w:ascii="Times New Roman" w:hAnsi="Times New Roman" w:eastAsia="宋体" w:cs="Times New Roman"/>
                <w:bCs/>
                <w:color w:val="auto"/>
                <w:sz w:val="24"/>
                <w:lang w:val="en-US" w:eastAsia="zh-CN"/>
              </w:rPr>
              <w:t>活性炭吸附箱需设置降温措施、温度监测装置、风压监测及泄爆口。</w:t>
            </w:r>
          </w:p>
          <w:p w14:paraId="7733F525">
            <w:pPr>
              <w:keepNext w:val="0"/>
              <w:keepLines w:val="0"/>
              <w:pageBreakBefore w:val="0"/>
              <w:widowControl w:val="0"/>
              <w:kinsoku/>
              <w:wordWrap/>
              <w:overflowPunct/>
              <w:topLinePunct w:val="0"/>
              <w:bidi w:val="0"/>
              <w:snapToGrid w:val="0"/>
              <w:spacing w:line="500" w:lineRule="exact"/>
              <w:ind w:firstLine="480" w:firstLineChars="200"/>
              <w:textAlignment w:val="auto"/>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szCs w:val="24"/>
                <w:lang w:val="en-US" w:eastAsia="zh-CN"/>
              </w:rPr>
              <w:t>5）废气风险防范措施</w:t>
            </w:r>
          </w:p>
          <w:p w14:paraId="16C2041B">
            <w:pPr>
              <w:snapToGrid w:val="0"/>
              <w:spacing w:line="500" w:lineRule="exact"/>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项目需加强二级活性炭吸附装置运行维护管理，做到治理设施较生产设备“先启后停”，在治理设施达到正常运行条件后方可启动生产设备，在生产设备停止、残留废气收集处理完毕后，方可停运治理设施，防止易燃废气的积聚；及时清理、更换活性炭等治理设施耗材，确保设施能够稳定高效运行。</w:t>
            </w:r>
          </w:p>
          <w:p w14:paraId="1FE85FCA">
            <w:pPr>
              <w:keepNext w:val="0"/>
              <w:keepLines w:val="0"/>
              <w:pageBreakBefore w:val="0"/>
              <w:widowControl w:val="0"/>
              <w:kinsoku/>
              <w:wordWrap/>
              <w:overflowPunct/>
              <w:topLinePunct w:val="0"/>
              <w:bidi w:val="0"/>
              <w:adjustRightInd w:val="0"/>
              <w:snapToGrid w:val="0"/>
              <w:spacing w:line="500" w:lineRule="exact"/>
              <w:ind w:left="479" w:leftChars="228"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6）事故应急池设置</w:t>
            </w:r>
          </w:p>
          <w:p w14:paraId="5546DC7E">
            <w:pPr>
              <w:keepNext w:val="0"/>
              <w:keepLines w:val="0"/>
              <w:pageBreakBefore w:val="0"/>
              <w:widowControl w:val="0"/>
              <w:kinsoku/>
              <w:wordWrap/>
              <w:overflowPunct/>
              <w:topLinePunct w:val="0"/>
              <w:bidi w:val="0"/>
              <w:adjustRightInd w:val="0"/>
              <w:snapToGrid w:val="0"/>
              <w:spacing w:line="500" w:lineRule="exact"/>
              <w:ind w:left="479" w:leftChars="228"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企业需</w:t>
            </w:r>
            <w:r>
              <w:rPr>
                <w:rFonts w:hint="default" w:ascii="Times New Roman" w:hAnsi="Times New Roman" w:eastAsia="宋体" w:cs="Times New Roman"/>
                <w:color w:val="auto"/>
                <w:sz w:val="24"/>
                <w:szCs w:val="24"/>
              </w:rPr>
              <w:t>委托专业单位建设事故应急池，事故应急水池容量按下式计算：</w:t>
            </w:r>
          </w:p>
          <w:p w14:paraId="6A182769">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V</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vertAlign w:val="subscript"/>
              </w:rPr>
              <w:t>max</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4</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5</w:t>
            </w:r>
          </w:p>
          <w:p w14:paraId="56444B03">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[注：(V</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vertAlign w:val="subscript"/>
              </w:rPr>
              <w:t>max</w:t>
            </w:r>
            <w:r>
              <w:rPr>
                <w:rFonts w:hint="default" w:ascii="Times New Roman" w:hAnsi="Times New Roman" w:eastAsia="宋体" w:cs="Times New Roman"/>
                <w:color w:val="auto"/>
                <w:sz w:val="24"/>
                <w:szCs w:val="24"/>
              </w:rPr>
              <w:t>是指对收集系统范围内不同罐组或装置分别计算V</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，取其中最大值。]</w:t>
            </w:r>
          </w:p>
          <w:p w14:paraId="61F1CDF5">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Va：事故应急池容积，m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33A87C3F">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1</w:t>
            </w:r>
            <w:r>
              <w:rPr>
                <w:rFonts w:hint="default" w:ascii="Times New Roman" w:hAnsi="Times New Roman" w:eastAsia="宋体" w:cs="Times New Roman"/>
                <w:color w:val="auto"/>
                <w:sz w:val="24"/>
                <w:szCs w:val="24"/>
              </w:rPr>
              <w:t>：事故一个罐或一个装置物料量，m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7C1228BF">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：事故状态下最大消防水量，m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6FC03C05">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：事故时可以转输到其它储存或处理设施的物料量，m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02B2087B">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4</w:t>
            </w:r>
            <w:r>
              <w:rPr>
                <w:rFonts w:hint="default" w:ascii="Times New Roman" w:hAnsi="Times New Roman" w:eastAsia="宋体" w:cs="Times New Roman"/>
                <w:color w:val="auto"/>
                <w:sz w:val="24"/>
                <w:szCs w:val="24"/>
              </w:rPr>
              <w:t>：发生事故时必须进入该收集系统的生产废水量，m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73740FB3">
            <w:pPr>
              <w:keepNext w:val="0"/>
              <w:keepLines w:val="0"/>
              <w:pageBreakBefore w:val="0"/>
              <w:widowControl w:val="0"/>
              <w:tabs>
                <w:tab w:val="left" w:pos="2205"/>
                <w:tab w:val="center" w:pos="4532"/>
              </w:tabs>
              <w:kinsoku/>
              <w:wordWrap/>
              <w:overflowPunct/>
              <w:topLinePunct w:val="0"/>
              <w:autoSpaceDE w:val="0"/>
              <w:autoSpaceDN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：发生事故时可能进入该收集系统的降雨量，m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0C9448B8">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V</w:t>
            </w:r>
            <w:r>
              <w:rPr>
                <w:rFonts w:hint="default" w:ascii="Times New Roman" w:hAnsi="Times New Roman" w:eastAsia="宋体" w:cs="Times New Roman"/>
                <w:color w:val="auto"/>
                <w:spacing w:val="10"/>
                <w:sz w:val="24"/>
                <w:szCs w:val="24"/>
                <w:vertAlign w:val="subscript"/>
              </w:rPr>
              <w:t>1</w:t>
            </w:r>
            <w:r>
              <w:rPr>
                <w:rFonts w:hint="default" w:ascii="Times New Roman" w:hAnsi="Times New Roman" w:eastAsia="宋体" w:cs="Times New Roman"/>
                <w:color w:val="auto"/>
                <w:spacing w:val="10"/>
                <w:sz w:val="24"/>
                <w:szCs w:val="24"/>
                <w:lang w:eastAsia="zh-CN"/>
              </w:rPr>
              <w:t>：项目</w:t>
            </w:r>
            <w:r>
              <w:rPr>
                <w:rFonts w:hint="default" w:ascii="Times New Roman" w:hAnsi="Times New Roman" w:eastAsia="宋体" w:cs="Times New Roman"/>
                <w:color w:val="auto"/>
                <w:sz w:val="24"/>
                <w:szCs w:val="24"/>
                <w:lang w:val="en-US" w:eastAsia="zh-CN"/>
              </w:rPr>
              <w:t>厂区最大液态装置为油品包装桶,有效容量</w:t>
            </w:r>
            <w:r>
              <w:rPr>
                <w:rFonts w:hint="default" w:ascii="Times New Roman" w:hAnsi="Times New Roman" w:eastAsia="宋体" w:cs="Times New Roman"/>
                <w:color w:val="auto"/>
                <w:sz w:val="24"/>
                <w:szCs w:val="24"/>
                <w:lang w:eastAsia="zh-CN"/>
              </w:rPr>
              <w:t>为</w:t>
            </w:r>
            <w:r>
              <w:rPr>
                <w:rFonts w:hint="default" w:ascii="Times New Roman" w:hAnsi="Times New Roman" w:eastAsia="宋体" w:cs="Times New Roman"/>
                <w:color w:val="auto"/>
                <w:spacing w:val="10"/>
                <w:sz w:val="24"/>
                <w:szCs w:val="24"/>
                <w:lang w:val="en-US" w:eastAsia="zh-CN"/>
              </w:rPr>
              <w:t>0.2</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vertAlign w:val="baseline"/>
                <w:lang w:eastAsia="zh-CN"/>
              </w:rPr>
              <w:t>，则</w:t>
            </w:r>
            <w:r>
              <w:rPr>
                <w:rFonts w:hint="default" w:ascii="Times New Roman" w:hAnsi="Times New Roman" w:eastAsia="宋体" w:cs="Times New Roman"/>
                <w:color w:val="auto"/>
                <w:spacing w:val="10"/>
                <w:sz w:val="24"/>
                <w:szCs w:val="24"/>
              </w:rPr>
              <w:t>V</w:t>
            </w:r>
            <w:r>
              <w:rPr>
                <w:rFonts w:hint="default" w:ascii="Times New Roman" w:hAnsi="Times New Roman" w:eastAsia="宋体" w:cs="Times New Roman"/>
                <w:color w:val="auto"/>
                <w:spacing w:val="10"/>
                <w:sz w:val="24"/>
                <w:szCs w:val="24"/>
                <w:vertAlign w:val="subscript"/>
              </w:rPr>
              <w:t>1</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10"/>
                <w:sz w:val="24"/>
                <w:szCs w:val="24"/>
                <w:lang w:val="en-US" w:eastAsia="zh-CN"/>
              </w:rPr>
              <w:t>0.2</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w:t>
            </w:r>
          </w:p>
          <w:p w14:paraId="5B018AD7">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10"/>
                <w:sz w:val="24"/>
                <w:szCs w:val="24"/>
              </w:rPr>
              <w:t>根据《建筑设计防火规范》(GB50016-2014)（2018年修订），在进行城镇、居住区、企事业单位规划和建筑设计时，必须同时设计消防给水系统，消防用水可由给水管网、天然水源或消防水池供给。消防用水流量为1</w:t>
            </w:r>
            <w:r>
              <w:rPr>
                <w:rFonts w:hint="default" w:ascii="Times New Roman" w:hAnsi="Times New Roman" w:eastAsia="宋体" w:cs="Times New Roman"/>
                <w:color w:val="auto"/>
                <w:spacing w:val="10"/>
                <w:sz w:val="24"/>
                <w:szCs w:val="24"/>
                <w:lang w:val="en-US" w:eastAsia="zh-CN"/>
              </w:rPr>
              <w:t>0</w:t>
            </w:r>
            <w:r>
              <w:rPr>
                <w:rFonts w:hint="default" w:ascii="Times New Roman" w:hAnsi="Times New Roman" w:eastAsia="宋体" w:cs="Times New Roman"/>
                <w:color w:val="auto"/>
                <w:spacing w:val="10"/>
                <w:sz w:val="24"/>
                <w:szCs w:val="24"/>
              </w:rPr>
              <w:t>L/s，假设事故持续</w:t>
            </w:r>
            <w:r>
              <w:rPr>
                <w:rFonts w:hint="default" w:ascii="Times New Roman" w:hAnsi="Times New Roman" w:eastAsia="宋体" w:cs="Times New Roman"/>
                <w:color w:val="auto"/>
                <w:spacing w:val="10"/>
                <w:sz w:val="24"/>
                <w:szCs w:val="24"/>
                <w:lang w:val="en-US" w:eastAsia="zh-CN"/>
              </w:rPr>
              <w:t>2</w:t>
            </w:r>
            <w:r>
              <w:rPr>
                <w:rFonts w:hint="default" w:ascii="Times New Roman" w:hAnsi="Times New Roman" w:eastAsia="宋体" w:cs="Times New Roman"/>
                <w:color w:val="auto"/>
                <w:spacing w:val="10"/>
                <w:sz w:val="24"/>
                <w:szCs w:val="24"/>
              </w:rPr>
              <w:t>h，则发生一次火灾时厂房室外消防用水量为：1</w:t>
            </w:r>
            <w:r>
              <w:rPr>
                <w:rFonts w:hint="default" w:ascii="Times New Roman" w:hAnsi="Times New Roman" w:eastAsia="宋体" w:cs="Times New Roman"/>
                <w:color w:val="auto"/>
                <w:spacing w:val="10"/>
                <w:sz w:val="24"/>
                <w:szCs w:val="24"/>
                <w:lang w:val="en-US" w:eastAsia="zh-CN"/>
              </w:rPr>
              <w:t>0</w:t>
            </w:r>
            <w:r>
              <w:rPr>
                <w:rFonts w:hint="default" w:ascii="Times New Roman" w:hAnsi="Times New Roman" w:eastAsia="宋体" w:cs="Times New Roman"/>
                <w:color w:val="auto"/>
                <w:spacing w:val="10"/>
                <w:sz w:val="24"/>
                <w:szCs w:val="24"/>
              </w:rPr>
              <w:t>×3600×</w:t>
            </w:r>
            <w:r>
              <w:rPr>
                <w:rFonts w:hint="default" w:ascii="Times New Roman" w:hAnsi="Times New Roman" w:eastAsia="宋体" w:cs="Times New Roman"/>
                <w:color w:val="auto"/>
                <w:spacing w:val="10"/>
                <w:sz w:val="24"/>
                <w:szCs w:val="24"/>
                <w:lang w:val="en-US" w:eastAsia="zh-CN"/>
              </w:rPr>
              <w:t>2</w:t>
            </w:r>
            <w:r>
              <w:rPr>
                <w:rFonts w:hint="default" w:ascii="Times New Roman" w:hAnsi="Times New Roman" w:eastAsia="宋体" w:cs="Times New Roman"/>
                <w:color w:val="auto"/>
                <w:spacing w:val="10"/>
                <w:sz w:val="24"/>
                <w:szCs w:val="24"/>
              </w:rPr>
              <w:t>×10</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10"/>
                <w:sz w:val="24"/>
                <w:szCs w:val="24"/>
                <w:lang w:val="en-US" w:eastAsia="zh-CN"/>
              </w:rPr>
              <w:t>72</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w:t>
            </w:r>
          </w:p>
          <w:p w14:paraId="5BDC4DE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pacing w:val="10"/>
                <w:sz w:val="24"/>
                <w:szCs w:val="24"/>
              </w:rPr>
              <w:t>公司所</w:t>
            </w:r>
            <w:r>
              <w:rPr>
                <w:rFonts w:hint="default" w:ascii="Times New Roman" w:hAnsi="Times New Roman" w:eastAsia="宋体" w:cs="Times New Roman"/>
                <w:color w:val="auto"/>
                <w:spacing w:val="10"/>
                <w:sz w:val="24"/>
                <w:szCs w:val="24"/>
                <w:lang w:val="en-US" w:eastAsia="zh-CN"/>
              </w:rPr>
              <w:t>租</w:t>
            </w:r>
            <w:r>
              <w:rPr>
                <w:rFonts w:hint="default" w:ascii="Times New Roman" w:hAnsi="Times New Roman" w:eastAsia="宋体" w:cs="Times New Roman"/>
                <w:color w:val="auto"/>
                <w:spacing w:val="10"/>
                <w:sz w:val="24"/>
                <w:szCs w:val="24"/>
              </w:rPr>
              <w:t>厂区雨水管网总长度约为</w:t>
            </w:r>
            <w:r>
              <w:rPr>
                <w:rFonts w:hint="default" w:ascii="Times New Roman" w:hAnsi="Times New Roman" w:eastAsia="宋体" w:cs="Times New Roman"/>
                <w:color w:val="auto"/>
                <w:spacing w:val="10"/>
                <w:sz w:val="24"/>
                <w:szCs w:val="24"/>
                <w:lang w:val="en-US" w:eastAsia="zh-CN"/>
              </w:rPr>
              <w:t>45</w:t>
            </w:r>
            <w:r>
              <w:rPr>
                <w:rFonts w:hint="default" w:ascii="Times New Roman" w:hAnsi="Times New Roman" w:eastAsia="宋体" w:cs="Times New Roman"/>
                <w:color w:val="auto"/>
                <w:spacing w:val="10"/>
                <w:sz w:val="24"/>
                <w:szCs w:val="24"/>
              </w:rPr>
              <w:t>0m，</w:t>
            </w:r>
            <w:r>
              <w:rPr>
                <w:rFonts w:hint="default" w:ascii="Times New Roman" w:hAnsi="Times New Roman" w:eastAsia="宋体" w:cs="Times New Roman"/>
                <w:color w:val="auto"/>
                <w:spacing w:val="10"/>
                <w:sz w:val="24"/>
                <w:szCs w:val="24"/>
                <w:lang w:eastAsia="zh-CN"/>
              </w:rPr>
              <w:t>其中</w:t>
            </w:r>
            <w:r>
              <w:rPr>
                <w:rFonts w:hint="default" w:ascii="Times New Roman" w:hAnsi="Times New Roman" w:eastAsia="宋体" w:cs="Times New Roman"/>
                <w:color w:val="auto"/>
                <w:spacing w:val="10"/>
                <w:sz w:val="24"/>
                <w:szCs w:val="24"/>
              </w:rPr>
              <w:t>管内径为0.</w:t>
            </w:r>
            <w:r>
              <w:rPr>
                <w:rFonts w:hint="default" w:ascii="Times New Roman" w:hAnsi="Times New Roman" w:eastAsia="宋体" w:cs="Times New Roman"/>
                <w:color w:val="auto"/>
                <w:spacing w:val="10"/>
                <w:sz w:val="24"/>
                <w:szCs w:val="24"/>
                <w:lang w:val="en-US" w:eastAsia="zh-CN"/>
              </w:rPr>
              <w:t>4</w:t>
            </w:r>
            <w:r>
              <w:rPr>
                <w:rFonts w:hint="default" w:ascii="Times New Roman" w:hAnsi="Times New Roman" w:eastAsia="宋体" w:cs="Times New Roman"/>
                <w:color w:val="auto"/>
                <w:spacing w:val="10"/>
                <w:sz w:val="24"/>
                <w:szCs w:val="24"/>
              </w:rPr>
              <w:t>m雨水管网</w:t>
            </w:r>
            <w:r>
              <w:rPr>
                <w:rFonts w:hint="default" w:ascii="Times New Roman" w:hAnsi="Times New Roman" w:eastAsia="宋体" w:cs="Times New Roman"/>
                <w:color w:val="auto"/>
                <w:spacing w:val="10"/>
                <w:sz w:val="24"/>
                <w:szCs w:val="24"/>
                <w:lang w:eastAsia="zh-CN"/>
              </w:rPr>
              <w:t>约</w:t>
            </w:r>
            <w:r>
              <w:rPr>
                <w:rFonts w:hint="default" w:ascii="Times New Roman" w:hAnsi="Times New Roman" w:eastAsia="宋体" w:cs="Times New Roman"/>
                <w:color w:val="auto"/>
                <w:spacing w:val="10"/>
                <w:sz w:val="24"/>
                <w:szCs w:val="24"/>
                <w:lang w:val="en-US" w:eastAsia="zh-CN"/>
              </w:rPr>
              <w:t>400m</w:t>
            </w:r>
            <w:r>
              <w:rPr>
                <w:rFonts w:hint="default" w:ascii="Times New Roman" w:hAnsi="Times New Roman" w:eastAsia="宋体" w:cs="Times New Roman"/>
                <w:color w:val="auto"/>
                <w:spacing w:val="10"/>
                <w:sz w:val="24"/>
                <w:szCs w:val="24"/>
              </w:rPr>
              <w:t>，管内径为0</w:t>
            </w:r>
            <w:r>
              <w:rPr>
                <w:rFonts w:hint="default" w:ascii="Times New Roman" w:hAnsi="Times New Roman" w:eastAsia="宋体" w:cs="Times New Roman"/>
                <w:color w:val="auto"/>
                <w:spacing w:val="10"/>
                <w:sz w:val="24"/>
                <w:szCs w:val="24"/>
                <w:lang w:val="en-US" w:eastAsia="zh-CN"/>
              </w:rPr>
              <w:t>.6</w:t>
            </w:r>
            <w:r>
              <w:rPr>
                <w:rFonts w:hint="default" w:ascii="Times New Roman" w:hAnsi="Times New Roman" w:eastAsia="宋体" w:cs="Times New Roman"/>
                <w:color w:val="auto"/>
                <w:spacing w:val="10"/>
                <w:sz w:val="24"/>
                <w:szCs w:val="24"/>
              </w:rPr>
              <w:t>m雨水管网</w:t>
            </w:r>
            <w:r>
              <w:rPr>
                <w:rFonts w:hint="default" w:ascii="Times New Roman" w:hAnsi="Times New Roman" w:eastAsia="宋体" w:cs="Times New Roman"/>
                <w:color w:val="auto"/>
                <w:spacing w:val="10"/>
                <w:sz w:val="24"/>
                <w:szCs w:val="24"/>
                <w:lang w:eastAsia="zh-CN"/>
              </w:rPr>
              <w:t>约</w:t>
            </w:r>
            <w:r>
              <w:rPr>
                <w:rFonts w:hint="default" w:ascii="Times New Roman" w:hAnsi="Times New Roman" w:eastAsia="宋体" w:cs="Times New Roman"/>
                <w:color w:val="auto"/>
                <w:spacing w:val="10"/>
                <w:sz w:val="24"/>
                <w:szCs w:val="24"/>
                <w:lang w:val="en-US" w:eastAsia="zh-CN"/>
              </w:rPr>
              <w:t>50m</w:t>
            </w:r>
            <w:r>
              <w:rPr>
                <w:rFonts w:hint="default" w:ascii="Times New Roman" w:hAnsi="Times New Roman" w:eastAsia="宋体" w:cs="Times New Roman"/>
                <w:color w:val="auto"/>
                <w:spacing w:val="10"/>
                <w:sz w:val="24"/>
                <w:szCs w:val="24"/>
              </w:rPr>
              <w:t>，则雨水管网总容积约为</w:t>
            </w:r>
            <w:r>
              <w:rPr>
                <w:rFonts w:hint="default" w:ascii="Times New Roman" w:hAnsi="Times New Roman" w:eastAsia="宋体" w:cs="Times New Roman"/>
                <w:color w:val="auto"/>
                <w:spacing w:val="10"/>
                <w:sz w:val="24"/>
                <w:szCs w:val="24"/>
                <w:lang w:val="en-US" w:eastAsia="zh-CN"/>
              </w:rPr>
              <w:t>64</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，事故时可容纳消防尾水量为</w:t>
            </w:r>
            <w:r>
              <w:rPr>
                <w:rFonts w:hint="default" w:ascii="Times New Roman" w:hAnsi="Times New Roman" w:eastAsia="宋体" w:cs="Times New Roman"/>
                <w:color w:val="auto"/>
                <w:spacing w:val="10"/>
                <w:sz w:val="24"/>
                <w:szCs w:val="24"/>
                <w:lang w:val="en-US" w:eastAsia="zh-CN"/>
              </w:rPr>
              <w:t>51.2</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（以雨水管网总容积的</w:t>
            </w:r>
            <w:r>
              <w:rPr>
                <w:rFonts w:hint="default" w:ascii="Times New Roman" w:hAnsi="Times New Roman" w:eastAsia="宋体" w:cs="Times New Roman"/>
                <w:color w:val="auto"/>
                <w:spacing w:val="10"/>
                <w:sz w:val="24"/>
                <w:szCs w:val="24"/>
                <w:lang w:val="en-US" w:eastAsia="zh-CN"/>
              </w:rPr>
              <w:t>8</w:t>
            </w:r>
            <w:r>
              <w:rPr>
                <w:rFonts w:hint="default" w:ascii="Times New Roman" w:hAnsi="Times New Roman" w:eastAsia="宋体" w:cs="Times New Roman"/>
                <w:color w:val="auto"/>
                <w:spacing w:val="10"/>
                <w:sz w:val="24"/>
                <w:szCs w:val="24"/>
              </w:rPr>
              <w:t>0%计）</w:t>
            </w:r>
            <w:r>
              <w:rPr>
                <w:rFonts w:hint="default" w:ascii="Times New Roman" w:hAnsi="Times New Roman" w:eastAsia="宋体" w:cs="Times New Roman"/>
                <w:color w:val="auto"/>
                <w:spacing w:val="10"/>
                <w:sz w:val="24"/>
                <w:szCs w:val="24"/>
                <w:lang w:val="en-US" w:eastAsia="zh-CN"/>
              </w:rPr>
              <w:t>，</w:t>
            </w:r>
            <w:r>
              <w:rPr>
                <w:rFonts w:hint="default" w:ascii="Times New Roman" w:hAnsi="Times New Roman" w:eastAsia="宋体" w:cs="Times New Roman"/>
                <w:color w:val="auto"/>
                <w:spacing w:val="10"/>
                <w:sz w:val="24"/>
                <w:szCs w:val="24"/>
              </w:rPr>
              <w:t>则V</w:t>
            </w:r>
            <w:r>
              <w:rPr>
                <w:rFonts w:hint="default" w:ascii="Times New Roman" w:hAnsi="Times New Roman" w:eastAsia="宋体" w:cs="Times New Roman"/>
                <w:color w:val="auto"/>
                <w:spacing w:val="10"/>
                <w:sz w:val="24"/>
                <w:szCs w:val="24"/>
                <w:vertAlign w:val="subscript"/>
              </w:rPr>
              <w:t>3</w:t>
            </w:r>
            <w:r>
              <w:rPr>
                <w:rFonts w:hint="default" w:ascii="Times New Roman" w:hAnsi="Times New Roman" w:eastAsia="宋体" w:cs="Times New Roman"/>
                <w:color w:val="auto"/>
                <w:spacing w:val="10"/>
                <w:sz w:val="24"/>
                <w:szCs w:val="24"/>
              </w:rPr>
              <w:t>＝</w:t>
            </w:r>
            <w:r>
              <w:rPr>
                <w:rFonts w:hint="default" w:ascii="Times New Roman" w:hAnsi="Times New Roman" w:eastAsia="宋体" w:cs="Times New Roman"/>
                <w:color w:val="auto"/>
                <w:spacing w:val="10"/>
                <w:sz w:val="24"/>
                <w:szCs w:val="24"/>
                <w:lang w:val="en-US" w:eastAsia="zh-CN"/>
              </w:rPr>
              <w:t>51.2</w:t>
            </w:r>
            <w:r>
              <w:rPr>
                <w:rFonts w:hint="default" w:ascii="Times New Roman" w:hAnsi="Times New Roman" w:eastAsia="宋体" w:cs="Times New Roman"/>
                <w:color w:val="auto"/>
                <w:spacing w:val="10"/>
                <w:sz w:val="24"/>
                <w:szCs w:val="24"/>
              </w:rPr>
              <w:t>m</w:t>
            </w:r>
            <w:r>
              <w:rPr>
                <w:rFonts w:hint="default" w:ascii="Times New Roman" w:hAnsi="Times New Roman" w:eastAsia="宋体" w:cs="Times New Roman"/>
                <w:color w:val="auto"/>
                <w:spacing w:val="10"/>
                <w:sz w:val="24"/>
                <w:szCs w:val="24"/>
                <w:vertAlign w:val="superscript"/>
              </w:rPr>
              <w:t>3</w:t>
            </w:r>
            <w:r>
              <w:rPr>
                <w:rFonts w:hint="default" w:ascii="Times New Roman" w:hAnsi="Times New Roman" w:eastAsia="宋体" w:cs="Times New Roman"/>
                <w:color w:val="auto"/>
                <w:spacing w:val="10"/>
                <w:sz w:val="24"/>
                <w:szCs w:val="24"/>
              </w:rPr>
              <w:t>；</w:t>
            </w:r>
          </w:p>
          <w:p w14:paraId="3B024B7A">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4</w:t>
            </w:r>
            <w:r>
              <w:rPr>
                <w:rFonts w:hint="default" w:ascii="Times New Roman" w:hAnsi="Times New Roman" w:eastAsia="宋体" w:cs="Times New Roman"/>
                <w:color w:val="auto"/>
                <w:sz w:val="24"/>
                <w:szCs w:val="24"/>
              </w:rPr>
              <w:t>：发生事故时无生产废水量进入该系统，取0m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25A17E4E">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：发生事故时可能进入该收集系统的降雨量，发生事故时可能进入该收集系统的降雨量，V</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=10qF；</w:t>
            </w:r>
          </w:p>
          <w:p w14:paraId="528AA6D4">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q：降雨强度，mm；按平均日降雨量；</w:t>
            </w:r>
          </w:p>
          <w:p w14:paraId="347E7FF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q=q</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/n</w:t>
            </w:r>
          </w:p>
          <w:p w14:paraId="1144932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q</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：年平均降雨量，取1074mm；</w:t>
            </w:r>
          </w:p>
          <w:p w14:paraId="20128931">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n：年平均降雨日数，取126天；</w:t>
            </w:r>
          </w:p>
          <w:p w14:paraId="4D55158F">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F：必须进入事故废水收集系统的雨水汇水面积ha，</w:t>
            </w:r>
            <w:r>
              <w:rPr>
                <w:rFonts w:hint="default" w:ascii="Times New Roman" w:hAnsi="Times New Roman" w:eastAsia="宋体" w:cs="Times New Roman"/>
                <w:color w:val="auto"/>
                <w:sz w:val="24"/>
                <w:szCs w:val="24"/>
                <w:lang w:eastAsia="zh-CN"/>
              </w:rPr>
              <w:t>项目生产车间占地面积约</w:t>
            </w:r>
            <w:r>
              <w:rPr>
                <w:rFonts w:hint="default" w:ascii="Times New Roman" w:hAnsi="Times New Roman" w:eastAsia="宋体" w:cs="Times New Roman"/>
                <w:color w:val="auto"/>
                <w:sz w:val="24"/>
                <w:szCs w:val="24"/>
                <w:lang w:val="en-US" w:eastAsia="zh-CN"/>
              </w:rPr>
              <w:t>1800m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，故取0.18</w:t>
            </w:r>
            <w:r>
              <w:rPr>
                <w:rFonts w:hint="default" w:ascii="Times New Roman" w:hAnsi="Times New Roman" w:eastAsia="宋体" w:cs="Times New Roman"/>
                <w:color w:val="auto"/>
                <w:sz w:val="24"/>
                <w:szCs w:val="24"/>
              </w:rPr>
              <w:t>ha；</w:t>
            </w:r>
          </w:p>
          <w:p w14:paraId="32E6291F">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由此计算V</w:t>
            </w:r>
            <w:r>
              <w:rPr>
                <w:rFonts w:hint="default" w:ascii="Times New Roman" w:hAnsi="Times New Roman" w:eastAsia="宋体" w:cs="Times New Roman"/>
                <w:color w:val="auto"/>
                <w:sz w:val="24"/>
                <w:szCs w:val="24"/>
                <w:vertAlign w:val="subscript"/>
              </w:rPr>
              <w:t>5</w:t>
            </w:r>
            <w:r>
              <w:rPr>
                <w:rFonts w:hint="default" w:ascii="Times New Roman" w:hAnsi="Times New Roman" w:eastAsia="宋体" w:cs="Times New Roman"/>
                <w:color w:val="auto"/>
                <w:sz w:val="24"/>
                <w:szCs w:val="24"/>
              </w:rPr>
              <w:t>为</w:t>
            </w:r>
            <w:r>
              <w:rPr>
                <w:rFonts w:hint="default" w:ascii="Times New Roman" w:hAnsi="Times New Roman" w:eastAsia="宋体" w:cs="Times New Roman"/>
                <w:color w:val="auto"/>
                <w:sz w:val="24"/>
                <w:szCs w:val="24"/>
                <w:lang w:val="en-US" w:eastAsia="zh-CN"/>
              </w:rPr>
              <w:t>15.3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p>
          <w:p w14:paraId="1E10886A">
            <w:pPr>
              <w:pStyle w:val="8"/>
              <w:keepNext w:val="0"/>
              <w:keepLines w:val="0"/>
              <w:pageBreakBefore w:val="0"/>
              <w:widowControl w:val="0"/>
              <w:kinsoku/>
              <w:wordWrap/>
              <w:overflowPunct/>
              <w:topLinePunct w:val="0"/>
              <w:bidi w:val="0"/>
              <w:adjustRightInd w:val="0"/>
              <w:snapToGrid w:val="0"/>
              <w:spacing w:before="0" w:after="0" w:line="500" w:lineRule="exact"/>
              <w:ind w:right="0" w:firstLine="480" w:firstLineChars="200"/>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sz w:val="24"/>
                <w:szCs w:val="24"/>
              </w:rPr>
              <w:t>V</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0.2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72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51.2</w:t>
            </w:r>
            <w:r>
              <w:rPr>
                <w:rFonts w:hint="default" w:ascii="Times New Roman" w:hAnsi="Times New Roman" w:eastAsia="宋体" w:cs="Times New Roman"/>
                <w:color w:val="auto"/>
                <w:sz w:val="24"/>
                <w:szCs w:val="24"/>
              </w:rPr>
              <w:t>+0+</w:t>
            </w:r>
            <w:r>
              <w:rPr>
                <w:rFonts w:hint="default" w:ascii="Times New Roman" w:hAnsi="Times New Roman" w:eastAsia="宋体" w:cs="Times New Roman"/>
                <w:color w:val="auto"/>
                <w:sz w:val="24"/>
                <w:szCs w:val="24"/>
                <w:lang w:val="en-US" w:eastAsia="zh-CN"/>
              </w:rPr>
              <w:t>15.3=36.3</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p>
          <w:p w14:paraId="48DB7007">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项目厂区拟设置1座容积40m</w:t>
            </w:r>
            <w:r>
              <w:rPr>
                <w:rFonts w:hint="default" w:ascii="Times New Roman" w:hAnsi="Times New Roman" w:eastAsia="宋体" w:cs="Times New Roman"/>
                <w:color w:val="auto"/>
                <w:spacing w:val="10"/>
                <w:sz w:val="24"/>
                <w:szCs w:val="24"/>
                <w:vertAlign w:val="superscript"/>
                <w:lang w:val="en-US" w:eastAsia="zh-CN"/>
              </w:rPr>
              <w:t>3</w:t>
            </w:r>
            <w:r>
              <w:rPr>
                <w:rFonts w:hint="default" w:ascii="Times New Roman" w:hAnsi="Times New Roman" w:eastAsia="宋体" w:cs="Times New Roman"/>
                <w:color w:val="auto"/>
                <w:spacing w:val="10"/>
                <w:sz w:val="24"/>
                <w:szCs w:val="24"/>
                <w:lang w:val="en-US" w:eastAsia="zh-CN"/>
              </w:rPr>
              <w:t>的事故应急池，事故应急池配备阀门且与雨水管网连接，可满足项目事故废水暂存需要。厂区一旦发生事故，关闭雨水排口截止阀，可保证事故废水暂存于雨水管网、事故应急池中，不会随意排入附近水体。</w:t>
            </w:r>
          </w:p>
          <w:p w14:paraId="6CDE7AD7">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7）企业</w:t>
            </w:r>
            <w:r>
              <w:rPr>
                <w:rFonts w:hint="default" w:ascii="Times New Roman" w:hAnsi="Times New Roman" w:eastAsia="宋体" w:cs="Times New Roman"/>
                <w:color w:val="auto"/>
                <w:spacing w:val="10"/>
                <w:sz w:val="24"/>
                <w:szCs w:val="24"/>
              </w:rPr>
              <w:t>环境风险三级防范</w:t>
            </w:r>
            <w:r>
              <w:rPr>
                <w:rFonts w:hint="default" w:ascii="Times New Roman" w:hAnsi="Times New Roman" w:eastAsia="宋体" w:cs="Times New Roman"/>
                <w:color w:val="auto"/>
                <w:spacing w:val="10"/>
                <w:sz w:val="24"/>
                <w:szCs w:val="24"/>
                <w:lang w:eastAsia="zh-CN"/>
              </w:rPr>
              <w:t>措施</w:t>
            </w:r>
          </w:p>
          <w:p w14:paraId="06E2FF67">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根据《建设项目环境风险评价技术导则》（HJ169-2018），事故废水环境风险防范采取“单元-厂区-园区/区域”的三级防控措施，杜绝环境风险事故造成污染事件，将环境风险事故排水及污染物控制在厂区内。</w:t>
            </w:r>
          </w:p>
          <w:p w14:paraId="4E89E368">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一级防控措施将污染物控制在生产区风险单元；二级防控是将污染物控制在厂区；三级防控将污染物控制在区域内，确保生产非正常状态下不发生污染事件。具体设计要求如下：</w:t>
            </w:r>
          </w:p>
          <w:p w14:paraId="4AE0F68F">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A.一级防控：厂区各风险单元如车间中的油墨、乙醇等液态物料置于防爆柜中，车间地面防腐、防渗，防止泄漏污染地面；危废仓库内部地面防腐、防渗，设置托盘导流沟和收集槽等，一旦发生泄漏，泄漏物料可通过导流沟收集进入收集槽；厂区落实岗位责任制，生产期间各风险单元均需有工作人员进行巡视。</w:t>
            </w:r>
          </w:p>
          <w:p w14:paraId="2FA1C410">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B.二级防控：厂区内拟建设1个40m</w:t>
            </w:r>
            <w:r>
              <w:rPr>
                <w:rFonts w:hint="default" w:ascii="Times New Roman" w:hAnsi="Times New Roman" w:eastAsia="宋体" w:cs="Times New Roman"/>
                <w:color w:val="auto"/>
                <w:spacing w:val="10"/>
                <w:sz w:val="24"/>
                <w:szCs w:val="24"/>
                <w:vertAlign w:val="superscript"/>
                <w:lang w:val="en-US" w:eastAsia="zh-CN"/>
              </w:rPr>
              <w:t>3</w:t>
            </w:r>
            <w:r>
              <w:rPr>
                <w:rFonts w:hint="default" w:ascii="Times New Roman" w:hAnsi="Times New Roman" w:eastAsia="宋体" w:cs="Times New Roman"/>
                <w:color w:val="auto"/>
                <w:spacing w:val="10"/>
                <w:sz w:val="24"/>
                <w:szCs w:val="24"/>
                <w:lang w:val="en-US" w:eastAsia="zh-CN"/>
              </w:rPr>
              <w:t>的事故应急池，能够满足事故状态下事故废水的收集。一旦发生事故，立即关闭雨水阀门，打开应急事故池阀门；消防废水、污染雨水、泄漏物料经雨水管网收集进入事故应急池，利用与事故应急池连接的雨水管网使事故废水流入事故应急池内，企业再根据事件消防水性质接污水管排放或委托有资质单位处理。</w:t>
            </w:r>
          </w:p>
          <w:p w14:paraId="33443DBB">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C.三级防控：若未及时收集，消防废水或泄漏物料通过雨水管网流到厂外，立即关闭厂区雨水排放口阀门，同时上报企业应急管理机构，迅速向上级管理部门报告并请求外部增援。</w:t>
            </w:r>
          </w:p>
          <w:p w14:paraId="54A8EF16">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企业应急管理机构接通知后第一时间携应急物资赶赴现场进行应急处置，同时寻求园区及外部互助单位援助，使用堵漏工具对厂区雨水排放口进行封堵，构筑围堤、造坑导流、挖坑收容，避免事故废水进入市政雨水管网；就地投加药剂处置，降低危险性；启动应急设施，收集事故废水，利用厂区及周边企业事故应急池、槽车或专用收集池等进行暂存。若事故废水不慎进入河流，相关管理部门应立即启动园区/区域环境风险防控措施：关闭关联河道闸阀；视情况在污染区上、下游使用拦污索或筑坝拦截污染物，阻隔污染物进一步扩散至附近水体；投加活性炭等吸附材料，就地投加药剂处置，或将污染水抽至安全地方处置。同时根据泄漏液特性进行泄漏液收集、开展河水上下游的水质监测。</w:t>
            </w:r>
          </w:p>
          <w:p w14:paraId="2FFE93F5">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lang w:val="en-US" w:eastAsia="zh-CN"/>
              </w:rPr>
            </w:pPr>
            <w:r>
              <w:rPr>
                <w:rFonts w:hint="default" w:ascii="Times New Roman" w:hAnsi="Times New Roman" w:eastAsia="宋体" w:cs="Times New Roman"/>
                <w:color w:val="auto"/>
                <w:spacing w:val="10"/>
                <w:sz w:val="24"/>
                <w:szCs w:val="24"/>
                <w:lang w:val="en-US" w:eastAsia="zh-CN"/>
              </w:rPr>
              <w:t>三级防控体系能确保事故状态下的泄漏物料、消防废水等全部处于受控状态，实现对事故废水源头、过程和终端的预防和控制，使环境风险可控，降低对厂区外界环境造成的影响。</w:t>
            </w:r>
          </w:p>
          <w:p w14:paraId="4D9C7E9F">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3、</w:t>
            </w:r>
            <w:r>
              <w:rPr>
                <w:rFonts w:hint="default" w:ascii="Times New Roman" w:hAnsi="Times New Roman" w:eastAsia="宋体" w:cs="Times New Roman"/>
                <w:color w:val="auto"/>
                <w:spacing w:val="10"/>
                <w:sz w:val="24"/>
                <w:szCs w:val="24"/>
              </w:rPr>
              <w:t>与常州市金坛区应急管理局的联动</w:t>
            </w:r>
          </w:p>
          <w:p w14:paraId="616511CF">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根据《省生态环境厅关于做好安全生产专项整治工作实施方案》(苏环办</w:t>
            </w:r>
            <w:r>
              <w:rPr>
                <w:rFonts w:hint="default" w:ascii="Times New Roman" w:hAnsi="Times New Roman" w:eastAsia="宋体" w:cs="Times New Roman"/>
                <w:color w:val="auto"/>
                <w:spacing w:val="10"/>
                <w:sz w:val="24"/>
                <w:szCs w:val="24"/>
                <w:lang w:eastAsia="zh-CN"/>
              </w:rPr>
              <w:t>〔2020〕16号</w:t>
            </w:r>
            <w:r>
              <w:rPr>
                <w:rFonts w:hint="default" w:ascii="Times New Roman" w:hAnsi="Times New Roman" w:eastAsia="宋体" w:cs="Times New Roman"/>
                <w:color w:val="auto"/>
                <w:spacing w:val="10"/>
                <w:sz w:val="24"/>
                <w:szCs w:val="24"/>
              </w:rPr>
              <w:t>)、《关于做好生态环境和应急管理部门联动工作的意见》（苏环办</w:t>
            </w:r>
            <w:r>
              <w:rPr>
                <w:rFonts w:hint="default" w:ascii="Times New Roman" w:hAnsi="Times New Roman" w:eastAsia="宋体" w:cs="Times New Roman"/>
                <w:color w:val="auto"/>
                <w:spacing w:val="10"/>
                <w:sz w:val="24"/>
                <w:szCs w:val="24"/>
                <w:lang w:eastAsia="zh-CN"/>
              </w:rPr>
              <w:t>〔2020〕101号</w:t>
            </w:r>
            <w:r>
              <w:rPr>
                <w:rFonts w:hint="default" w:ascii="Times New Roman" w:hAnsi="Times New Roman" w:eastAsia="宋体" w:cs="Times New Roman"/>
                <w:color w:val="auto"/>
                <w:spacing w:val="10"/>
                <w:sz w:val="24"/>
                <w:szCs w:val="24"/>
              </w:rPr>
              <w:t>）相关要求，项目建成后需开展大气、固废等污染防治措施安全论证并获得常州市金坛区应急管理局的许可。</w:t>
            </w:r>
          </w:p>
          <w:p w14:paraId="1BFEDAED">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lang w:val="en-US" w:eastAsia="zh-CN"/>
              </w:rPr>
              <w:t>4、</w:t>
            </w:r>
            <w:r>
              <w:rPr>
                <w:rFonts w:hint="default" w:ascii="Times New Roman" w:hAnsi="Times New Roman" w:eastAsia="宋体" w:cs="Times New Roman"/>
                <w:color w:val="auto"/>
                <w:spacing w:val="10"/>
                <w:sz w:val="24"/>
                <w:szCs w:val="24"/>
              </w:rPr>
              <w:t>突发环境事件应急预案风险应急计划</w:t>
            </w:r>
          </w:p>
          <w:p w14:paraId="71EAD7A2">
            <w:pPr>
              <w:keepNext w:val="0"/>
              <w:keepLines w:val="0"/>
              <w:pageBreakBefore w:val="0"/>
              <w:widowControl w:val="0"/>
              <w:kinsoku/>
              <w:wordWrap/>
              <w:overflowPunct/>
              <w:topLinePunct w:val="0"/>
              <w:bidi w:val="0"/>
              <w:adjustRightInd w:val="0"/>
              <w:snapToGrid w:val="0"/>
              <w:spacing w:line="500" w:lineRule="exact"/>
              <w:ind w:firstLine="520" w:firstLineChars="200"/>
              <w:textAlignment w:val="auto"/>
              <w:rPr>
                <w:rFonts w:hint="default" w:ascii="Times New Roman" w:hAnsi="Times New Roman" w:eastAsia="宋体" w:cs="Times New Roman"/>
                <w:color w:val="auto"/>
                <w:spacing w:val="10"/>
                <w:sz w:val="24"/>
                <w:szCs w:val="24"/>
              </w:rPr>
            </w:pPr>
            <w:r>
              <w:rPr>
                <w:rFonts w:hint="default" w:ascii="Times New Roman" w:hAnsi="Times New Roman" w:eastAsia="宋体" w:cs="Times New Roman"/>
                <w:color w:val="auto"/>
                <w:spacing w:val="10"/>
                <w:sz w:val="24"/>
                <w:szCs w:val="24"/>
              </w:rPr>
              <w:t>企业可委托有资质单位编制突发环境事件应急预案，并按规定报县级以上生态环境主管部门备案。</w:t>
            </w:r>
          </w:p>
          <w:p w14:paraId="493AFD19">
            <w:pPr>
              <w:adjustRightInd w:val="0"/>
              <w:snapToGrid w:val="0"/>
              <w:spacing w:line="500" w:lineRule="exac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eastAsia="zh-CN"/>
              </w:rPr>
              <w:t>八</w:t>
            </w:r>
            <w:r>
              <w:rPr>
                <w:rFonts w:hint="default" w:ascii="Times New Roman" w:hAnsi="Times New Roman" w:eastAsia="宋体" w:cs="Times New Roman"/>
                <w:b/>
                <w:bCs/>
                <w:color w:val="auto"/>
                <w:sz w:val="24"/>
              </w:rPr>
              <w:t>、电磁辐射</w:t>
            </w:r>
          </w:p>
          <w:p w14:paraId="4A810F10">
            <w:pPr>
              <w:adjustRightInd w:val="0"/>
              <w:snapToGrid w:val="0"/>
              <w:spacing w:line="500" w:lineRule="exact"/>
              <w:ind w:firstLine="480" w:firstLineChars="200"/>
              <w:rPr>
                <w:rFonts w:hint="default" w:ascii="Times New Roman" w:hAnsi="Times New Roman" w:eastAsia="宋体" w:cs="Times New Roman"/>
                <w:snapToGrid w:val="0"/>
                <w:color w:val="auto"/>
                <w:sz w:val="30"/>
                <w:szCs w:val="30"/>
                <w:vertAlign w:val="baseline"/>
              </w:rPr>
            </w:pPr>
            <w:r>
              <w:rPr>
                <w:rFonts w:hint="default" w:ascii="Times New Roman" w:hAnsi="Times New Roman" w:eastAsia="宋体" w:cs="Times New Roman"/>
                <w:bCs/>
                <w:color w:val="auto"/>
                <w:sz w:val="24"/>
                <w:szCs w:val="22"/>
              </w:rPr>
              <w:t>本项目不涉及</w:t>
            </w:r>
            <w:r>
              <w:rPr>
                <w:rFonts w:hint="default" w:ascii="Times New Roman" w:hAnsi="Times New Roman" w:eastAsia="宋体" w:cs="Times New Roman"/>
                <w:bCs/>
                <w:color w:val="auto"/>
                <w:sz w:val="24"/>
              </w:rPr>
              <w:t>电磁辐射</w:t>
            </w:r>
            <w:r>
              <w:rPr>
                <w:rFonts w:hint="default" w:ascii="Times New Roman" w:hAnsi="Times New Roman" w:eastAsia="宋体" w:cs="Times New Roman"/>
                <w:bCs/>
                <w:color w:val="auto"/>
                <w:sz w:val="24"/>
                <w:szCs w:val="22"/>
              </w:rPr>
              <w:t>。</w:t>
            </w:r>
          </w:p>
        </w:tc>
      </w:tr>
    </w:tbl>
    <w:p w14:paraId="0B076476">
      <w:pPr>
        <w:pStyle w:val="22"/>
        <w:spacing w:before="0" w:beforeAutospacing="0" w:after="0" w:afterAutospacing="0"/>
        <w:jc w:val="center"/>
        <w:outlineLvl w:val="0"/>
        <w:rPr>
          <w:rFonts w:hint="default" w:ascii="Times New Roman" w:hAnsi="Times New Roman" w:eastAsia="宋体" w:cs="Times New Roman"/>
          <w:snapToGrid w:val="0"/>
          <w:color w:val="auto"/>
          <w:sz w:val="30"/>
          <w:szCs w:val="30"/>
        </w:rPr>
        <w:sectPr>
          <w:headerReference r:id="rId9" w:type="default"/>
          <w:pgSz w:w="11906" w:h="16838"/>
          <w:pgMar w:top="1701" w:right="1531" w:bottom="1701" w:left="1531" w:header="851" w:footer="1134" w:gutter="0"/>
          <w:pgBorders>
            <w:top w:val="none" w:sz="0" w:space="0"/>
            <w:left w:val="none" w:sz="0" w:space="0"/>
            <w:bottom w:val="none" w:sz="0" w:space="0"/>
            <w:right w:val="none" w:sz="0" w:space="0"/>
          </w:pgBorders>
          <w:cols w:space="720" w:num="1"/>
          <w:docGrid w:linePitch="312" w:charSpace="0"/>
        </w:sectPr>
      </w:pPr>
    </w:p>
    <w:p w14:paraId="57BCE97A">
      <w:pPr>
        <w:pStyle w:val="22"/>
        <w:spacing w:before="0" w:beforeAutospacing="0" w:after="0" w:afterAutospacing="0"/>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五、</w:t>
      </w:r>
      <w:bookmarkStart w:id="7" w:name="_Hlk54167917"/>
      <w:r>
        <w:rPr>
          <w:rFonts w:hint="default" w:ascii="Times New Roman" w:hAnsi="Times New Roman" w:eastAsia="宋体" w:cs="Times New Roman"/>
          <w:b/>
          <w:bCs/>
          <w:snapToGrid w:val="0"/>
          <w:color w:val="auto"/>
          <w:sz w:val="30"/>
          <w:szCs w:val="30"/>
        </w:rPr>
        <w:t>环境保护措施监督检查清单</w:t>
      </w:r>
      <w:bookmarkEnd w:id="5"/>
      <w:bookmarkEnd w:id="7"/>
    </w:p>
    <w:tbl>
      <w:tblPr>
        <w:tblStyle w:val="27"/>
        <w:tblW w:w="8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332"/>
        <w:gridCol w:w="736"/>
        <w:gridCol w:w="737"/>
        <w:gridCol w:w="1677"/>
        <w:gridCol w:w="2275"/>
        <w:gridCol w:w="2241"/>
      </w:tblGrid>
      <w:tr w14:paraId="68039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25" w:hRule="atLeast"/>
          <w:jc w:val="center"/>
        </w:trPr>
        <w:tc>
          <w:tcPr>
            <w:tcW w:w="1332" w:type="dxa"/>
            <w:tcBorders>
              <w:tl2br w:val="single" w:color="auto" w:sz="4" w:space="0"/>
            </w:tcBorders>
          </w:tcPr>
          <w:p w14:paraId="24DB2F2D">
            <w:pPr>
              <w:adjustRightInd w:val="0"/>
              <w:snapToGrid w:val="0"/>
              <w:spacing w:line="240" w:lineRule="auto"/>
              <w:ind w:left="0" w:leftChars="0" w:firstLine="0" w:firstLineChars="0"/>
              <w:jc w:val="right"/>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内容</w:t>
            </w:r>
          </w:p>
          <w:p w14:paraId="4E75DEF6">
            <w:pPr>
              <w:adjustRightInd w:val="0"/>
              <w:snapToGrid w:val="0"/>
              <w:spacing w:line="24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要素</w:t>
            </w:r>
          </w:p>
        </w:tc>
        <w:tc>
          <w:tcPr>
            <w:tcW w:w="1473" w:type="dxa"/>
            <w:gridSpan w:val="2"/>
            <w:vAlign w:val="center"/>
          </w:tcPr>
          <w:p w14:paraId="23290407">
            <w:pPr>
              <w:adjustRightInd w:val="0"/>
              <w:snapToGrid w:val="0"/>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排放口/污染源</w:t>
            </w:r>
          </w:p>
        </w:tc>
        <w:tc>
          <w:tcPr>
            <w:tcW w:w="1677" w:type="dxa"/>
            <w:vAlign w:val="center"/>
          </w:tcPr>
          <w:p w14:paraId="2FA7C2D9">
            <w:pPr>
              <w:adjustRightInd w:val="0"/>
              <w:snapToGrid w:val="0"/>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污染物项目</w:t>
            </w:r>
          </w:p>
        </w:tc>
        <w:tc>
          <w:tcPr>
            <w:tcW w:w="2275" w:type="dxa"/>
            <w:vAlign w:val="center"/>
          </w:tcPr>
          <w:p w14:paraId="3B3EC8E7">
            <w:pPr>
              <w:adjustRightInd w:val="0"/>
              <w:snapToGrid w:val="0"/>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环境保护措施</w:t>
            </w:r>
          </w:p>
        </w:tc>
        <w:tc>
          <w:tcPr>
            <w:tcW w:w="2241" w:type="dxa"/>
            <w:vAlign w:val="center"/>
          </w:tcPr>
          <w:p w14:paraId="09D0B720">
            <w:pPr>
              <w:adjustRightInd w:val="0"/>
              <w:snapToGrid w:val="0"/>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执行标准</w:t>
            </w:r>
          </w:p>
        </w:tc>
      </w:tr>
      <w:tr w14:paraId="7DAEE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3" w:hRule="atLeast"/>
          <w:jc w:val="center"/>
        </w:trPr>
        <w:tc>
          <w:tcPr>
            <w:tcW w:w="1332" w:type="dxa"/>
            <w:vMerge w:val="restart"/>
            <w:vAlign w:val="center"/>
          </w:tcPr>
          <w:p w14:paraId="498C6A87">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736" w:type="dxa"/>
            <w:vAlign w:val="center"/>
          </w:tcPr>
          <w:p w14:paraId="065FC8A8">
            <w:pPr>
              <w:adjustRightInd w:val="0"/>
              <w:snapToGrid w:val="0"/>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有组织废气</w:t>
            </w:r>
          </w:p>
        </w:tc>
        <w:tc>
          <w:tcPr>
            <w:tcW w:w="737" w:type="dxa"/>
            <w:vAlign w:val="center"/>
          </w:tcPr>
          <w:p w14:paraId="4463F141">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DA002</w:t>
            </w:r>
          </w:p>
        </w:tc>
        <w:tc>
          <w:tcPr>
            <w:tcW w:w="1677" w:type="dxa"/>
            <w:vAlign w:val="center"/>
          </w:tcPr>
          <w:p w14:paraId="31708A44">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非甲烷总烃、甲苯</w:t>
            </w:r>
          </w:p>
        </w:tc>
        <w:tc>
          <w:tcPr>
            <w:tcW w:w="2275" w:type="dxa"/>
            <w:vAlign w:val="center"/>
          </w:tcPr>
          <w:p w14:paraId="1FAD096F">
            <w:pPr>
              <w:keepNext w:val="0"/>
              <w:keepLines w:val="0"/>
              <w:widowControl/>
              <w:suppressLineNumbers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密闭收集至两级活性炭吸附处理后经一根15m高排气筒排放</w:t>
            </w:r>
          </w:p>
        </w:tc>
        <w:tc>
          <w:tcPr>
            <w:tcW w:w="2241" w:type="dxa"/>
            <w:vAlign w:val="center"/>
          </w:tcPr>
          <w:p w14:paraId="30C469AD">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《印刷工业大气污染物排放标准》（DB32／4438-2022）</w:t>
            </w:r>
            <w:r>
              <w:rPr>
                <w:rFonts w:hint="default" w:ascii="Times New Roman" w:hAnsi="Times New Roman" w:eastAsia="宋体" w:cs="Times New Roman"/>
                <w:color w:val="auto"/>
                <w:sz w:val="21"/>
                <w:szCs w:val="21"/>
              </w:rPr>
              <w:t>表1标准</w:t>
            </w:r>
            <w:r>
              <w:rPr>
                <w:rFonts w:hint="default" w:ascii="Times New Roman" w:hAnsi="Times New Roman" w:eastAsia="宋体" w:cs="Times New Roman"/>
                <w:color w:val="auto"/>
                <w:sz w:val="21"/>
                <w:szCs w:val="21"/>
                <w:lang w:val="en-US" w:eastAsia="zh-CN"/>
              </w:rPr>
              <w:t>和</w:t>
            </w:r>
            <w:r>
              <w:rPr>
                <w:rFonts w:hint="default" w:ascii="Times New Roman" w:hAnsi="Times New Roman" w:eastAsia="宋体" w:cs="Times New Roman"/>
                <w:color w:val="auto"/>
                <w:sz w:val="21"/>
                <w:szCs w:val="21"/>
              </w:rPr>
              <w:t>《大气污染物综合排放标准》（DB32/4041-2021）表</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标准</w:t>
            </w:r>
          </w:p>
        </w:tc>
      </w:tr>
      <w:tr w14:paraId="6D578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79" w:hRule="atLeast"/>
          <w:jc w:val="center"/>
        </w:trPr>
        <w:tc>
          <w:tcPr>
            <w:tcW w:w="1332" w:type="dxa"/>
            <w:vMerge w:val="continue"/>
            <w:vAlign w:val="center"/>
          </w:tcPr>
          <w:p w14:paraId="4D4F02E6">
            <w:pPr>
              <w:adjustRightInd w:val="0"/>
              <w:snapToGrid w:val="0"/>
              <w:spacing w:line="240" w:lineRule="auto"/>
              <w:jc w:val="center"/>
              <w:rPr>
                <w:rFonts w:hint="default" w:ascii="Times New Roman" w:hAnsi="Times New Roman" w:eastAsia="宋体" w:cs="Times New Roman"/>
                <w:color w:val="auto"/>
                <w:sz w:val="21"/>
                <w:szCs w:val="21"/>
              </w:rPr>
            </w:pPr>
          </w:p>
        </w:tc>
        <w:tc>
          <w:tcPr>
            <w:tcW w:w="1473" w:type="dxa"/>
            <w:gridSpan w:val="2"/>
            <w:vAlign w:val="center"/>
          </w:tcPr>
          <w:p w14:paraId="6B0550C2">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无组织废气</w:t>
            </w:r>
          </w:p>
        </w:tc>
        <w:tc>
          <w:tcPr>
            <w:tcW w:w="1677" w:type="dxa"/>
            <w:vAlign w:val="center"/>
          </w:tcPr>
          <w:p w14:paraId="22D718B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非甲烷总烃、甲苯</w:t>
            </w:r>
          </w:p>
        </w:tc>
        <w:tc>
          <w:tcPr>
            <w:tcW w:w="2275" w:type="dxa"/>
            <w:vAlign w:val="center"/>
          </w:tcPr>
          <w:p w14:paraId="5FDFC914">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加强车间内通风</w:t>
            </w:r>
          </w:p>
        </w:tc>
        <w:tc>
          <w:tcPr>
            <w:tcW w:w="2241" w:type="dxa"/>
            <w:vAlign w:val="center"/>
          </w:tcPr>
          <w:p w14:paraId="1E993EF1">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《大气污染物综合排放标准》（DB32/4041-2021）表3标准</w:t>
            </w:r>
          </w:p>
        </w:tc>
      </w:tr>
      <w:tr w14:paraId="0F644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25" w:hRule="atLeast"/>
          <w:jc w:val="center"/>
        </w:trPr>
        <w:tc>
          <w:tcPr>
            <w:tcW w:w="1332" w:type="dxa"/>
            <w:vAlign w:val="center"/>
          </w:tcPr>
          <w:p w14:paraId="408A218D">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473" w:type="dxa"/>
            <w:gridSpan w:val="2"/>
            <w:vAlign w:val="center"/>
          </w:tcPr>
          <w:p w14:paraId="3C631701">
            <w:pPr>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w:t>
            </w:r>
          </w:p>
        </w:tc>
        <w:tc>
          <w:tcPr>
            <w:tcW w:w="1677" w:type="dxa"/>
            <w:vAlign w:val="center"/>
          </w:tcPr>
          <w:p w14:paraId="3F2955BB">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275" w:type="dxa"/>
            <w:vAlign w:val="center"/>
          </w:tcPr>
          <w:p w14:paraId="0ED91ABD">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241" w:type="dxa"/>
            <w:vAlign w:val="center"/>
          </w:tcPr>
          <w:p w14:paraId="58D397F7">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DF39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25" w:hRule="atLeast"/>
          <w:jc w:val="center"/>
        </w:trPr>
        <w:tc>
          <w:tcPr>
            <w:tcW w:w="1332" w:type="dxa"/>
            <w:vAlign w:val="center"/>
          </w:tcPr>
          <w:p w14:paraId="34B632DB">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473" w:type="dxa"/>
            <w:gridSpan w:val="2"/>
            <w:vAlign w:val="center"/>
          </w:tcPr>
          <w:p w14:paraId="25B503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机械设备</w:t>
            </w:r>
          </w:p>
        </w:tc>
        <w:tc>
          <w:tcPr>
            <w:tcW w:w="1677" w:type="dxa"/>
            <w:vAlign w:val="center"/>
          </w:tcPr>
          <w:p w14:paraId="4FEDB0B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2275" w:type="dxa"/>
            <w:vAlign w:val="center"/>
          </w:tcPr>
          <w:p w14:paraId="507EE19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合理布局、减振、厂房隔声、距离衰减等措施</w:t>
            </w:r>
          </w:p>
        </w:tc>
        <w:tc>
          <w:tcPr>
            <w:tcW w:w="2241" w:type="dxa"/>
            <w:vAlign w:val="center"/>
          </w:tcPr>
          <w:p w14:paraId="0D091533">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《工业企业厂界环境噪声排放标准》（GB12348-2008）中</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类标准</w:t>
            </w:r>
          </w:p>
        </w:tc>
      </w:tr>
      <w:tr w14:paraId="14547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25" w:hRule="atLeast"/>
          <w:jc w:val="center"/>
        </w:trPr>
        <w:tc>
          <w:tcPr>
            <w:tcW w:w="1332" w:type="dxa"/>
            <w:vAlign w:val="center"/>
          </w:tcPr>
          <w:p w14:paraId="602E3BED">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电磁辐射</w:t>
            </w:r>
          </w:p>
        </w:tc>
        <w:tc>
          <w:tcPr>
            <w:tcW w:w="1473" w:type="dxa"/>
            <w:gridSpan w:val="2"/>
            <w:vAlign w:val="center"/>
          </w:tcPr>
          <w:p w14:paraId="4874EB78">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677" w:type="dxa"/>
            <w:vAlign w:val="center"/>
          </w:tcPr>
          <w:p w14:paraId="50CF7EEB">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275" w:type="dxa"/>
            <w:vAlign w:val="center"/>
          </w:tcPr>
          <w:p w14:paraId="75C0E7DF">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241" w:type="dxa"/>
            <w:vAlign w:val="center"/>
          </w:tcPr>
          <w:p w14:paraId="1ED61BE7">
            <w:pPr>
              <w:adjustRightInd w:val="0"/>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0BD3C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58" w:hRule="atLeast"/>
          <w:jc w:val="center"/>
        </w:trPr>
        <w:tc>
          <w:tcPr>
            <w:tcW w:w="1332" w:type="dxa"/>
            <w:vAlign w:val="center"/>
          </w:tcPr>
          <w:p w14:paraId="37AA3A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7666" w:type="dxa"/>
            <w:gridSpan w:val="5"/>
            <w:vAlign w:val="center"/>
          </w:tcPr>
          <w:p w14:paraId="522C7525">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eastAsia" w:cs="Times New Roman"/>
                <w:b w:val="0"/>
                <w:bCs w:val="0"/>
                <w:color w:val="FF0000"/>
                <w:sz w:val="21"/>
                <w:szCs w:val="21"/>
                <w:highlight w:val="none"/>
                <w:lang w:val="en-US" w:eastAsia="zh-CN"/>
              </w:rPr>
              <w:t>清洗废液、</w:t>
            </w:r>
            <w:r>
              <w:rPr>
                <w:rFonts w:hint="default" w:ascii="Times New Roman" w:hAnsi="Times New Roman" w:eastAsia="宋体" w:cs="Times New Roman"/>
                <w:b w:val="0"/>
                <w:bCs w:val="0"/>
                <w:color w:val="auto"/>
                <w:sz w:val="21"/>
                <w:szCs w:val="21"/>
                <w:highlight w:val="none"/>
                <w:lang w:val="en-US" w:eastAsia="zh-CN"/>
              </w:rPr>
              <w:t>废网版</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废包装瓶</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r>
              <w:rPr>
                <w:rFonts w:hint="default" w:ascii="Times New Roman" w:hAnsi="Times New Roman" w:eastAsia="宋体" w:cs="Times New Roman"/>
                <w:color w:val="auto"/>
                <w:sz w:val="21"/>
                <w:szCs w:val="21"/>
                <w:highlight w:val="none"/>
                <w:lang w:val="en-US" w:eastAsia="zh-CN"/>
              </w:rPr>
              <w:t>、废活性炭</w:t>
            </w:r>
            <w:r>
              <w:rPr>
                <w:rFonts w:hint="default" w:ascii="Times New Roman" w:hAnsi="Times New Roman" w:eastAsia="宋体" w:cs="Times New Roman"/>
                <w:color w:val="auto"/>
                <w:sz w:val="21"/>
                <w:szCs w:val="21"/>
                <w:highlight w:val="none"/>
                <w:lang w:eastAsia="zh-CN"/>
              </w:rPr>
              <w:t>属于危险废物，委托有资质单位处理；危废扩建现有危废仓库暂存。</w:t>
            </w:r>
          </w:p>
        </w:tc>
      </w:tr>
      <w:tr w14:paraId="78CC7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93" w:hRule="atLeast"/>
          <w:jc w:val="center"/>
        </w:trPr>
        <w:tc>
          <w:tcPr>
            <w:tcW w:w="1332" w:type="dxa"/>
            <w:vAlign w:val="center"/>
          </w:tcPr>
          <w:p w14:paraId="0D249D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土壤及地下水污染防治措施</w:t>
            </w:r>
          </w:p>
        </w:tc>
        <w:tc>
          <w:tcPr>
            <w:tcW w:w="7666" w:type="dxa"/>
            <w:gridSpan w:val="5"/>
            <w:vAlign w:val="center"/>
          </w:tcPr>
          <w:p w14:paraId="15A01C10">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土壤地下水污染防治措施按照“源头控制、分区防治、污染监控、应急响应”相结合的原则，从污染物的产生、入渗、扩散、应急响应进行控制。本项目以先进工艺、管道、设备、污水储存，尽可能从源头上减少废水产生；严格按照国家相关规范要求，对工艺、管道、设备、污水储存及处理构筑物采取相应的措施，以防止和降低废水的跑、冒、滴、漏，将废水泄漏的环境风险事故降到最低程度。根据防渗参照的标准和规范，结合目前施工过程中的可操作性和技术水平，针对不同的防渗区域采用典型防渗措施，在具体设计中将根据实际情况在满足防渗标准的前提下做必要的调整。本项目针对污染特点设置地下水、土壤一般污染防渗区和重点污染防渗区。正常工况下对地下水基本无渗漏，污染较小。正常工况下排放的废气不属于重点重金属、持久性有机污染物或难降解有机污染物，大气沉降不会对周边土壤产生明显影响。</w:t>
            </w:r>
          </w:p>
        </w:tc>
      </w:tr>
      <w:tr w14:paraId="528A6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07" w:hRule="atLeast"/>
          <w:jc w:val="center"/>
        </w:trPr>
        <w:tc>
          <w:tcPr>
            <w:tcW w:w="1332" w:type="dxa"/>
            <w:vAlign w:val="center"/>
          </w:tcPr>
          <w:p w14:paraId="77D4B8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w:t>
            </w:r>
          </w:p>
          <w:p w14:paraId="70615B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措施</w:t>
            </w:r>
          </w:p>
        </w:tc>
        <w:tc>
          <w:tcPr>
            <w:tcW w:w="7666" w:type="dxa"/>
            <w:gridSpan w:val="5"/>
            <w:vAlign w:val="center"/>
          </w:tcPr>
          <w:p w14:paraId="3111418D">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本项目用地范围内不含生态保护目标。</w:t>
            </w:r>
          </w:p>
        </w:tc>
      </w:tr>
      <w:tr w14:paraId="78060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92" w:hRule="atLeast"/>
          <w:jc w:val="center"/>
        </w:trPr>
        <w:tc>
          <w:tcPr>
            <w:tcW w:w="1332" w:type="dxa"/>
            <w:vAlign w:val="center"/>
          </w:tcPr>
          <w:p w14:paraId="7076346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环境风险</w:t>
            </w:r>
          </w:p>
          <w:p w14:paraId="564E210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防范措施</w:t>
            </w:r>
          </w:p>
        </w:tc>
        <w:tc>
          <w:tcPr>
            <w:tcW w:w="7666" w:type="dxa"/>
            <w:gridSpan w:val="5"/>
            <w:vAlign w:val="center"/>
          </w:tcPr>
          <w:p w14:paraId="419DE4FF">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（1）加强对危险废物的管理，制定相应的安全操作流程；</w:t>
            </w:r>
          </w:p>
          <w:p w14:paraId="0A5725A9">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w:t>
            </w:r>
            <w:r>
              <w:rPr>
                <w:rFonts w:hint="default" w:ascii="Times New Roman" w:hAnsi="Times New Roman" w:eastAsia="宋体" w:cs="Times New Roman"/>
                <w:color w:val="auto"/>
                <w:sz w:val="21"/>
                <w:szCs w:val="21"/>
                <w:lang w:val="en-US" w:eastAsia="zh-CN"/>
              </w:rPr>
              <w:t>仓库必须防渗、防漏、防雨，应配备吸附剂等材料，防止发生事故时能对事故进行应急处理；</w:t>
            </w:r>
          </w:p>
          <w:p w14:paraId="2FD231A5">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color w:val="auto"/>
                <w:sz w:val="21"/>
                <w:szCs w:val="21"/>
                <w:lang w:val="en-US" w:eastAsia="zh-CN"/>
              </w:rPr>
              <w:t>应加强火源的管理，各重点部位建议设置灭火器，并且对其作定期检查。</w:t>
            </w:r>
          </w:p>
        </w:tc>
      </w:tr>
      <w:tr w14:paraId="17ABA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002" w:hRule="atLeast"/>
          <w:jc w:val="center"/>
        </w:trPr>
        <w:tc>
          <w:tcPr>
            <w:tcW w:w="1332" w:type="dxa"/>
            <w:vAlign w:val="center"/>
          </w:tcPr>
          <w:p w14:paraId="46611C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其他环境</w:t>
            </w:r>
          </w:p>
          <w:p w14:paraId="76CBA4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管理要求</w:t>
            </w:r>
          </w:p>
        </w:tc>
        <w:tc>
          <w:tcPr>
            <w:tcW w:w="7666" w:type="dxa"/>
            <w:gridSpan w:val="5"/>
            <w:vAlign w:val="center"/>
          </w:tcPr>
          <w:p w14:paraId="28D5C0D7">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（1）保持与环境保护主</w:t>
            </w:r>
            <w:r>
              <w:rPr>
                <w:rFonts w:hint="default" w:ascii="Times New Roman" w:hAnsi="Times New Roman" w:eastAsia="宋体" w:cs="Times New Roman"/>
                <w:color w:val="auto"/>
                <w:sz w:val="21"/>
                <w:szCs w:val="21"/>
                <w:lang w:val="en-US" w:eastAsia="zh-CN"/>
              </w:rPr>
              <w:t>管机构的密切联系，及时了解国家、地方对本项目的有关环境保护的法律、法规和其它要求，及时向环境保护主管机构反映与项目有关的污染因素、存在的问题、采取的污染控制对策等环境保护方面的内容，听取环境保护主管机构的批示意见；</w:t>
            </w:r>
          </w:p>
          <w:p w14:paraId="1D03DC5E">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（2）及时将国家、地方与本项目环境保护有关的法律、法规和其它要求向单位负责人汇报，及时向本单位有关机构、人员进行通报，组织职工进行环境保护方面的教育、培训，增强环保意识；</w:t>
            </w:r>
          </w:p>
          <w:p w14:paraId="10FA1683">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（3）及时向单位负责人汇报与本项目有关的污染因素、存在问题、采取的污染控制对策、实施情况等，提出改进建议；</w:t>
            </w:r>
          </w:p>
          <w:p w14:paraId="134E7ACB">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（4）负责制定、监督实施本单位的有关环境保护管理规章制度，负责实施污染控制措施、管理污染治理设施，并进行详细的记录、以备检查；</w:t>
            </w:r>
          </w:p>
          <w:p w14:paraId="271D5B0E">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按照本报告提出的各项环境保护措施，编制详细的环境保护措施落实计划，明确各污染源位置、环境影响、环境保护措施、落实责任机构（人）等，并将该环境保护计划以书面形式发放给相关人员，以便于各项措施的有效落实；</w:t>
            </w:r>
          </w:p>
          <w:p w14:paraId="12F66F4A">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（6）按《江苏省排污口设置及规范化整治管理办法》（苏环控[97]122号）要求，对废气排口、固定噪声污染源、固废临时堆场进行规范化设置。</w:t>
            </w:r>
          </w:p>
          <w:p w14:paraId="72B6D74A">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（7）根据《关于印发排污许可证管理暂行规定的通知》（环水体〔2016〕186号）要求，向社会公开如下信息：</w:t>
            </w:r>
          </w:p>
          <w:p w14:paraId="5207BBD1">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①基础信息，包括单位名称、组织机构代码、法定代表人、生产地址、联系方式，以及生产经营和管理服务的主要内容、产品及规模；</w:t>
            </w:r>
          </w:p>
          <w:p w14:paraId="2DB25572">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②排污信息，包括主要污染物</w:t>
            </w:r>
            <w:r>
              <w:rPr>
                <w:rFonts w:hint="default" w:ascii="Times New Roman" w:hAnsi="Times New Roman" w:eastAsia="宋体" w:cs="Times New Roman"/>
                <w:color w:val="auto"/>
                <w:sz w:val="21"/>
                <w:szCs w:val="21"/>
              </w:rPr>
              <w:t>及特征污染物的名称、排放方式、排放口数量和分布情况、排放浓度和总量、超标情况，以及执行的污染物排放标准、核定的排放总量；</w:t>
            </w:r>
          </w:p>
          <w:p w14:paraId="64423ABC">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③防治污染设施的建设和运行情况；</w:t>
            </w:r>
          </w:p>
          <w:p w14:paraId="508F22BC">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④建设项目环境影响</w:t>
            </w:r>
            <w:r>
              <w:rPr>
                <w:rFonts w:hint="default" w:ascii="Times New Roman" w:hAnsi="Times New Roman" w:eastAsia="宋体" w:cs="Times New Roman"/>
                <w:color w:val="auto"/>
                <w:sz w:val="21"/>
                <w:szCs w:val="21"/>
                <w:lang w:val="en-US" w:eastAsia="zh-CN"/>
              </w:rPr>
              <w:t>评价</w:t>
            </w:r>
            <w:r>
              <w:rPr>
                <w:rFonts w:hint="default" w:ascii="Times New Roman" w:hAnsi="Times New Roman" w:eastAsia="宋体" w:cs="Times New Roman"/>
                <w:color w:val="auto"/>
                <w:sz w:val="21"/>
                <w:szCs w:val="21"/>
              </w:rPr>
              <w:t>及其他环境保护行政许可情况；</w:t>
            </w:r>
          </w:p>
          <w:p w14:paraId="4AA6752B">
            <w:pPr>
              <w:keepNext w:val="0"/>
              <w:keepLines w:val="0"/>
              <w:pageBreakBefore w:val="0"/>
              <w:widowControl w:val="0"/>
              <w:kinsoku/>
              <w:wordWrap/>
              <w:overflowPunct/>
              <w:topLinePunct w:val="0"/>
              <w:autoSpaceDE/>
              <w:autoSpaceDN/>
              <w:bidi w:val="0"/>
              <w:adjustRightInd w:val="0"/>
              <w:snapToGrid w:val="0"/>
              <w:spacing w:line="350" w:lineRule="exact"/>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⑤突发环境事件应急</w:t>
            </w:r>
            <w:r>
              <w:rPr>
                <w:rFonts w:hint="default" w:ascii="Times New Roman" w:hAnsi="Times New Roman" w:eastAsia="宋体" w:cs="Times New Roman"/>
                <w:color w:val="auto"/>
                <w:sz w:val="21"/>
                <w:szCs w:val="21"/>
                <w:lang w:val="en-US" w:eastAsia="zh-CN"/>
              </w:rPr>
              <w:t>预案</w:t>
            </w:r>
            <w:r>
              <w:rPr>
                <w:rFonts w:hint="default" w:ascii="Times New Roman" w:hAnsi="Times New Roman" w:eastAsia="宋体" w:cs="Times New Roman"/>
                <w:color w:val="auto"/>
                <w:sz w:val="21"/>
                <w:szCs w:val="21"/>
              </w:rPr>
              <w:t>。</w:t>
            </w:r>
          </w:p>
        </w:tc>
      </w:tr>
    </w:tbl>
    <w:p w14:paraId="1AD982AB">
      <w:pPr>
        <w:pStyle w:val="22"/>
        <w:spacing w:before="0" w:beforeAutospacing="0" w:after="0" w:afterAutospacing="0"/>
        <w:jc w:val="center"/>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snapToGrid w:val="0"/>
          <w:color w:val="auto"/>
        </w:rPr>
        <w:br w:type="page"/>
      </w:r>
      <w:bookmarkStart w:id="8" w:name="_Toc28394"/>
      <w:r>
        <w:rPr>
          <w:rFonts w:hint="default" w:ascii="Times New Roman" w:hAnsi="Times New Roman" w:eastAsia="宋体" w:cs="Times New Roman"/>
          <w:b/>
          <w:bCs/>
          <w:snapToGrid w:val="0"/>
          <w:color w:val="auto"/>
          <w:sz w:val="30"/>
          <w:szCs w:val="30"/>
        </w:rPr>
        <w:t>六、结论</w:t>
      </w:r>
      <w:bookmarkEnd w:id="8"/>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C883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69" w:hRule="atLeast"/>
          <w:jc w:val="center"/>
        </w:trPr>
        <w:tc>
          <w:tcPr>
            <w:tcW w:w="8865" w:type="dxa"/>
          </w:tcPr>
          <w:p w14:paraId="6767F2F5">
            <w:pPr>
              <w:adjustRightInd w:val="0"/>
              <w:snapToGrid w:val="0"/>
              <w:spacing w:line="500" w:lineRule="exact"/>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符合国家、地方法律法规产业政策和“三线一单”要求；符合相关规划，选址合理；项目产生的各项污染物采取合理有效的治理措施后均可得到有效处置，实现达标排放，对外环境的影响较小，不会造成区域环境质量下降；本项目建成后排放的各类污染物可以在区域内实现平衡；在做好各项风险防范及应急措施的前提下本项目的环境风险在可接受水平内。</w:t>
            </w:r>
          </w:p>
          <w:p w14:paraId="62CD812B">
            <w:pPr>
              <w:adjustRightInd w:val="0"/>
              <w:snapToGrid w:val="0"/>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因此，建设单位在重视环保工作，落实本报告表提出的各项环保措施要求、严格执行环保“三同时”的前提下，从环保角度分析，本项目建设具有环境可行性。</w:t>
            </w:r>
          </w:p>
        </w:tc>
      </w:tr>
    </w:tbl>
    <w:p w14:paraId="7C7AE278">
      <w:pPr>
        <w:adjustRightInd w:val="0"/>
        <w:snapToGrid w:val="0"/>
        <w:spacing w:line="480" w:lineRule="exact"/>
        <w:rPr>
          <w:rFonts w:hint="default" w:ascii="Times New Roman" w:hAnsi="Times New Roman" w:eastAsia="宋体" w:cs="Times New Roman"/>
          <w:color w:val="auto"/>
        </w:rPr>
      </w:pPr>
    </w:p>
    <w:p w14:paraId="6EE6E461">
      <w:pPr>
        <w:rPr>
          <w:rFonts w:hint="default" w:ascii="Times New Roman" w:hAnsi="Times New Roman" w:eastAsia="宋体" w:cs="Times New Roman"/>
          <w:color w:val="auto"/>
        </w:rPr>
      </w:pPr>
    </w:p>
    <w:p w14:paraId="5999B3B5">
      <w:pPr>
        <w:rPr>
          <w:rFonts w:hint="default" w:ascii="Times New Roman" w:hAnsi="Times New Roman" w:eastAsia="宋体" w:cs="Times New Roman"/>
          <w:color w:val="auto"/>
        </w:rPr>
        <w:sectPr>
          <w:pgSz w:w="11906" w:h="16838"/>
          <w:pgMar w:top="1701" w:right="1531" w:bottom="1701" w:left="1531" w:header="851" w:footer="1134" w:gutter="0"/>
          <w:pgBorders>
            <w:top w:val="none" w:sz="0" w:space="0"/>
            <w:left w:val="none" w:sz="0" w:space="0"/>
            <w:bottom w:val="none" w:sz="0" w:space="0"/>
            <w:right w:val="none" w:sz="0" w:space="0"/>
          </w:pgBorders>
          <w:cols w:space="720" w:num="1"/>
          <w:docGrid w:linePitch="312" w:charSpace="0"/>
        </w:sectPr>
      </w:pPr>
    </w:p>
    <w:p w14:paraId="63E56C06">
      <w:pPr>
        <w:pStyle w:val="22"/>
        <w:adjustRightInd w:val="0"/>
        <w:snapToGrid w:val="0"/>
        <w:spacing w:before="0" w:beforeAutospacing="0" w:after="0" w:afterAutospacing="0"/>
        <w:contextualSpacing/>
        <w:outlineLvl w:val="0"/>
        <w:rPr>
          <w:rFonts w:hint="default" w:ascii="Times New Roman" w:hAnsi="Times New Roman" w:eastAsia="宋体" w:cs="Times New Roman"/>
          <w:snapToGrid w:val="0"/>
          <w:color w:val="auto"/>
          <w:sz w:val="32"/>
          <w:szCs w:val="32"/>
        </w:rPr>
      </w:pPr>
      <w:bookmarkStart w:id="9" w:name="_Toc6584"/>
      <w:r>
        <w:rPr>
          <w:rFonts w:hint="default" w:ascii="Times New Roman" w:hAnsi="Times New Roman" w:eastAsia="宋体" w:cs="Times New Roman"/>
          <w:snapToGrid w:val="0"/>
          <w:color w:val="auto"/>
          <w:sz w:val="32"/>
          <w:szCs w:val="32"/>
        </w:rPr>
        <w:t>附表</w:t>
      </w:r>
      <w:bookmarkEnd w:id="9"/>
    </w:p>
    <w:p w14:paraId="1CFAAD3B">
      <w:pPr>
        <w:pStyle w:val="22"/>
        <w:adjustRightInd w:val="0"/>
        <w:snapToGrid w:val="0"/>
        <w:spacing w:before="0" w:beforeAutospacing="0" w:after="0" w:afterAutospacing="0"/>
        <w:contextualSpacing/>
        <w:jc w:val="center"/>
        <w:outlineLvl w:val="0"/>
        <w:rPr>
          <w:rFonts w:hint="default" w:ascii="Times New Roman" w:hAnsi="Times New Roman" w:eastAsia="宋体" w:cs="Times New Roman"/>
          <w:b/>
          <w:bCs/>
          <w:snapToGrid w:val="0"/>
          <w:color w:val="auto"/>
          <w:sz w:val="38"/>
          <w:szCs w:val="38"/>
        </w:rPr>
      </w:pPr>
      <w:bookmarkStart w:id="10" w:name="_Toc169"/>
      <w:bookmarkStart w:id="11" w:name="_GoBack"/>
      <w:bookmarkEnd w:id="11"/>
      <w:r>
        <w:rPr>
          <w:rFonts w:hint="default" w:ascii="Times New Roman" w:hAnsi="Times New Roman" w:eastAsia="宋体" w:cs="Times New Roman"/>
          <w:b/>
          <w:bCs/>
          <w:snapToGrid w:val="0"/>
          <w:color w:val="auto"/>
          <w:sz w:val="38"/>
          <w:szCs w:val="38"/>
        </w:rPr>
        <w:t>建设项目污染物排放量汇总表</w:t>
      </w:r>
      <w:bookmarkEnd w:id="10"/>
    </w:p>
    <w:tbl>
      <w:tblPr>
        <w:tblStyle w:val="27"/>
        <w:tblW w:w="13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4"/>
        <w:gridCol w:w="1901"/>
        <w:gridCol w:w="1701"/>
        <w:gridCol w:w="1523"/>
        <w:gridCol w:w="1454"/>
        <w:gridCol w:w="1559"/>
        <w:gridCol w:w="1427"/>
        <w:gridCol w:w="1639"/>
        <w:gridCol w:w="1430"/>
      </w:tblGrid>
      <w:tr w14:paraId="1553C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tblHeader/>
          <w:jc w:val="center"/>
        </w:trPr>
        <w:tc>
          <w:tcPr>
            <w:tcW w:w="1104" w:type="dxa"/>
            <w:tcBorders>
              <w:tl2br w:val="single" w:color="auto" w:sz="4" w:space="0"/>
            </w:tcBorders>
            <w:tcMar>
              <w:left w:w="28" w:type="dxa"/>
              <w:right w:w="28" w:type="dxa"/>
            </w:tcMar>
            <w:vAlign w:val="center"/>
          </w:tcPr>
          <w:p w14:paraId="48AF4B39">
            <w:pPr>
              <w:pStyle w:val="44"/>
              <w:spacing w:beforeLines="0" w:afterLines="0" w:line="240" w:lineRule="auto"/>
              <w:jc w:val="righ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项目</w:t>
            </w:r>
          </w:p>
          <w:p w14:paraId="734A1572">
            <w:pPr>
              <w:pStyle w:val="44"/>
              <w:spacing w:beforeLines="0" w:afterLines="0" w:line="240" w:lineRule="auto"/>
              <w:jc w:val="left"/>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分类</w:t>
            </w:r>
          </w:p>
        </w:tc>
        <w:tc>
          <w:tcPr>
            <w:tcW w:w="1901" w:type="dxa"/>
            <w:tcMar>
              <w:left w:w="28" w:type="dxa"/>
              <w:right w:w="28" w:type="dxa"/>
            </w:tcMar>
            <w:vAlign w:val="center"/>
          </w:tcPr>
          <w:p w14:paraId="49A48518">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污染物名称</w:t>
            </w:r>
          </w:p>
        </w:tc>
        <w:tc>
          <w:tcPr>
            <w:tcW w:w="1701" w:type="dxa"/>
            <w:tcMar>
              <w:left w:w="28" w:type="dxa"/>
              <w:right w:w="28" w:type="dxa"/>
            </w:tcMar>
            <w:vAlign w:val="center"/>
          </w:tcPr>
          <w:p w14:paraId="58BE0CA9">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0917A53B">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1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①</w:t>
            </w:r>
            <w:r>
              <w:rPr>
                <w:rFonts w:hint="default" w:ascii="Times New Roman" w:hAnsi="Times New Roman" w:eastAsia="宋体" w:cs="Times New Roman"/>
                <w:snapToGrid w:val="0"/>
                <w:color w:val="auto"/>
                <w:spacing w:val="-6"/>
                <w:kern w:val="21"/>
                <w:sz w:val="21"/>
                <w:szCs w:val="21"/>
              </w:rPr>
              <w:fldChar w:fldCharType="end"/>
            </w:r>
          </w:p>
        </w:tc>
        <w:tc>
          <w:tcPr>
            <w:tcW w:w="1523" w:type="dxa"/>
            <w:tcMar>
              <w:left w:w="28" w:type="dxa"/>
              <w:right w:w="28" w:type="dxa"/>
            </w:tcMar>
            <w:vAlign w:val="center"/>
          </w:tcPr>
          <w:p w14:paraId="5624D409">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60DF64E0">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许可排放量</w:t>
            </w:r>
          </w:p>
          <w:p w14:paraId="1C9709E8">
            <w:pPr>
              <w:pStyle w:val="44"/>
              <w:spacing w:beforeLines="0" w:afterLines="0"/>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2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snapToGrid w:val="0"/>
                <w:color w:val="auto"/>
                <w:spacing w:val="-6"/>
                <w:kern w:val="21"/>
                <w:sz w:val="21"/>
                <w:szCs w:val="21"/>
              </w:rPr>
              <w:t>②</w:t>
            </w:r>
            <w:r>
              <w:rPr>
                <w:rFonts w:hint="default" w:ascii="Times New Roman" w:hAnsi="Times New Roman" w:eastAsia="宋体" w:cs="Times New Roman"/>
                <w:snapToGrid w:val="0"/>
                <w:color w:val="auto"/>
                <w:spacing w:val="-6"/>
                <w:kern w:val="21"/>
                <w:sz w:val="21"/>
                <w:szCs w:val="21"/>
              </w:rPr>
              <w:fldChar w:fldCharType="end"/>
            </w:r>
          </w:p>
        </w:tc>
        <w:tc>
          <w:tcPr>
            <w:tcW w:w="1454" w:type="dxa"/>
            <w:tcMar>
              <w:left w:w="28" w:type="dxa"/>
              <w:right w:w="28" w:type="dxa"/>
            </w:tcMar>
            <w:vAlign w:val="center"/>
          </w:tcPr>
          <w:p w14:paraId="43FB0424">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在建工程</w:t>
            </w:r>
          </w:p>
          <w:p w14:paraId="259FC439">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3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③</w:t>
            </w:r>
            <w:r>
              <w:rPr>
                <w:rFonts w:hint="default" w:ascii="Times New Roman" w:hAnsi="Times New Roman" w:eastAsia="宋体" w:cs="Times New Roman"/>
                <w:snapToGrid w:val="0"/>
                <w:color w:val="auto"/>
                <w:spacing w:val="-6"/>
                <w:kern w:val="21"/>
                <w:sz w:val="21"/>
                <w:szCs w:val="21"/>
              </w:rPr>
              <w:fldChar w:fldCharType="end"/>
            </w:r>
          </w:p>
        </w:tc>
        <w:tc>
          <w:tcPr>
            <w:tcW w:w="1559" w:type="dxa"/>
            <w:tcMar>
              <w:left w:w="28" w:type="dxa"/>
              <w:right w:w="28" w:type="dxa"/>
            </w:tcMar>
            <w:vAlign w:val="center"/>
          </w:tcPr>
          <w:p w14:paraId="0A0E48E4">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本项目</w:t>
            </w:r>
          </w:p>
          <w:p w14:paraId="65C46ACC">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4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④</w:t>
            </w:r>
            <w:r>
              <w:rPr>
                <w:rFonts w:hint="default" w:ascii="Times New Roman" w:hAnsi="Times New Roman" w:eastAsia="宋体" w:cs="Times New Roman"/>
                <w:snapToGrid w:val="0"/>
                <w:color w:val="auto"/>
                <w:spacing w:val="-6"/>
                <w:kern w:val="21"/>
                <w:sz w:val="21"/>
                <w:szCs w:val="21"/>
              </w:rPr>
              <w:fldChar w:fldCharType="end"/>
            </w:r>
          </w:p>
        </w:tc>
        <w:tc>
          <w:tcPr>
            <w:tcW w:w="1427" w:type="dxa"/>
            <w:tcMar>
              <w:left w:w="28" w:type="dxa"/>
              <w:right w:w="28" w:type="dxa"/>
            </w:tcMar>
            <w:vAlign w:val="center"/>
          </w:tcPr>
          <w:p w14:paraId="66A902D4">
            <w:pPr>
              <w:pStyle w:val="44"/>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以新带老削减量</w:t>
            </w:r>
          </w:p>
          <w:p w14:paraId="0538A5C4">
            <w:pPr>
              <w:pStyle w:val="44"/>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（新建项目不填）</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5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⑤</w:t>
            </w:r>
            <w:r>
              <w:rPr>
                <w:rFonts w:hint="default" w:ascii="Times New Roman" w:hAnsi="Times New Roman" w:eastAsia="宋体" w:cs="Times New Roman"/>
                <w:snapToGrid w:val="0"/>
                <w:color w:val="auto"/>
                <w:spacing w:val="-16"/>
                <w:kern w:val="21"/>
                <w:sz w:val="21"/>
                <w:szCs w:val="21"/>
              </w:rPr>
              <w:fldChar w:fldCharType="end"/>
            </w:r>
          </w:p>
        </w:tc>
        <w:tc>
          <w:tcPr>
            <w:tcW w:w="1639" w:type="dxa"/>
            <w:tcMar>
              <w:left w:w="28" w:type="dxa"/>
              <w:right w:w="28" w:type="dxa"/>
            </w:tcMar>
            <w:vAlign w:val="center"/>
          </w:tcPr>
          <w:p w14:paraId="50BF7001">
            <w:pPr>
              <w:pStyle w:val="44"/>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本项目建成后</w:t>
            </w:r>
          </w:p>
          <w:p w14:paraId="0BD28B56">
            <w:pPr>
              <w:pStyle w:val="44"/>
              <w:spacing w:beforeLines="0" w:afterLines="0" w:line="240" w:lineRule="auto"/>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全厂排放量（固体废物产生量）</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6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⑥</w:t>
            </w:r>
            <w:r>
              <w:rPr>
                <w:rFonts w:hint="default" w:ascii="Times New Roman" w:hAnsi="Times New Roman" w:eastAsia="宋体" w:cs="Times New Roman"/>
                <w:snapToGrid w:val="0"/>
                <w:color w:val="auto"/>
                <w:spacing w:val="-16"/>
                <w:kern w:val="21"/>
                <w:sz w:val="21"/>
                <w:szCs w:val="21"/>
              </w:rPr>
              <w:fldChar w:fldCharType="end"/>
            </w:r>
          </w:p>
        </w:tc>
        <w:tc>
          <w:tcPr>
            <w:tcW w:w="1430" w:type="dxa"/>
            <w:tcMar>
              <w:left w:w="28" w:type="dxa"/>
              <w:right w:w="28" w:type="dxa"/>
            </w:tcMar>
            <w:vAlign w:val="center"/>
          </w:tcPr>
          <w:p w14:paraId="4FECFD82">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变化量</w:t>
            </w:r>
          </w:p>
          <w:p w14:paraId="7498DFB6">
            <w:pPr>
              <w:pStyle w:val="44"/>
              <w:spacing w:beforeLines="0" w:afterLines="0" w:line="240" w:lineRule="auto"/>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7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⑦</w:t>
            </w:r>
            <w:r>
              <w:rPr>
                <w:rFonts w:hint="default" w:ascii="Times New Roman" w:hAnsi="Times New Roman" w:eastAsia="宋体" w:cs="Times New Roman"/>
                <w:snapToGrid w:val="0"/>
                <w:color w:val="auto"/>
                <w:spacing w:val="-6"/>
                <w:kern w:val="21"/>
                <w:sz w:val="21"/>
                <w:szCs w:val="21"/>
              </w:rPr>
              <w:fldChar w:fldCharType="end"/>
            </w:r>
          </w:p>
        </w:tc>
      </w:tr>
      <w:tr w14:paraId="1805D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restart"/>
            <w:vAlign w:val="center"/>
          </w:tcPr>
          <w:p w14:paraId="49A2A775">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废气</w:t>
            </w:r>
          </w:p>
        </w:tc>
        <w:tc>
          <w:tcPr>
            <w:tcW w:w="1901" w:type="dxa"/>
            <w:vAlign w:val="center"/>
          </w:tcPr>
          <w:p w14:paraId="450A427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颗粒物</w:t>
            </w:r>
          </w:p>
        </w:tc>
        <w:tc>
          <w:tcPr>
            <w:tcW w:w="1701" w:type="dxa"/>
            <w:vAlign w:val="center"/>
          </w:tcPr>
          <w:p w14:paraId="5CFD3E03">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highlight w:val="none"/>
                <w:lang w:val="en-US" w:eastAsia="zh-CN"/>
              </w:rPr>
              <w:t>0.09</w:t>
            </w:r>
          </w:p>
        </w:tc>
        <w:tc>
          <w:tcPr>
            <w:tcW w:w="1523" w:type="dxa"/>
            <w:vAlign w:val="center"/>
          </w:tcPr>
          <w:p w14:paraId="6BDA8F99">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Cs w:val="21"/>
                <w:highlight w:val="none"/>
                <w:lang w:val="en-US" w:eastAsia="zh-CN"/>
              </w:rPr>
              <w:t>0.09</w:t>
            </w:r>
          </w:p>
        </w:tc>
        <w:tc>
          <w:tcPr>
            <w:tcW w:w="1454" w:type="dxa"/>
            <w:vAlign w:val="center"/>
          </w:tcPr>
          <w:p w14:paraId="1C014768">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18D59473">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0</w:t>
            </w:r>
          </w:p>
        </w:tc>
        <w:tc>
          <w:tcPr>
            <w:tcW w:w="1427" w:type="dxa"/>
            <w:vAlign w:val="center"/>
          </w:tcPr>
          <w:p w14:paraId="4EC65C92">
            <w:pPr>
              <w:widowControl/>
              <w:adjustRightInd w:val="0"/>
              <w:snapToGrid w:val="0"/>
              <w:jc w:val="center"/>
              <w:rPr>
                <w:rFonts w:hint="default" w:ascii="Times New Roman" w:hAnsi="Times New Roman" w:eastAsia="宋体" w:cs="Times New Roman"/>
                <w:snapToGrid w:val="0"/>
                <w:color w:val="auto"/>
                <w:kern w:val="21"/>
                <w:sz w:val="21"/>
                <w:szCs w:val="21"/>
                <w:lang w:val="en-US"/>
              </w:rPr>
            </w:pPr>
            <w:r>
              <w:rPr>
                <w:rFonts w:hint="default" w:ascii="Times New Roman" w:hAnsi="Times New Roman" w:eastAsia="宋体" w:cs="Times New Roman"/>
                <w:color w:val="auto"/>
                <w:kern w:val="0"/>
                <w:szCs w:val="21"/>
                <w:lang w:val="en-US" w:eastAsia="zh-CN"/>
              </w:rPr>
              <w:t>0</w:t>
            </w:r>
          </w:p>
        </w:tc>
        <w:tc>
          <w:tcPr>
            <w:tcW w:w="1639" w:type="dxa"/>
            <w:vAlign w:val="center"/>
          </w:tcPr>
          <w:p w14:paraId="3C3E9C11">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color w:val="auto"/>
                <w:szCs w:val="21"/>
                <w:highlight w:val="none"/>
                <w:lang w:val="en-US" w:eastAsia="zh-CN"/>
              </w:rPr>
              <w:t>0.09</w:t>
            </w:r>
          </w:p>
        </w:tc>
        <w:tc>
          <w:tcPr>
            <w:tcW w:w="1430" w:type="dxa"/>
            <w:vAlign w:val="center"/>
          </w:tcPr>
          <w:p w14:paraId="6328F2ED">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rPr>
            </w:pPr>
            <w:r>
              <w:rPr>
                <w:rFonts w:hint="default" w:ascii="Times New Roman" w:hAnsi="Times New Roman" w:eastAsia="宋体" w:cs="Times New Roman"/>
                <w:color w:val="auto"/>
                <w:kern w:val="0"/>
                <w:sz w:val="21"/>
                <w:szCs w:val="21"/>
                <w:lang w:val="en-US" w:eastAsia="zh-CN"/>
              </w:rPr>
              <w:t>+0</w:t>
            </w:r>
          </w:p>
        </w:tc>
      </w:tr>
      <w:tr w14:paraId="3E681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19A25A79">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7E37C28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非甲烷总烃</w:t>
            </w:r>
          </w:p>
        </w:tc>
        <w:tc>
          <w:tcPr>
            <w:tcW w:w="1701" w:type="dxa"/>
            <w:vAlign w:val="center"/>
          </w:tcPr>
          <w:p w14:paraId="53A4B94B">
            <w:pPr>
              <w:keepNext w:val="0"/>
              <w:keepLines w:val="0"/>
              <w:pageBreakBefore w:val="0"/>
              <w:widowControl/>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w:t>
            </w:r>
          </w:p>
        </w:tc>
        <w:tc>
          <w:tcPr>
            <w:tcW w:w="1523" w:type="dxa"/>
            <w:vAlign w:val="center"/>
          </w:tcPr>
          <w:p w14:paraId="6C754423">
            <w:pPr>
              <w:widowControl/>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w:t>
            </w:r>
          </w:p>
        </w:tc>
        <w:tc>
          <w:tcPr>
            <w:tcW w:w="1454" w:type="dxa"/>
            <w:vAlign w:val="center"/>
          </w:tcPr>
          <w:p w14:paraId="3E5866B4">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134344FA">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0.047</w:t>
            </w:r>
          </w:p>
        </w:tc>
        <w:tc>
          <w:tcPr>
            <w:tcW w:w="1427" w:type="dxa"/>
            <w:vAlign w:val="center"/>
          </w:tcPr>
          <w:p w14:paraId="1FF8B3FD">
            <w:pPr>
              <w:widowControl/>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w:t>
            </w:r>
          </w:p>
        </w:tc>
        <w:tc>
          <w:tcPr>
            <w:tcW w:w="1639" w:type="dxa"/>
            <w:vAlign w:val="center"/>
          </w:tcPr>
          <w:p w14:paraId="6E010FC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0.047</w:t>
            </w:r>
          </w:p>
        </w:tc>
        <w:tc>
          <w:tcPr>
            <w:tcW w:w="1430" w:type="dxa"/>
            <w:vAlign w:val="center"/>
          </w:tcPr>
          <w:p w14:paraId="6FC1D15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2"/>
                <w:sz w:val="21"/>
                <w:szCs w:val="21"/>
                <w:lang w:val="en-US" w:eastAsia="zh-CN" w:bidi="ar-SA"/>
              </w:rPr>
              <w:t>+0.047</w:t>
            </w:r>
          </w:p>
        </w:tc>
      </w:tr>
      <w:tr w14:paraId="629E3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restart"/>
            <w:vAlign w:val="center"/>
          </w:tcPr>
          <w:p w14:paraId="5082C0ED">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废水</w:t>
            </w:r>
          </w:p>
        </w:tc>
        <w:tc>
          <w:tcPr>
            <w:tcW w:w="1901" w:type="dxa"/>
            <w:vAlign w:val="center"/>
          </w:tcPr>
          <w:p w14:paraId="38F9868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水量</w:t>
            </w:r>
          </w:p>
        </w:tc>
        <w:tc>
          <w:tcPr>
            <w:tcW w:w="1701" w:type="dxa"/>
            <w:vAlign w:val="center"/>
          </w:tcPr>
          <w:p w14:paraId="73A0287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1523" w:type="dxa"/>
            <w:vAlign w:val="center"/>
          </w:tcPr>
          <w:p w14:paraId="3B0E2F6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1454" w:type="dxa"/>
            <w:vAlign w:val="center"/>
          </w:tcPr>
          <w:p w14:paraId="16D8ABA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0FC0C88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69831AE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5D03CBA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120</w:t>
            </w:r>
            <w:r>
              <w:rPr>
                <w:rFonts w:hint="default" w:ascii="Times New Roman" w:hAnsi="Times New Roman" w:eastAsia="宋体" w:cs="Times New Roman"/>
                <w:color w:val="auto"/>
                <w:szCs w:val="21"/>
              </w:rPr>
              <w:t>0</w:t>
            </w:r>
          </w:p>
        </w:tc>
        <w:tc>
          <w:tcPr>
            <w:tcW w:w="1430" w:type="dxa"/>
            <w:vAlign w:val="center"/>
          </w:tcPr>
          <w:p w14:paraId="48EC73C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4DDC8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09ABED66">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106FE38C">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COD</w:t>
            </w:r>
          </w:p>
        </w:tc>
        <w:tc>
          <w:tcPr>
            <w:tcW w:w="1701" w:type="dxa"/>
            <w:vAlign w:val="center"/>
          </w:tcPr>
          <w:p w14:paraId="488B7B4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0.48</w:t>
            </w:r>
          </w:p>
        </w:tc>
        <w:tc>
          <w:tcPr>
            <w:tcW w:w="1523" w:type="dxa"/>
            <w:vAlign w:val="center"/>
          </w:tcPr>
          <w:p w14:paraId="3F00D9E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0.48</w:t>
            </w:r>
          </w:p>
        </w:tc>
        <w:tc>
          <w:tcPr>
            <w:tcW w:w="1454" w:type="dxa"/>
            <w:vAlign w:val="center"/>
          </w:tcPr>
          <w:p w14:paraId="0CFCC3A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71B9B94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3490E6A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snapToGrid w:val="0"/>
                <w:color w:val="auto"/>
                <w:kern w:val="21"/>
                <w:sz w:val="21"/>
                <w:szCs w:val="21"/>
              </w:rPr>
              <w:t>0</w:t>
            </w:r>
          </w:p>
        </w:tc>
        <w:tc>
          <w:tcPr>
            <w:tcW w:w="1639" w:type="dxa"/>
            <w:vAlign w:val="center"/>
          </w:tcPr>
          <w:p w14:paraId="2B6DAF7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0.48</w:t>
            </w:r>
          </w:p>
        </w:tc>
        <w:tc>
          <w:tcPr>
            <w:tcW w:w="1430" w:type="dxa"/>
            <w:vAlign w:val="center"/>
          </w:tcPr>
          <w:p w14:paraId="3FBF749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7BB5E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7B40451B">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44D0279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SS</w:t>
            </w:r>
          </w:p>
        </w:tc>
        <w:tc>
          <w:tcPr>
            <w:tcW w:w="1701" w:type="dxa"/>
            <w:vAlign w:val="center"/>
          </w:tcPr>
          <w:p w14:paraId="51E0F36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0.30</w:t>
            </w:r>
          </w:p>
        </w:tc>
        <w:tc>
          <w:tcPr>
            <w:tcW w:w="1523" w:type="dxa"/>
            <w:vAlign w:val="center"/>
          </w:tcPr>
          <w:p w14:paraId="0C40D98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0.30</w:t>
            </w:r>
          </w:p>
        </w:tc>
        <w:tc>
          <w:tcPr>
            <w:tcW w:w="1454" w:type="dxa"/>
            <w:vAlign w:val="center"/>
          </w:tcPr>
          <w:p w14:paraId="199B674C">
            <w:pPr>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2F3D3CB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162DB3D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366714E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0.30</w:t>
            </w:r>
          </w:p>
        </w:tc>
        <w:tc>
          <w:tcPr>
            <w:tcW w:w="1430" w:type="dxa"/>
            <w:vAlign w:val="center"/>
          </w:tcPr>
          <w:p w14:paraId="41DB997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3201C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6558FB3D">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0CDF37A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NH</w:t>
            </w:r>
            <w:r>
              <w:rPr>
                <w:rFonts w:hint="default" w:ascii="Times New Roman" w:hAnsi="Times New Roman" w:eastAsia="宋体" w:cs="Times New Roman"/>
                <w:color w:val="auto"/>
                <w:szCs w:val="21"/>
                <w:vertAlign w:val="subscript"/>
              </w:rPr>
              <w:t>3</w:t>
            </w:r>
            <w:r>
              <w:rPr>
                <w:rFonts w:hint="default" w:ascii="Times New Roman" w:hAnsi="Times New Roman" w:eastAsia="宋体" w:cs="Times New Roman"/>
                <w:color w:val="auto"/>
                <w:szCs w:val="21"/>
              </w:rPr>
              <w:t>-N</w:t>
            </w:r>
          </w:p>
        </w:tc>
        <w:tc>
          <w:tcPr>
            <w:tcW w:w="1701" w:type="dxa"/>
            <w:vAlign w:val="center"/>
          </w:tcPr>
          <w:p w14:paraId="64B36EC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0.042</w:t>
            </w:r>
          </w:p>
        </w:tc>
        <w:tc>
          <w:tcPr>
            <w:tcW w:w="1523" w:type="dxa"/>
            <w:vAlign w:val="center"/>
          </w:tcPr>
          <w:p w14:paraId="161269E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0.042</w:t>
            </w:r>
          </w:p>
        </w:tc>
        <w:tc>
          <w:tcPr>
            <w:tcW w:w="1454" w:type="dxa"/>
            <w:vAlign w:val="center"/>
          </w:tcPr>
          <w:p w14:paraId="5E33E5FB">
            <w:pPr>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559" w:type="dxa"/>
            <w:vAlign w:val="center"/>
          </w:tcPr>
          <w:p w14:paraId="039525BB">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26176F7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639" w:type="dxa"/>
            <w:vAlign w:val="center"/>
          </w:tcPr>
          <w:p w14:paraId="3C3DCDD5">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0.042</w:t>
            </w:r>
          </w:p>
        </w:tc>
        <w:tc>
          <w:tcPr>
            <w:tcW w:w="1430" w:type="dxa"/>
            <w:vAlign w:val="center"/>
          </w:tcPr>
          <w:p w14:paraId="3F65AF9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0AB81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7470FFA8">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156BF25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rPr>
              <w:t>TP</w:t>
            </w:r>
          </w:p>
        </w:tc>
        <w:tc>
          <w:tcPr>
            <w:tcW w:w="1701" w:type="dxa"/>
            <w:vAlign w:val="center"/>
          </w:tcPr>
          <w:p w14:paraId="784032D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1523" w:type="dxa"/>
            <w:vAlign w:val="center"/>
          </w:tcPr>
          <w:p w14:paraId="3CAB6CFB">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0.004</w:t>
            </w:r>
          </w:p>
        </w:tc>
        <w:tc>
          <w:tcPr>
            <w:tcW w:w="1454" w:type="dxa"/>
            <w:vAlign w:val="center"/>
          </w:tcPr>
          <w:p w14:paraId="670CC9EF">
            <w:pPr>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44F775BA">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5932BB9D">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0970D644">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0.004</w:t>
            </w:r>
          </w:p>
        </w:tc>
        <w:tc>
          <w:tcPr>
            <w:tcW w:w="1430" w:type="dxa"/>
            <w:vAlign w:val="center"/>
          </w:tcPr>
          <w:p w14:paraId="1255412C">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6416C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62E78C54">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70D9B21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TN</w:t>
            </w:r>
          </w:p>
        </w:tc>
        <w:tc>
          <w:tcPr>
            <w:tcW w:w="1701" w:type="dxa"/>
            <w:vAlign w:val="center"/>
          </w:tcPr>
          <w:p w14:paraId="0C091891">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Cs w:val="21"/>
                <w:lang w:val="en-US" w:eastAsia="zh-CN"/>
              </w:rPr>
              <w:t>0.036</w:t>
            </w:r>
          </w:p>
        </w:tc>
        <w:tc>
          <w:tcPr>
            <w:tcW w:w="1523" w:type="dxa"/>
            <w:vAlign w:val="center"/>
          </w:tcPr>
          <w:p w14:paraId="0B61287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w:t>
            </w:r>
          </w:p>
        </w:tc>
        <w:tc>
          <w:tcPr>
            <w:tcW w:w="1454" w:type="dxa"/>
            <w:vAlign w:val="center"/>
          </w:tcPr>
          <w:p w14:paraId="0C53312D">
            <w:pPr>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6F2F898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6E62316A">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514B995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0.036</w:t>
            </w:r>
          </w:p>
        </w:tc>
        <w:tc>
          <w:tcPr>
            <w:tcW w:w="1430" w:type="dxa"/>
            <w:vAlign w:val="center"/>
          </w:tcPr>
          <w:p w14:paraId="4E596CA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65C04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3221C2AB">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1E39FED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eastAsia="zh-CN"/>
              </w:rPr>
              <w:t>动植物油</w:t>
            </w:r>
          </w:p>
        </w:tc>
        <w:tc>
          <w:tcPr>
            <w:tcW w:w="1701" w:type="dxa"/>
            <w:vAlign w:val="center"/>
          </w:tcPr>
          <w:p w14:paraId="537C53A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0.072</w:t>
            </w:r>
          </w:p>
        </w:tc>
        <w:tc>
          <w:tcPr>
            <w:tcW w:w="1523" w:type="dxa"/>
            <w:vAlign w:val="center"/>
          </w:tcPr>
          <w:p w14:paraId="64E1F1A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Cs w:val="21"/>
                <w:lang w:val="en-US" w:eastAsia="zh-CN"/>
              </w:rPr>
              <w:t>0.072</w:t>
            </w:r>
          </w:p>
        </w:tc>
        <w:tc>
          <w:tcPr>
            <w:tcW w:w="1454" w:type="dxa"/>
            <w:vAlign w:val="center"/>
          </w:tcPr>
          <w:p w14:paraId="1D0C9BC5">
            <w:pPr>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559" w:type="dxa"/>
            <w:vAlign w:val="center"/>
          </w:tcPr>
          <w:p w14:paraId="6B4E76F7">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napToGrid w:val="0"/>
                <w:color w:val="auto"/>
                <w:kern w:val="21"/>
                <w:sz w:val="21"/>
                <w:szCs w:val="21"/>
              </w:rPr>
              <w:t>0</w:t>
            </w:r>
          </w:p>
        </w:tc>
        <w:tc>
          <w:tcPr>
            <w:tcW w:w="1427" w:type="dxa"/>
            <w:vAlign w:val="center"/>
          </w:tcPr>
          <w:p w14:paraId="3DDF373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639" w:type="dxa"/>
            <w:vAlign w:val="center"/>
          </w:tcPr>
          <w:p w14:paraId="1161FC58">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Cs w:val="21"/>
                <w:lang w:val="en-US" w:eastAsia="zh-CN"/>
              </w:rPr>
              <w:t>0.072</w:t>
            </w:r>
          </w:p>
        </w:tc>
        <w:tc>
          <w:tcPr>
            <w:tcW w:w="1430" w:type="dxa"/>
            <w:vAlign w:val="center"/>
          </w:tcPr>
          <w:p w14:paraId="798B4F7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41AFB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restart"/>
            <w:vAlign w:val="center"/>
          </w:tcPr>
          <w:p w14:paraId="6FC8E9E0">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一般工业固体废物</w:t>
            </w:r>
          </w:p>
        </w:tc>
        <w:tc>
          <w:tcPr>
            <w:tcW w:w="1901" w:type="dxa"/>
            <w:vAlign w:val="center"/>
          </w:tcPr>
          <w:p w14:paraId="625616F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lang w:val="en-US" w:eastAsia="zh-CN"/>
              </w:rPr>
              <w:t>边角料、不合格品</w:t>
            </w:r>
          </w:p>
        </w:tc>
        <w:tc>
          <w:tcPr>
            <w:tcW w:w="1701" w:type="dxa"/>
            <w:vAlign w:val="center"/>
          </w:tcPr>
          <w:p w14:paraId="284CF9E6">
            <w:pPr>
              <w:spacing w:line="2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1523" w:type="dxa"/>
            <w:vAlign w:val="center"/>
          </w:tcPr>
          <w:p w14:paraId="0F3046F9">
            <w:pPr>
              <w:spacing w:line="2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1454" w:type="dxa"/>
            <w:vAlign w:val="center"/>
          </w:tcPr>
          <w:p w14:paraId="4243BD32">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5C6BEF11">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345D653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38DCAAAD">
            <w:pPr>
              <w:spacing w:line="2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1.5</w:t>
            </w:r>
          </w:p>
        </w:tc>
        <w:tc>
          <w:tcPr>
            <w:tcW w:w="1430" w:type="dxa"/>
            <w:vAlign w:val="center"/>
          </w:tcPr>
          <w:p w14:paraId="1C534D4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35750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7137A86C">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5CFFB15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lang w:val="en-US" w:eastAsia="zh-CN"/>
              </w:rPr>
              <w:t>焊渣</w:t>
            </w:r>
          </w:p>
        </w:tc>
        <w:tc>
          <w:tcPr>
            <w:tcW w:w="1701" w:type="dxa"/>
            <w:vAlign w:val="center"/>
          </w:tcPr>
          <w:p w14:paraId="44A3854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0.05</w:t>
            </w:r>
          </w:p>
        </w:tc>
        <w:tc>
          <w:tcPr>
            <w:tcW w:w="1523" w:type="dxa"/>
            <w:vAlign w:val="center"/>
          </w:tcPr>
          <w:p w14:paraId="02CEC81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0.05</w:t>
            </w:r>
          </w:p>
        </w:tc>
        <w:tc>
          <w:tcPr>
            <w:tcW w:w="1454" w:type="dxa"/>
            <w:vAlign w:val="center"/>
          </w:tcPr>
          <w:p w14:paraId="1DD7519E">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2F46C7E6">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2E4CB583">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392A293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0.05</w:t>
            </w:r>
          </w:p>
        </w:tc>
        <w:tc>
          <w:tcPr>
            <w:tcW w:w="1430" w:type="dxa"/>
            <w:vAlign w:val="center"/>
          </w:tcPr>
          <w:p w14:paraId="07D368F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6588D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72221D02">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78C0136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lang w:val="en-US" w:eastAsia="zh-CN"/>
              </w:rPr>
              <w:t>收尘</w:t>
            </w:r>
          </w:p>
        </w:tc>
        <w:tc>
          <w:tcPr>
            <w:tcW w:w="1701" w:type="dxa"/>
            <w:vAlign w:val="center"/>
          </w:tcPr>
          <w:p w14:paraId="7D7FE30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sz w:val="21"/>
                <w:szCs w:val="21"/>
                <w:highlight w:val="none"/>
                <w:lang w:val="en-US" w:eastAsia="zh-CN"/>
              </w:rPr>
              <w:t>0.67</w:t>
            </w:r>
          </w:p>
        </w:tc>
        <w:tc>
          <w:tcPr>
            <w:tcW w:w="1523" w:type="dxa"/>
            <w:vAlign w:val="center"/>
          </w:tcPr>
          <w:p w14:paraId="1C69EB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sz w:val="21"/>
                <w:szCs w:val="21"/>
                <w:highlight w:val="none"/>
                <w:lang w:val="en-US" w:eastAsia="zh-CN"/>
              </w:rPr>
              <w:t>0.67</w:t>
            </w:r>
          </w:p>
        </w:tc>
        <w:tc>
          <w:tcPr>
            <w:tcW w:w="1454" w:type="dxa"/>
            <w:vAlign w:val="center"/>
          </w:tcPr>
          <w:p w14:paraId="63CCD19C">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29369907">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0BA4B989">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639" w:type="dxa"/>
            <w:vAlign w:val="center"/>
          </w:tcPr>
          <w:p w14:paraId="0535F9B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0.67</w:t>
            </w:r>
          </w:p>
        </w:tc>
        <w:tc>
          <w:tcPr>
            <w:tcW w:w="1430" w:type="dxa"/>
            <w:vAlign w:val="center"/>
          </w:tcPr>
          <w:p w14:paraId="4CF7921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66E54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38756A80">
            <w:pPr>
              <w:pStyle w:val="44"/>
              <w:spacing w:beforeLines="0" w:afterLines="0" w:line="240" w:lineRule="auto"/>
              <w:rPr>
                <w:rFonts w:hint="default" w:ascii="Times New Roman" w:hAnsi="Times New Roman" w:eastAsia="宋体" w:cs="Times New Roman"/>
                <w:snapToGrid w:val="0"/>
                <w:color w:val="auto"/>
                <w:kern w:val="21"/>
                <w:sz w:val="21"/>
                <w:szCs w:val="21"/>
              </w:rPr>
            </w:pPr>
          </w:p>
        </w:tc>
        <w:tc>
          <w:tcPr>
            <w:tcW w:w="1901" w:type="dxa"/>
            <w:vAlign w:val="center"/>
          </w:tcPr>
          <w:p w14:paraId="47CC03E7">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lang w:val="en-US" w:eastAsia="zh-CN"/>
              </w:rPr>
              <w:t>食堂隔油池油渣</w:t>
            </w:r>
          </w:p>
        </w:tc>
        <w:tc>
          <w:tcPr>
            <w:tcW w:w="1701" w:type="dxa"/>
            <w:vAlign w:val="center"/>
          </w:tcPr>
          <w:p w14:paraId="46198E1B">
            <w:pPr>
              <w:pStyle w:val="10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sz w:val="21"/>
                <w:szCs w:val="21"/>
                <w:highlight w:val="none"/>
                <w:lang w:val="en-US" w:eastAsia="zh-CN"/>
              </w:rPr>
              <w:t>0.036</w:t>
            </w:r>
          </w:p>
        </w:tc>
        <w:tc>
          <w:tcPr>
            <w:tcW w:w="1523" w:type="dxa"/>
            <w:vAlign w:val="center"/>
          </w:tcPr>
          <w:p w14:paraId="5CC7738E">
            <w:pPr>
              <w:pStyle w:val="10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sz w:val="21"/>
                <w:szCs w:val="21"/>
                <w:highlight w:val="none"/>
                <w:lang w:val="en-US" w:eastAsia="zh-CN"/>
              </w:rPr>
              <w:t>0.036</w:t>
            </w:r>
          </w:p>
        </w:tc>
        <w:tc>
          <w:tcPr>
            <w:tcW w:w="1454" w:type="dxa"/>
            <w:vAlign w:val="center"/>
          </w:tcPr>
          <w:p w14:paraId="6F3A6223">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0C16BC63">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73C94026">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639" w:type="dxa"/>
            <w:vAlign w:val="center"/>
          </w:tcPr>
          <w:p w14:paraId="4CB8A230">
            <w:pPr>
              <w:pStyle w:val="10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0.036</w:t>
            </w:r>
          </w:p>
        </w:tc>
        <w:tc>
          <w:tcPr>
            <w:tcW w:w="1430" w:type="dxa"/>
            <w:vAlign w:val="center"/>
          </w:tcPr>
          <w:p w14:paraId="4DD3EF3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2C0F1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restart"/>
            <w:vAlign w:val="center"/>
          </w:tcPr>
          <w:p w14:paraId="390D7C25">
            <w:pPr>
              <w:pStyle w:val="44"/>
              <w:spacing w:before="31" w:after="31"/>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危险废物</w:t>
            </w:r>
          </w:p>
        </w:tc>
        <w:tc>
          <w:tcPr>
            <w:tcW w:w="1901" w:type="dxa"/>
            <w:vAlign w:val="center"/>
          </w:tcPr>
          <w:p w14:paraId="0D8BF38F">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废劳保用品</w:t>
            </w:r>
          </w:p>
        </w:tc>
        <w:tc>
          <w:tcPr>
            <w:tcW w:w="1701" w:type="dxa"/>
            <w:vAlign w:val="center"/>
          </w:tcPr>
          <w:p w14:paraId="3BB4302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1</w:t>
            </w:r>
          </w:p>
        </w:tc>
        <w:tc>
          <w:tcPr>
            <w:tcW w:w="1523" w:type="dxa"/>
            <w:vAlign w:val="center"/>
          </w:tcPr>
          <w:p w14:paraId="17199AC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1</w:t>
            </w:r>
          </w:p>
        </w:tc>
        <w:tc>
          <w:tcPr>
            <w:tcW w:w="1454" w:type="dxa"/>
            <w:vAlign w:val="center"/>
          </w:tcPr>
          <w:p w14:paraId="24027C97">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559" w:type="dxa"/>
            <w:vAlign w:val="center"/>
          </w:tcPr>
          <w:p w14:paraId="2AD3AB74">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639520F1">
            <w:pPr>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3713582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1</w:t>
            </w:r>
          </w:p>
        </w:tc>
        <w:tc>
          <w:tcPr>
            <w:tcW w:w="1430" w:type="dxa"/>
            <w:vAlign w:val="center"/>
          </w:tcPr>
          <w:p w14:paraId="7B5E87C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7C4EF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12406816">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0D25527E">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废润滑油</w:t>
            </w:r>
          </w:p>
        </w:tc>
        <w:tc>
          <w:tcPr>
            <w:tcW w:w="1701" w:type="dxa"/>
            <w:vAlign w:val="center"/>
          </w:tcPr>
          <w:p w14:paraId="717A79DD">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0.3</w:t>
            </w:r>
          </w:p>
        </w:tc>
        <w:tc>
          <w:tcPr>
            <w:tcW w:w="1523" w:type="dxa"/>
            <w:vAlign w:val="center"/>
          </w:tcPr>
          <w:p w14:paraId="3B1A00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w:t>
            </w:r>
          </w:p>
        </w:tc>
        <w:tc>
          <w:tcPr>
            <w:tcW w:w="1454" w:type="dxa"/>
            <w:vAlign w:val="center"/>
          </w:tcPr>
          <w:p w14:paraId="3E0B3392">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1A997A18">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2CE7C8E4">
            <w:pPr>
              <w:spacing w:before="35"/>
              <w:ind w:left="91" w:leftChars="0" w:right="83" w:right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78C42A0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0.3</w:t>
            </w:r>
          </w:p>
        </w:tc>
        <w:tc>
          <w:tcPr>
            <w:tcW w:w="1430" w:type="dxa"/>
            <w:vAlign w:val="center"/>
          </w:tcPr>
          <w:p w14:paraId="0EABF97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11594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0C44DB34">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3EFBE030">
            <w:pPr>
              <w:keepNext w:val="0"/>
              <w:keepLines w:val="0"/>
              <w:pageBreakBefore w:val="0"/>
              <w:kinsoku/>
              <w:wordWrap/>
              <w:overflowPunct/>
              <w:topLinePunct w:val="0"/>
              <w:bidi w:val="0"/>
              <w:adjustRightInd w:val="0"/>
              <w:snapToGrid w:val="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lang w:val="en-US" w:eastAsia="zh-CN"/>
              </w:rPr>
              <w:t>废包装桶</w:t>
            </w:r>
          </w:p>
        </w:tc>
        <w:tc>
          <w:tcPr>
            <w:tcW w:w="1701" w:type="dxa"/>
            <w:vAlign w:val="center"/>
          </w:tcPr>
          <w:p w14:paraId="616E9E35">
            <w:pPr>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0.1</w:t>
            </w:r>
          </w:p>
        </w:tc>
        <w:tc>
          <w:tcPr>
            <w:tcW w:w="1523" w:type="dxa"/>
            <w:vAlign w:val="center"/>
          </w:tcPr>
          <w:p w14:paraId="2AFA174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tc>
        <w:tc>
          <w:tcPr>
            <w:tcW w:w="1454" w:type="dxa"/>
            <w:vAlign w:val="center"/>
          </w:tcPr>
          <w:p w14:paraId="0CC4A401">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119F82B5">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rPr>
              <w:t>0</w:t>
            </w:r>
          </w:p>
        </w:tc>
        <w:tc>
          <w:tcPr>
            <w:tcW w:w="1427" w:type="dxa"/>
            <w:vAlign w:val="center"/>
          </w:tcPr>
          <w:p w14:paraId="11C155A6">
            <w:pPr>
              <w:spacing w:before="35"/>
              <w:ind w:left="91" w:leftChars="0" w:right="83" w:right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639" w:type="dxa"/>
            <w:vAlign w:val="center"/>
          </w:tcPr>
          <w:p w14:paraId="474A522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tc>
        <w:tc>
          <w:tcPr>
            <w:tcW w:w="1430" w:type="dxa"/>
            <w:vAlign w:val="center"/>
          </w:tcPr>
          <w:p w14:paraId="29CCB7F7">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sz w:val="21"/>
                <w:szCs w:val="21"/>
                <w:lang w:val="en-US" w:eastAsia="zh-CN"/>
              </w:rPr>
              <w:t>0</w:t>
            </w:r>
          </w:p>
        </w:tc>
      </w:tr>
      <w:tr w14:paraId="0452A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4306A448">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24933DEE">
            <w:pPr>
              <w:pStyle w:val="6"/>
              <w:adjustRightInd w:val="0"/>
              <w:snapToGrid w:val="0"/>
              <w:ind w:firstLine="0" w:firstLineChars="0"/>
              <w:jc w:val="center"/>
              <w:rPr>
                <w:rFonts w:hint="default" w:ascii="Times New Roman" w:hAnsi="Times New Roman" w:eastAsia="宋体" w:cs="Times New Roman"/>
                <w:b w:val="0"/>
                <w:bCs w:val="0"/>
                <w:color w:val="FF0000"/>
                <w:sz w:val="21"/>
                <w:szCs w:val="21"/>
                <w:highlight w:val="none"/>
                <w:lang w:val="en-US" w:eastAsia="zh-CN"/>
              </w:rPr>
            </w:pPr>
            <w:r>
              <w:rPr>
                <w:rFonts w:hint="eastAsia" w:cs="Times New Roman"/>
                <w:b w:val="0"/>
                <w:bCs w:val="0"/>
                <w:color w:val="FF0000"/>
                <w:sz w:val="21"/>
                <w:szCs w:val="21"/>
                <w:highlight w:val="none"/>
                <w:lang w:val="en-US" w:eastAsia="zh-CN"/>
              </w:rPr>
              <w:t>清洗废液</w:t>
            </w:r>
          </w:p>
        </w:tc>
        <w:tc>
          <w:tcPr>
            <w:tcW w:w="1701" w:type="dxa"/>
            <w:vAlign w:val="center"/>
          </w:tcPr>
          <w:p w14:paraId="11B08A6E">
            <w:pPr>
              <w:spacing w:before="35"/>
              <w:ind w:left="91" w:leftChars="0" w:right="83" w:rightChars="0"/>
              <w:jc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0</w:t>
            </w:r>
          </w:p>
        </w:tc>
        <w:tc>
          <w:tcPr>
            <w:tcW w:w="1523" w:type="dxa"/>
            <w:vAlign w:val="center"/>
          </w:tcPr>
          <w:p w14:paraId="3B5CDF9C">
            <w:pPr>
              <w:adjustRightInd w:val="0"/>
              <w:snapToGrid w:val="0"/>
              <w:jc w:val="center"/>
              <w:rPr>
                <w:rFonts w:hint="default" w:ascii="Times New Roman" w:hAnsi="Times New Roman" w:eastAsia="宋体" w:cs="Times New Roman"/>
                <w:color w:val="FF0000"/>
                <w:sz w:val="21"/>
                <w:szCs w:val="21"/>
                <w:lang w:val="en-US" w:eastAsia="zh-CN"/>
              </w:rPr>
            </w:pPr>
            <w:r>
              <w:rPr>
                <w:rFonts w:hint="eastAsia" w:cs="Times New Roman"/>
                <w:color w:val="FF0000"/>
                <w:sz w:val="21"/>
                <w:szCs w:val="21"/>
                <w:lang w:val="en-US" w:eastAsia="zh-CN"/>
              </w:rPr>
              <w:t>0</w:t>
            </w:r>
          </w:p>
        </w:tc>
        <w:tc>
          <w:tcPr>
            <w:tcW w:w="1454" w:type="dxa"/>
            <w:vAlign w:val="center"/>
          </w:tcPr>
          <w:p w14:paraId="0D2B9566">
            <w:pPr>
              <w:pStyle w:val="44"/>
              <w:spacing w:beforeLines="0" w:afterLines="0" w:line="240" w:lineRule="auto"/>
              <w:jc w:val="center"/>
              <w:rPr>
                <w:rFonts w:hint="eastAsia" w:ascii="Times New Roman" w:hAnsi="Times New Roman" w:eastAsia="宋体" w:cs="Times New Roman"/>
                <w:snapToGrid w:val="0"/>
                <w:color w:val="FF0000"/>
                <w:kern w:val="21"/>
                <w:sz w:val="21"/>
                <w:szCs w:val="21"/>
                <w:lang w:val="en-US" w:eastAsia="zh-CN"/>
              </w:rPr>
            </w:pPr>
            <w:r>
              <w:rPr>
                <w:rFonts w:hint="eastAsia" w:ascii="Times New Roman" w:hAnsi="Times New Roman" w:eastAsia="宋体" w:cs="Times New Roman"/>
                <w:snapToGrid w:val="0"/>
                <w:color w:val="FF0000"/>
                <w:kern w:val="21"/>
                <w:sz w:val="21"/>
                <w:szCs w:val="21"/>
                <w:lang w:val="en-US" w:eastAsia="zh-CN"/>
              </w:rPr>
              <w:t>0</w:t>
            </w:r>
          </w:p>
        </w:tc>
        <w:tc>
          <w:tcPr>
            <w:tcW w:w="1559" w:type="dxa"/>
            <w:vAlign w:val="center"/>
          </w:tcPr>
          <w:p w14:paraId="5131A5B0">
            <w:pPr>
              <w:adjustRightInd w:val="0"/>
              <w:snapToGrid w:val="0"/>
              <w:jc w:val="center"/>
              <w:rPr>
                <w:rFonts w:hint="default" w:ascii="Times New Roman" w:hAnsi="Times New Roman" w:eastAsia="宋体" w:cs="Times New Roman"/>
                <w:bCs/>
                <w:color w:val="FF0000"/>
                <w:kern w:val="2"/>
                <w:sz w:val="21"/>
                <w:szCs w:val="21"/>
                <w:lang w:val="en-US" w:eastAsia="zh-CN" w:bidi="ar-SA"/>
              </w:rPr>
            </w:pPr>
            <w:r>
              <w:rPr>
                <w:rFonts w:hint="eastAsia" w:cs="Times New Roman"/>
                <w:bCs/>
                <w:color w:val="FF0000"/>
                <w:kern w:val="2"/>
                <w:sz w:val="21"/>
                <w:szCs w:val="21"/>
                <w:lang w:val="en-US" w:eastAsia="zh-CN" w:bidi="ar-SA"/>
              </w:rPr>
              <w:t>8</w:t>
            </w:r>
          </w:p>
        </w:tc>
        <w:tc>
          <w:tcPr>
            <w:tcW w:w="1427" w:type="dxa"/>
            <w:vAlign w:val="center"/>
          </w:tcPr>
          <w:p w14:paraId="667E887A">
            <w:pPr>
              <w:spacing w:before="35"/>
              <w:ind w:left="91" w:leftChars="0" w:right="83" w:rightChars="0"/>
              <w:jc w:val="center"/>
              <w:rPr>
                <w:rFonts w:hint="default" w:ascii="Times New Roman" w:hAnsi="Times New Roman" w:eastAsia="宋体" w:cs="Times New Roman"/>
                <w:snapToGrid w:val="0"/>
                <w:color w:val="FF0000"/>
                <w:kern w:val="21"/>
                <w:sz w:val="21"/>
                <w:szCs w:val="21"/>
                <w:lang w:val="en-US" w:eastAsia="zh-CN"/>
              </w:rPr>
            </w:pPr>
            <w:r>
              <w:rPr>
                <w:rFonts w:hint="eastAsia" w:cs="Times New Roman"/>
                <w:snapToGrid w:val="0"/>
                <w:color w:val="FF0000"/>
                <w:kern w:val="21"/>
                <w:sz w:val="21"/>
                <w:szCs w:val="21"/>
                <w:lang w:val="en-US" w:eastAsia="zh-CN"/>
              </w:rPr>
              <w:t>0</w:t>
            </w:r>
          </w:p>
        </w:tc>
        <w:tc>
          <w:tcPr>
            <w:tcW w:w="1639" w:type="dxa"/>
            <w:vAlign w:val="center"/>
          </w:tcPr>
          <w:p w14:paraId="289DF0F1">
            <w:pPr>
              <w:adjustRightInd w:val="0"/>
              <w:snapToGrid w:val="0"/>
              <w:jc w:val="center"/>
              <w:rPr>
                <w:rFonts w:hint="default" w:ascii="Times New Roman" w:hAnsi="Times New Roman" w:eastAsia="宋体" w:cs="Times New Roman"/>
                <w:bCs/>
                <w:color w:val="FF0000"/>
                <w:kern w:val="2"/>
                <w:sz w:val="21"/>
                <w:szCs w:val="21"/>
                <w:lang w:val="en-US" w:eastAsia="zh-CN" w:bidi="ar-SA"/>
              </w:rPr>
            </w:pPr>
            <w:r>
              <w:rPr>
                <w:rFonts w:hint="eastAsia" w:cs="Times New Roman"/>
                <w:bCs/>
                <w:color w:val="FF0000"/>
                <w:kern w:val="2"/>
                <w:sz w:val="21"/>
                <w:szCs w:val="21"/>
                <w:lang w:val="en-US" w:eastAsia="zh-CN" w:bidi="ar-SA"/>
              </w:rPr>
              <w:t>0</w:t>
            </w:r>
          </w:p>
        </w:tc>
        <w:tc>
          <w:tcPr>
            <w:tcW w:w="1430" w:type="dxa"/>
            <w:vAlign w:val="center"/>
          </w:tcPr>
          <w:p w14:paraId="72A0E6BC">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+8</w:t>
            </w:r>
          </w:p>
        </w:tc>
      </w:tr>
      <w:tr w14:paraId="72E26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2A782680">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3BD536C0">
            <w:pPr>
              <w:pStyle w:val="6"/>
              <w:adjustRightInd w:val="0"/>
              <w:snapToGrid w:val="0"/>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val="0"/>
                <w:color w:val="auto"/>
                <w:sz w:val="21"/>
                <w:szCs w:val="21"/>
                <w:highlight w:val="none"/>
                <w:lang w:val="en-US" w:eastAsia="zh-CN"/>
              </w:rPr>
              <w:t>废网版</w:t>
            </w:r>
          </w:p>
        </w:tc>
        <w:tc>
          <w:tcPr>
            <w:tcW w:w="1701" w:type="dxa"/>
            <w:vAlign w:val="center"/>
          </w:tcPr>
          <w:p w14:paraId="3AC77BE8">
            <w:pPr>
              <w:spacing w:before="35"/>
              <w:ind w:left="91" w:leftChars="0" w:right="83"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1523" w:type="dxa"/>
            <w:vAlign w:val="center"/>
          </w:tcPr>
          <w:p w14:paraId="00509A0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0</w:t>
            </w:r>
          </w:p>
        </w:tc>
        <w:tc>
          <w:tcPr>
            <w:tcW w:w="1454" w:type="dxa"/>
            <w:vAlign w:val="center"/>
          </w:tcPr>
          <w:p w14:paraId="7723DF9A">
            <w:pPr>
              <w:pStyle w:val="44"/>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533F0548">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bCs/>
                <w:color w:val="auto"/>
                <w:kern w:val="2"/>
                <w:sz w:val="21"/>
                <w:szCs w:val="21"/>
                <w:lang w:val="en-US" w:eastAsia="zh-CN" w:bidi="ar-SA"/>
              </w:rPr>
              <w:t>0.01</w:t>
            </w:r>
          </w:p>
        </w:tc>
        <w:tc>
          <w:tcPr>
            <w:tcW w:w="1427" w:type="dxa"/>
            <w:vAlign w:val="center"/>
          </w:tcPr>
          <w:p w14:paraId="068047B0">
            <w:pPr>
              <w:spacing w:before="35"/>
              <w:ind w:left="91" w:leftChars="0" w:right="83" w:rightChars="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639" w:type="dxa"/>
            <w:vAlign w:val="center"/>
          </w:tcPr>
          <w:p w14:paraId="14CEC566">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kern w:val="2"/>
                <w:sz w:val="21"/>
                <w:szCs w:val="21"/>
                <w:lang w:val="en-US" w:eastAsia="zh-CN" w:bidi="ar-SA"/>
              </w:rPr>
              <w:t>0.01</w:t>
            </w:r>
          </w:p>
        </w:tc>
        <w:tc>
          <w:tcPr>
            <w:tcW w:w="1430" w:type="dxa"/>
            <w:vAlign w:val="center"/>
          </w:tcPr>
          <w:p w14:paraId="70CBB9C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bCs/>
                <w:color w:val="auto"/>
                <w:kern w:val="2"/>
                <w:sz w:val="21"/>
                <w:szCs w:val="21"/>
                <w:lang w:val="en-US" w:eastAsia="zh-CN" w:bidi="ar-SA"/>
              </w:rPr>
              <w:t>0.01</w:t>
            </w:r>
          </w:p>
        </w:tc>
      </w:tr>
      <w:tr w14:paraId="1EE67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4ABA2101">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124F5BF5">
            <w:pPr>
              <w:pStyle w:val="6"/>
              <w:adjustRightInd w:val="0"/>
              <w:snapToGrid w:val="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highlight w:val="none"/>
                <w:lang w:val="en-US" w:eastAsia="zh-CN"/>
              </w:rPr>
              <w:t>废包装瓶</w:t>
            </w:r>
          </w:p>
        </w:tc>
        <w:tc>
          <w:tcPr>
            <w:tcW w:w="1701" w:type="dxa"/>
            <w:vAlign w:val="center"/>
          </w:tcPr>
          <w:p w14:paraId="36BB43E5">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523" w:type="dxa"/>
            <w:vAlign w:val="center"/>
          </w:tcPr>
          <w:p w14:paraId="311653F3">
            <w:pPr>
              <w:adjustRightInd w:val="0"/>
              <w:snapToGrid w:val="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lang w:val="en-US" w:eastAsia="zh-CN"/>
              </w:rPr>
              <w:t>0</w:t>
            </w:r>
          </w:p>
        </w:tc>
        <w:tc>
          <w:tcPr>
            <w:tcW w:w="1454" w:type="dxa"/>
            <w:vAlign w:val="center"/>
          </w:tcPr>
          <w:p w14:paraId="0789BE79">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559" w:type="dxa"/>
            <w:vAlign w:val="center"/>
          </w:tcPr>
          <w:p w14:paraId="0C8A397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0.048</w:t>
            </w:r>
          </w:p>
        </w:tc>
        <w:tc>
          <w:tcPr>
            <w:tcW w:w="1427" w:type="dxa"/>
            <w:vAlign w:val="center"/>
          </w:tcPr>
          <w:p w14:paraId="550467B8">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639" w:type="dxa"/>
            <w:vAlign w:val="center"/>
          </w:tcPr>
          <w:p w14:paraId="43AA0A3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0.048</w:t>
            </w:r>
          </w:p>
        </w:tc>
        <w:tc>
          <w:tcPr>
            <w:tcW w:w="1430" w:type="dxa"/>
            <w:vAlign w:val="center"/>
          </w:tcPr>
          <w:p w14:paraId="005CF80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+0.048</w:t>
            </w:r>
          </w:p>
        </w:tc>
      </w:tr>
      <w:tr w14:paraId="14E9D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3DB99402">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5656D545">
            <w:pPr>
              <w:pStyle w:val="6"/>
              <w:adjustRightInd w:val="0"/>
              <w:snapToGrid w:val="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rPr>
              <w:t>含</w:t>
            </w:r>
            <w:r>
              <w:rPr>
                <w:rFonts w:hint="default" w:ascii="Times New Roman" w:hAnsi="Times New Roman" w:eastAsia="宋体" w:cs="Times New Roman"/>
                <w:b w:val="0"/>
                <w:bCs w:val="0"/>
                <w:color w:val="auto"/>
                <w:sz w:val="21"/>
                <w:szCs w:val="21"/>
                <w:lang w:val="en-US" w:eastAsia="zh-CN"/>
              </w:rPr>
              <w:t>乙醇废</w:t>
            </w:r>
            <w:r>
              <w:rPr>
                <w:rFonts w:hint="default" w:ascii="Times New Roman" w:hAnsi="Times New Roman" w:eastAsia="宋体" w:cs="Times New Roman"/>
                <w:b w:val="0"/>
                <w:bCs w:val="0"/>
                <w:color w:val="auto"/>
                <w:sz w:val="21"/>
                <w:szCs w:val="21"/>
              </w:rPr>
              <w:t>无尘布</w:t>
            </w:r>
          </w:p>
        </w:tc>
        <w:tc>
          <w:tcPr>
            <w:tcW w:w="1701" w:type="dxa"/>
            <w:vAlign w:val="center"/>
          </w:tcPr>
          <w:p w14:paraId="29B231B2">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523" w:type="dxa"/>
            <w:vAlign w:val="center"/>
          </w:tcPr>
          <w:p w14:paraId="5BBF46B1">
            <w:pPr>
              <w:adjustRightInd w:val="0"/>
              <w:snapToGrid w:val="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lang w:val="en-US" w:eastAsia="zh-CN"/>
              </w:rPr>
              <w:t>0</w:t>
            </w:r>
          </w:p>
        </w:tc>
        <w:tc>
          <w:tcPr>
            <w:tcW w:w="1454" w:type="dxa"/>
            <w:vAlign w:val="center"/>
          </w:tcPr>
          <w:p w14:paraId="29D4BF92">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559" w:type="dxa"/>
            <w:vAlign w:val="center"/>
          </w:tcPr>
          <w:p w14:paraId="2B0F679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0.006</w:t>
            </w:r>
          </w:p>
        </w:tc>
        <w:tc>
          <w:tcPr>
            <w:tcW w:w="1427" w:type="dxa"/>
            <w:vAlign w:val="center"/>
          </w:tcPr>
          <w:p w14:paraId="59256960">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639" w:type="dxa"/>
            <w:vAlign w:val="center"/>
          </w:tcPr>
          <w:p w14:paraId="6635468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0.006</w:t>
            </w:r>
          </w:p>
        </w:tc>
        <w:tc>
          <w:tcPr>
            <w:tcW w:w="1430" w:type="dxa"/>
            <w:vAlign w:val="center"/>
          </w:tcPr>
          <w:p w14:paraId="5B8B999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+0.006</w:t>
            </w:r>
          </w:p>
        </w:tc>
      </w:tr>
      <w:tr w14:paraId="201FA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04" w:type="dxa"/>
            <w:vMerge w:val="continue"/>
            <w:vAlign w:val="center"/>
          </w:tcPr>
          <w:p w14:paraId="170EAAAB">
            <w:pPr>
              <w:pStyle w:val="44"/>
              <w:spacing w:before="31" w:after="31"/>
              <w:rPr>
                <w:rFonts w:hint="default" w:ascii="Times New Roman" w:hAnsi="Times New Roman" w:eastAsia="宋体" w:cs="Times New Roman"/>
                <w:snapToGrid w:val="0"/>
                <w:color w:val="auto"/>
                <w:kern w:val="21"/>
                <w:sz w:val="21"/>
                <w:szCs w:val="21"/>
              </w:rPr>
            </w:pPr>
          </w:p>
        </w:tc>
        <w:tc>
          <w:tcPr>
            <w:tcW w:w="1901" w:type="dxa"/>
            <w:vAlign w:val="center"/>
          </w:tcPr>
          <w:p w14:paraId="03F8015B">
            <w:pPr>
              <w:pStyle w:val="6"/>
              <w:adjustRightInd w:val="0"/>
              <w:snapToGrid w:val="0"/>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kern w:val="2"/>
                <w:sz w:val="21"/>
                <w:szCs w:val="21"/>
                <w:highlight w:val="none"/>
                <w:lang w:val="en-US" w:eastAsia="zh-CN" w:bidi="ar-SA"/>
              </w:rPr>
              <w:t>废活性炭</w:t>
            </w:r>
          </w:p>
        </w:tc>
        <w:tc>
          <w:tcPr>
            <w:tcW w:w="1701" w:type="dxa"/>
            <w:vAlign w:val="center"/>
          </w:tcPr>
          <w:p w14:paraId="3DCB3938">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523" w:type="dxa"/>
            <w:vAlign w:val="center"/>
          </w:tcPr>
          <w:p w14:paraId="74A9A323">
            <w:pPr>
              <w:adjustRightInd w:val="0"/>
              <w:snapToGrid w:val="0"/>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lang w:val="en-US" w:eastAsia="zh-CN"/>
              </w:rPr>
              <w:t>0</w:t>
            </w:r>
          </w:p>
        </w:tc>
        <w:tc>
          <w:tcPr>
            <w:tcW w:w="1454" w:type="dxa"/>
            <w:vAlign w:val="center"/>
          </w:tcPr>
          <w:p w14:paraId="23E164D4">
            <w:pPr>
              <w:spacing w:beforeLines="0" w:afterLines="0" w:line="240" w:lineRule="auto"/>
              <w:jc w:val="center"/>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559" w:type="dxa"/>
            <w:vAlign w:val="center"/>
          </w:tcPr>
          <w:p w14:paraId="5A273BE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2.001</w:t>
            </w:r>
          </w:p>
        </w:tc>
        <w:tc>
          <w:tcPr>
            <w:tcW w:w="1427" w:type="dxa"/>
            <w:vAlign w:val="center"/>
          </w:tcPr>
          <w:p w14:paraId="4581F6BC">
            <w:pPr>
              <w:spacing w:before="35"/>
              <w:ind w:left="91" w:leftChars="0" w:right="83"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639" w:type="dxa"/>
            <w:vAlign w:val="center"/>
          </w:tcPr>
          <w:p w14:paraId="65E02F4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2.001</w:t>
            </w:r>
          </w:p>
        </w:tc>
        <w:tc>
          <w:tcPr>
            <w:tcW w:w="1430" w:type="dxa"/>
            <w:vAlign w:val="center"/>
          </w:tcPr>
          <w:p w14:paraId="5E10FFA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bCs/>
                <w:color w:val="auto"/>
                <w:sz w:val="21"/>
                <w:szCs w:val="21"/>
                <w:lang w:val="en-US" w:eastAsia="zh-CN"/>
              </w:rPr>
              <w:t>2.001</w:t>
            </w:r>
          </w:p>
        </w:tc>
      </w:tr>
      <w:tr w14:paraId="4B683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005" w:type="dxa"/>
            <w:gridSpan w:val="2"/>
            <w:vAlign w:val="center"/>
          </w:tcPr>
          <w:p w14:paraId="4AD568CB">
            <w:pPr>
              <w:pStyle w:val="6"/>
              <w:adjustRightInd w:val="0"/>
              <w:snapToGrid w:val="0"/>
              <w:ind w:firstLine="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napToGrid w:val="0"/>
                <w:color w:val="auto"/>
                <w:kern w:val="21"/>
                <w:sz w:val="21"/>
                <w:szCs w:val="21"/>
              </w:rPr>
              <w:t>生活垃圾</w:t>
            </w:r>
          </w:p>
        </w:tc>
        <w:tc>
          <w:tcPr>
            <w:tcW w:w="1701" w:type="dxa"/>
            <w:vAlign w:val="center"/>
          </w:tcPr>
          <w:p w14:paraId="346A1B30">
            <w:pPr>
              <w:pStyle w:val="44"/>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15</w:t>
            </w:r>
          </w:p>
        </w:tc>
        <w:tc>
          <w:tcPr>
            <w:tcW w:w="1523" w:type="dxa"/>
            <w:vAlign w:val="center"/>
          </w:tcPr>
          <w:p w14:paraId="76E63A16">
            <w:pPr>
              <w:pStyle w:val="44"/>
              <w:spacing w:beforeLines="0" w:afterLines="0"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napToGrid w:val="0"/>
                <w:color w:val="auto"/>
                <w:kern w:val="21"/>
                <w:sz w:val="21"/>
                <w:szCs w:val="21"/>
                <w:lang w:val="en-US" w:eastAsia="zh-CN"/>
              </w:rPr>
              <w:t>15</w:t>
            </w:r>
          </w:p>
        </w:tc>
        <w:tc>
          <w:tcPr>
            <w:tcW w:w="1454" w:type="dxa"/>
            <w:vAlign w:val="center"/>
          </w:tcPr>
          <w:p w14:paraId="2D8338EF">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0</w:t>
            </w:r>
          </w:p>
        </w:tc>
        <w:tc>
          <w:tcPr>
            <w:tcW w:w="1559" w:type="dxa"/>
            <w:vAlign w:val="center"/>
          </w:tcPr>
          <w:p w14:paraId="3DC15EEB">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color w:val="auto"/>
                <w:kern w:val="2"/>
                <w:sz w:val="21"/>
                <w:szCs w:val="24"/>
                <w:lang w:val="en-US" w:eastAsia="zh-CN" w:bidi="ar-SA"/>
              </w:rPr>
              <w:t>0</w:t>
            </w:r>
          </w:p>
        </w:tc>
        <w:tc>
          <w:tcPr>
            <w:tcW w:w="1427" w:type="dxa"/>
            <w:vAlign w:val="center"/>
          </w:tcPr>
          <w:p w14:paraId="5EC33274">
            <w:pPr>
              <w:pStyle w:val="44"/>
              <w:spacing w:beforeLines="0" w:afterLines="0" w:line="240" w:lineRule="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lang w:val="en-US" w:eastAsia="zh-CN"/>
              </w:rPr>
              <w:t>0</w:t>
            </w:r>
          </w:p>
        </w:tc>
        <w:tc>
          <w:tcPr>
            <w:tcW w:w="1639" w:type="dxa"/>
            <w:vAlign w:val="center"/>
          </w:tcPr>
          <w:p w14:paraId="697370DF">
            <w:pPr>
              <w:adjustRightInd w:val="0"/>
              <w:snapToGrid w:val="0"/>
              <w:jc w:val="center"/>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color w:val="auto"/>
                <w:kern w:val="2"/>
                <w:sz w:val="21"/>
                <w:szCs w:val="24"/>
                <w:lang w:val="en-US" w:eastAsia="zh-CN" w:bidi="ar-SA"/>
              </w:rPr>
              <w:t>15</w:t>
            </w:r>
          </w:p>
        </w:tc>
        <w:tc>
          <w:tcPr>
            <w:tcW w:w="1430" w:type="dxa"/>
            <w:vAlign w:val="center"/>
          </w:tcPr>
          <w:p w14:paraId="6BB8E20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+0</w:t>
            </w:r>
          </w:p>
        </w:tc>
      </w:tr>
    </w:tbl>
    <w:p w14:paraId="0F7D83A3">
      <w:pPr>
        <w:keepNext w:val="0"/>
        <w:keepLines w:val="0"/>
        <w:pageBreakBefore w:val="0"/>
        <w:widowControl/>
        <w:kinsoku/>
        <w:wordWrap/>
        <w:overflowPunct/>
        <w:topLinePunct w:val="0"/>
        <w:autoSpaceDE/>
        <w:autoSpaceDN/>
        <w:bidi w:val="0"/>
        <w:adjustRightInd/>
        <w:snapToGrid/>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14:paraId="31BE8BC8">
      <w:pPr>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eastAsia="宋体" w:cs="Times New Roman"/>
          <w:color w:val="auto"/>
          <w:sz w:val="10"/>
          <w:szCs w:val="10"/>
        </w:rPr>
      </w:pPr>
    </w:p>
    <w:sectPr>
      <w:footerReference r:id="rId10" w:type="default"/>
      <w:pgSz w:w="16838" w:h="11906" w:orient="landscape"/>
      <w:pgMar w:top="1417" w:right="1701" w:bottom="1531" w:left="1701" w:header="851" w:footer="851"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decorative"/>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
    <w:altName w:val="宋体"/>
    <w:panose1 w:val="00000000000000000000"/>
    <w:charset w:val="86"/>
    <w:family w:val="auto"/>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文鼎CS中宋">
    <w:altName w:val="宋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MingLiU">
    <w:altName w:val="PMingLiU-ExtB"/>
    <w:panose1 w:val="02010609000101010101"/>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仿宋_GBK">
    <w:altName w:val="宋体"/>
    <w:panose1 w:val="03000509000000000000"/>
    <w:charset w:val="86"/>
    <w:family w:val="script"/>
    <w:pitch w:val="default"/>
    <w:sig w:usb0="00000000" w:usb1="00000000" w:usb2="00000010" w:usb3="00000000" w:csb0="003C0041"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300B8">
    <w:pPr>
      <w:pStyle w:val="17"/>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D6D0ED">
                          <w:pPr>
                            <w:pStyle w:val="17"/>
                          </w:pPr>
                          <w:r>
                            <w:fldChar w:fldCharType="begin"/>
                          </w:r>
                          <w:r>
                            <w:instrText xml:space="preserve"> PAGE  \* MERGEFORMAT </w:instrText>
                          </w:r>
                          <w:r>
                            <w:fldChar w:fldCharType="separate"/>
                          </w:r>
                          <w:r>
                            <w:t>10</w:t>
                          </w:r>
                          <w: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IgOQeyQEAAJoDAAAOAAAAAAAAAAEAIAAAAB4BAABkcnMvZTJvRG9j&#10;LnhtbFBLBQYAAAAABgAGAFkBAABZBQAAAAA=&#10;">
              <v:fill on="f" focussize="0,0"/>
              <v:stroke on="f"/>
              <v:imagedata o:title=""/>
              <o:lock v:ext="edit" aspectratio="f"/>
              <v:textbox inset="0mm,0mm,0mm,0mm" style="mso-fit-shape-to-text:t;">
                <w:txbxContent>
                  <w:p w14:paraId="59D6D0ED">
                    <w:pPr>
                      <w:pStyle w:val="17"/>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2AE5A">
    <w:pPr>
      <w:pStyle w:val="1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2855AD">
                          <w:pPr>
                            <w:pStyle w:val="17"/>
                          </w:pPr>
                          <w:r>
                            <w:fldChar w:fldCharType="begin"/>
                          </w:r>
                          <w:r>
                            <w:instrText xml:space="preserve"> PAGE  \* MERGEFORMAT </w:instrText>
                          </w:r>
                          <w:r>
                            <w:fldChar w:fldCharType="separate"/>
                          </w:r>
                          <w:r>
                            <w:t>17</w:t>
                          </w:r>
                          <w: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Cs9RskBAACaAwAADgAAAGRycy9lMm9Eb2MueG1srVPNjtMwEL4j8Q6W&#10;79RpJ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2SEsctTvzy/dvlx6/Lz69k&#10;l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YKz1GyQEAAJoDAAAOAAAAAAAAAAEAIAAAAB4BAABkcnMvZTJvRG9j&#10;LnhtbFBLBQYAAAAABgAGAFkBAABZBQAAAAA=&#10;">
              <v:fill on="f" focussize="0,0"/>
              <v:stroke on="f"/>
              <v:imagedata o:title=""/>
              <o:lock v:ext="edit" aspectratio="f"/>
              <v:textbox inset="0mm,0mm,0mm,0mm" style="mso-fit-shape-to-text:t;">
                <w:txbxContent>
                  <w:p w14:paraId="412855AD">
                    <w:pPr>
                      <w:pStyle w:val="17"/>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85B0D2">
    <w:pPr>
      <w:pStyle w:val="17"/>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6C40666">
                          <w:pPr>
                            <w:pStyle w:val="17"/>
                          </w:pPr>
                          <w:r>
                            <w:fldChar w:fldCharType="begin"/>
                          </w:r>
                          <w:r>
                            <w:instrText xml:space="preserve"> PAGE  \* MERGEFORMAT </w:instrText>
                          </w:r>
                          <w:r>
                            <w:fldChar w:fldCharType="separate"/>
                          </w:r>
                          <w:r>
                            <w:t>18</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6u++myQEAAJkDAAAOAAAAAAAAAAEAIAAAAB4BAABkcnMvZTJvRG9j&#10;LnhtbFBLBQYAAAAABgAGAFkBAABZBQAAAAA=&#10;">
              <v:fill on="f" focussize="0,0"/>
              <v:stroke on="f"/>
              <v:imagedata o:title=""/>
              <o:lock v:ext="edit" aspectratio="f"/>
              <v:textbox inset="0mm,0mm,0mm,0mm" style="mso-fit-shape-to-text:t;">
                <w:txbxContent>
                  <w:p w14:paraId="46C40666">
                    <w:pPr>
                      <w:pStyle w:val="17"/>
                    </w:pPr>
                    <w:r>
                      <w:fldChar w:fldCharType="begin"/>
                    </w:r>
                    <w:r>
                      <w:instrText xml:space="preserve"> PAGE  \* MERGEFORMAT </w:instrText>
                    </w:r>
                    <w:r>
                      <w:fldChar w:fldCharType="separate"/>
                    </w:r>
                    <w:r>
                      <w:t>18</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237D4">
    <w:pPr>
      <w:pStyle w:val="17"/>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2EFEC9">
    <w:pPr>
      <w:pStyle w:val="1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E0A49F">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1E8D5">
    <w:pPr>
      <w:pStyle w:val="1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04868">
    <w:pPr>
      <w:pStyle w:val="1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BDC5EB"/>
    <w:multiLevelType w:val="singleLevel"/>
    <w:tmpl w:val="C0BDC5EB"/>
    <w:lvl w:ilvl="0" w:tentative="0">
      <w:start w:val="6"/>
      <w:numFmt w:val="decimal"/>
      <w:suff w:val="nothing"/>
      <w:lvlText w:val="%1、"/>
      <w:lvlJc w:val="left"/>
    </w:lvl>
  </w:abstractNum>
  <w:abstractNum w:abstractNumId="1">
    <w:nsid w:val="F5FA867A"/>
    <w:multiLevelType w:val="singleLevel"/>
    <w:tmpl w:val="F5FA867A"/>
    <w:lvl w:ilvl="0" w:tentative="0">
      <w:start w:val="2"/>
      <w:numFmt w:val="decimal"/>
      <w:suff w:val="nothing"/>
      <w:lvlText w:val="%1、"/>
      <w:lvlJc w:val="left"/>
    </w:lvl>
  </w:abstractNum>
  <w:abstractNum w:abstractNumId="2">
    <w:nsid w:val="167C3218"/>
    <w:multiLevelType w:val="singleLevel"/>
    <w:tmpl w:val="167C3218"/>
    <w:lvl w:ilvl="0" w:tentative="0">
      <w:start w:val="1"/>
      <w:numFmt w:val="bullet"/>
      <w:pStyle w:val="9"/>
      <w:lvlText w:val=""/>
      <w:lvlJc w:val="left"/>
      <w:pPr>
        <w:tabs>
          <w:tab w:val="left" w:pos="2040"/>
        </w:tabs>
        <w:ind w:left="2040" w:hanging="360"/>
      </w:pPr>
      <w:rPr>
        <w:rFonts w:hint="default" w:ascii="Wingdings" w:hAnsi="Wingdings"/>
      </w:rPr>
    </w:lvl>
  </w:abstractNum>
  <w:abstractNum w:abstractNumId="3">
    <w:nsid w:val="3E5C31F6"/>
    <w:multiLevelType w:val="singleLevel"/>
    <w:tmpl w:val="3E5C31F6"/>
    <w:lvl w:ilvl="0" w:tentative="0">
      <w:start w:val="7"/>
      <w:numFmt w:val="decimal"/>
      <w:suff w:val="nothing"/>
      <w:lvlText w:val="%1、"/>
      <w:lvlJc w:val="left"/>
      <w:pPr>
        <w:ind w:left="105" w:leftChars="0" w:firstLine="0" w:firstLineChars="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attachedTemplate r:id="rId1"/>
  <w:documentProtection w:edit="trackedChanges" w:enforcement="0"/>
  <w:defaultTabStop w:val="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FlNzViYTYyMmIxYWZlZjNhOGRkMmE1NjRiZDBjZTAifQ=="/>
  </w:docVars>
  <w:rsids>
    <w:rsidRoot w:val="00A14947"/>
    <w:rsid w:val="0000034B"/>
    <w:rsid w:val="00000F89"/>
    <w:rsid w:val="0000195E"/>
    <w:rsid w:val="0000268B"/>
    <w:rsid w:val="00002F74"/>
    <w:rsid w:val="00004081"/>
    <w:rsid w:val="0000439F"/>
    <w:rsid w:val="00004C06"/>
    <w:rsid w:val="00005877"/>
    <w:rsid w:val="000060B3"/>
    <w:rsid w:val="00006D0C"/>
    <w:rsid w:val="00007145"/>
    <w:rsid w:val="00007298"/>
    <w:rsid w:val="00010B61"/>
    <w:rsid w:val="0001177B"/>
    <w:rsid w:val="0001192C"/>
    <w:rsid w:val="00011EC4"/>
    <w:rsid w:val="00011FE8"/>
    <w:rsid w:val="00012F7D"/>
    <w:rsid w:val="00013D11"/>
    <w:rsid w:val="00016DA4"/>
    <w:rsid w:val="000228D0"/>
    <w:rsid w:val="000236F7"/>
    <w:rsid w:val="000248A8"/>
    <w:rsid w:val="00024A44"/>
    <w:rsid w:val="00024AA9"/>
    <w:rsid w:val="000269F1"/>
    <w:rsid w:val="00026C80"/>
    <w:rsid w:val="00030596"/>
    <w:rsid w:val="00031900"/>
    <w:rsid w:val="00033C77"/>
    <w:rsid w:val="00034B66"/>
    <w:rsid w:val="000367AA"/>
    <w:rsid w:val="00036A24"/>
    <w:rsid w:val="000373FF"/>
    <w:rsid w:val="0004052F"/>
    <w:rsid w:val="00040CB6"/>
    <w:rsid w:val="00041FB3"/>
    <w:rsid w:val="00042ED1"/>
    <w:rsid w:val="000432F0"/>
    <w:rsid w:val="0004364B"/>
    <w:rsid w:val="000451BD"/>
    <w:rsid w:val="0004783A"/>
    <w:rsid w:val="000500CB"/>
    <w:rsid w:val="000517AB"/>
    <w:rsid w:val="00055D9C"/>
    <w:rsid w:val="0005771C"/>
    <w:rsid w:val="00057D30"/>
    <w:rsid w:val="00060301"/>
    <w:rsid w:val="000618CC"/>
    <w:rsid w:val="00061B1F"/>
    <w:rsid w:val="00061F18"/>
    <w:rsid w:val="00067834"/>
    <w:rsid w:val="00067A10"/>
    <w:rsid w:val="00070718"/>
    <w:rsid w:val="000711DF"/>
    <w:rsid w:val="00071FA4"/>
    <w:rsid w:val="0007233B"/>
    <w:rsid w:val="000729FF"/>
    <w:rsid w:val="000731FF"/>
    <w:rsid w:val="000733C4"/>
    <w:rsid w:val="00073A0F"/>
    <w:rsid w:val="00073EB0"/>
    <w:rsid w:val="000740A5"/>
    <w:rsid w:val="00074327"/>
    <w:rsid w:val="00074783"/>
    <w:rsid w:val="00074BE1"/>
    <w:rsid w:val="0008070B"/>
    <w:rsid w:val="000810AC"/>
    <w:rsid w:val="00081A02"/>
    <w:rsid w:val="00081A56"/>
    <w:rsid w:val="00082231"/>
    <w:rsid w:val="000829EA"/>
    <w:rsid w:val="00083F6A"/>
    <w:rsid w:val="000848AE"/>
    <w:rsid w:val="000861C3"/>
    <w:rsid w:val="00086B4F"/>
    <w:rsid w:val="00087FF7"/>
    <w:rsid w:val="00092465"/>
    <w:rsid w:val="00092D38"/>
    <w:rsid w:val="0009377B"/>
    <w:rsid w:val="00097DE5"/>
    <w:rsid w:val="000A0BDF"/>
    <w:rsid w:val="000A20C9"/>
    <w:rsid w:val="000A21DA"/>
    <w:rsid w:val="000A33B4"/>
    <w:rsid w:val="000A448E"/>
    <w:rsid w:val="000A5522"/>
    <w:rsid w:val="000A78EB"/>
    <w:rsid w:val="000B058F"/>
    <w:rsid w:val="000B0DF8"/>
    <w:rsid w:val="000B0F0F"/>
    <w:rsid w:val="000B1846"/>
    <w:rsid w:val="000B4467"/>
    <w:rsid w:val="000B4DB9"/>
    <w:rsid w:val="000B4EFB"/>
    <w:rsid w:val="000B60BB"/>
    <w:rsid w:val="000B680E"/>
    <w:rsid w:val="000B725F"/>
    <w:rsid w:val="000C09AC"/>
    <w:rsid w:val="000C0B38"/>
    <w:rsid w:val="000C135E"/>
    <w:rsid w:val="000C186F"/>
    <w:rsid w:val="000C2889"/>
    <w:rsid w:val="000C3166"/>
    <w:rsid w:val="000C62DF"/>
    <w:rsid w:val="000C6A5E"/>
    <w:rsid w:val="000C767F"/>
    <w:rsid w:val="000D49C1"/>
    <w:rsid w:val="000D5A44"/>
    <w:rsid w:val="000D69C4"/>
    <w:rsid w:val="000D7477"/>
    <w:rsid w:val="000E1579"/>
    <w:rsid w:val="000E3EA0"/>
    <w:rsid w:val="000E3ED2"/>
    <w:rsid w:val="000E4F24"/>
    <w:rsid w:val="000E583E"/>
    <w:rsid w:val="000F436F"/>
    <w:rsid w:val="000F49AD"/>
    <w:rsid w:val="000F7862"/>
    <w:rsid w:val="00101F8C"/>
    <w:rsid w:val="00102053"/>
    <w:rsid w:val="00102259"/>
    <w:rsid w:val="00103BC6"/>
    <w:rsid w:val="00103D67"/>
    <w:rsid w:val="001043F6"/>
    <w:rsid w:val="00104C71"/>
    <w:rsid w:val="00107BF2"/>
    <w:rsid w:val="001101C3"/>
    <w:rsid w:val="00110CDB"/>
    <w:rsid w:val="00112CEA"/>
    <w:rsid w:val="00113C81"/>
    <w:rsid w:val="00114D9F"/>
    <w:rsid w:val="00115DD2"/>
    <w:rsid w:val="00116A5D"/>
    <w:rsid w:val="00117241"/>
    <w:rsid w:val="00117921"/>
    <w:rsid w:val="0012080D"/>
    <w:rsid w:val="00123D68"/>
    <w:rsid w:val="00123E26"/>
    <w:rsid w:val="001249D0"/>
    <w:rsid w:val="00127570"/>
    <w:rsid w:val="001276EF"/>
    <w:rsid w:val="00131F42"/>
    <w:rsid w:val="00132086"/>
    <w:rsid w:val="00132234"/>
    <w:rsid w:val="001341F0"/>
    <w:rsid w:val="00134410"/>
    <w:rsid w:val="001357F1"/>
    <w:rsid w:val="00137A11"/>
    <w:rsid w:val="001405B7"/>
    <w:rsid w:val="00140FA8"/>
    <w:rsid w:val="00142DF7"/>
    <w:rsid w:val="00142FEB"/>
    <w:rsid w:val="00143A2D"/>
    <w:rsid w:val="00143CF4"/>
    <w:rsid w:val="00144DE7"/>
    <w:rsid w:val="00145A41"/>
    <w:rsid w:val="00145AF5"/>
    <w:rsid w:val="0014652C"/>
    <w:rsid w:val="00147147"/>
    <w:rsid w:val="001479C9"/>
    <w:rsid w:val="001515D1"/>
    <w:rsid w:val="001515DE"/>
    <w:rsid w:val="00151675"/>
    <w:rsid w:val="00151887"/>
    <w:rsid w:val="00154276"/>
    <w:rsid w:val="0015618C"/>
    <w:rsid w:val="00157435"/>
    <w:rsid w:val="00157492"/>
    <w:rsid w:val="00160902"/>
    <w:rsid w:val="00160F30"/>
    <w:rsid w:val="00163DC0"/>
    <w:rsid w:val="00164A9E"/>
    <w:rsid w:val="00170A8E"/>
    <w:rsid w:val="00170E88"/>
    <w:rsid w:val="00172500"/>
    <w:rsid w:val="001745B8"/>
    <w:rsid w:val="00174D25"/>
    <w:rsid w:val="00174DF1"/>
    <w:rsid w:val="0017504D"/>
    <w:rsid w:val="00175305"/>
    <w:rsid w:val="0017671A"/>
    <w:rsid w:val="00177422"/>
    <w:rsid w:val="00181003"/>
    <w:rsid w:val="001818D6"/>
    <w:rsid w:val="00182DBB"/>
    <w:rsid w:val="00184590"/>
    <w:rsid w:val="001851A7"/>
    <w:rsid w:val="001870D1"/>
    <w:rsid w:val="0018781E"/>
    <w:rsid w:val="001879AE"/>
    <w:rsid w:val="00187BCB"/>
    <w:rsid w:val="001903A5"/>
    <w:rsid w:val="001920BE"/>
    <w:rsid w:val="0019262D"/>
    <w:rsid w:val="0019264F"/>
    <w:rsid w:val="00193B3A"/>
    <w:rsid w:val="00194F70"/>
    <w:rsid w:val="00195453"/>
    <w:rsid w:val="00195FA9"/>
    <w:rsid w:val="001A0EAA"/>
    <w:rsid w:val="001A1B35"/>
    <w:rsid w:val="001A48A2"/>
    <w:rsid w:val="001A4D05"/>
    <w:rsid w:val="001A63F2"/>
    <w:rsid w:val="001A6F61"/>
    <w:rsid w:val="001A760E"/>
    <w:rsid w:val="001A7B9F"/>
    <w:rsid w:val="001B0939"/>
    <w:rsid w:val="001B222B"/>
    <w:rsid w:val="001B3457"/>
    <w:rsid w:val="001B4F72"/>
    <w:rsid w:val="001B4FC3"/>
    <w:rsid w:val="001B5197"/>
    <w:rsid w:val="001B6106"/>
    <w:rsid w:val="001B72B8"/>
    <w:rsid w:val="001C29D0"/>
    <w:rsid w:val="001C3F36"/>
    <w:rsid w:val="001C43A6"/>
    <w:rsid w:val="001C4F09"/>
    <w:rsid w:val="001C5320"/>
    <w:rsid w:val="001C69B3"/>
    <w:rsid w:val="001C711E"/>
    <w:rsid w:val="001D064B"/>
    <w:rsid w:val="001D0DDF"/>
    <w:rsid w:val="001D4418"/>
    <w:rsid w:val="001D5595"/>
    <w:rsid w:val="001D717D"/>
    <w:rsid w:val="001D7428"/>
    <w:rsid w:val="001D7874"/>
    <w:rsid w:val="001D7D37"/>
    <w:rsid w:val="001D7F22"/>
    <w:rsid w:val="001E0E44"/>
    <w:rsid w:val="001E248B"/>
    <w:rsid w:val="001E3EC1"/>
    <w:rsid w:val="001E4CA0"/>
    <w:rsid w:val="001E514B"/>
    <w:rsid w:val="001E677D"/>
    <w:rsid w:val="001F0187"/>
    <w:rsid w:val="001F0F17"/>
    <w:rsid w:val="001F1424"/>
    <w:rsid w:val="001F2EEA"/>
    <w:rsid w:val="001F3347"/>
    <w:rsid w:val="001F4785"/>
    <w:rsid w:val="001F4C1F"/>
    <w:rsid w:val="001F5065"/>
    <w:rsid w:val="001F53E1"/>
    <w:rsid w:val="001F69E4"/>
    <w:rsid w:val="001F73B2"/>
    <w:rsid w:val="00200669"/>
    <w:rsid w:val="00200685"/>
    <w:rsid w:val="00200D40"/>
    <w:rsid w:val="0020185D"/>
    <w:rsid w:val="00202228"/>
    <w:rsid w:val="00202287"/>
    <w:rsid w:val="00202983"/>
    <w:rsid w:val="00203B3F"/>
    <w:rsid w:val="00203B5F"/>
    <w:rsid w:val="00207C06"/>
    <w:rsid w:val="00210D3C"/>
    <w:rsid w:val="002119E3"/>
    <w:rsid w:val="002125B4"/>
    <w:rsid w:val="00212EE0"/>
    <w:rsid w:val="002131B6"/>
    <w:rsid w:val="002134DD"/>
    <w:rsid w:val="00214550"/>
    <w:rsid w:val="002149D4"/>
    <w:rsid w:val="00214A9A"/>
    <w:rsid w:val="002155B8"/>
    <w:rsid w:val="00217CD1"/>
    <w:rsid w:val="00220359"/>
    <w:rsid w:val="00220746"/>
    <w:rsid w:val="00221431"/>
    <w:rsid w:val="00224839"/>
    <w:rsid w:val="002249B2"/>
    <w:rsid w:val="00226574"/>
    <w:rsid w:val="0022696D"/>
    <w:rsid w:val="00227522"/>
    <w:rsid w:val="002278EC"/>
    <w:rsid w:val="00227BE5"/>
    <w:rsid w:val="0023280E"/>
    <w:rsid w:val="002334BB"/>
    <w:rsid w:val="00233FE7"/>
    <w:rsid w:val="00234486"/>
    <w:rsid w:val="00234A0E"/>
    <w:rsid w:val="0023630E"/>
    <w:rsid w:val="00237177"/>
    <w:rsid w:val="002377D1"/>
    <w:rsid w:val="002409D1"/>
    <w:rsid w:val="00240A34"/>
    <w:rsid w:val="002420B7"/>
    <w:rsid w:val="0024225D"/>
    <w:rsid w:val="0024345F"/>
    <w:rsid w:val="002469D7"/>
    <w:rsid w:val="0024788E"/>
    <w:rsid w:val="00247F98"/>
    <w:rsid w:val="002506BC"/>
    <w:rsid w:val="002506BD"/>
    <w:rsid w:val="00250965"/>
    <w:rsid w:val="002522FA"/>
    <w:rsid w:val="00252B54"/>
    <w:rsid w:val="00254345"/>
    <w:rsid w:val="00254A8E"/>
    <w:rsid w:val="00254DFF"/>
    <w:rsid w:val="0025518D"/>
    <w:rsid w:val="002552F9"/>
    <w:rsid w:val="00260390"/>
    <w:rsid w:val="00260426"/>
    <w:rsid w:val="00261836"/>
    <w:rsid w:val="002618D7"/>
    <w:rsid w:val="00262AC9"/>
    <w:rsid w:val="00264557"/>
    <w:rsid w:val="00264715"/>
    <w:rsid w:val="00266FB8"/>
    <w:rsid w:val="00267152"/>
    <w:rsid w:val="00267DC1"/>
    <w:rsid w:val="00267FE6"/>
    <w:rsid w:val="002701DA"/>
    <w:rsid w:val="00271AD3"/>
    <w:rsid w:val="00271F7D"/>
    <w:rsid w:val="00272EA9"/>
    <w:rsid w:val="00273250"/>
    <w:rsid w:val="002745F6"/>
    <w:rsid w:val="00274DD9"/>
    <w:rsid w:val="002752F0"/>
    <w:rsid w:val="0027587D"/>
    <w:rsid w:val="00277187"/>
    <w:rsid w:val="002805AB"/>
    <w:rsid w:val="0028111D"/>
    <w:rsid w:val="002828BF"/>
    <w:rsid w:val="002829A6"/>
    <w:rsid w:val="0028313E"/>
    <w:rsid w:val="00283C96"/>
    <w:rsid w:val="00283E08"/>
    <w:rsid w:val="00284204"/>
    <w:rsid w:val="002847DB"/>
    <w:rsid w:val="002863DC"/>
    <w:rsid w:val="002872A7"/>
    <w:rsid w:val="00291405"/>
    <w:rsid w:val="00291514"/>
    <w:rsid w:val="00291773"/>
    <w:rsid w:val="00291B0E"/>
    <w:rsid w:val="0029349F"/>
    <w:rsid w:val="002963CA"/>
    <w:rsid w:val="00296974"/>
    <w:rsid w:val="002A02A7"/>
    <w:rsid w:val="002A168C"/>
    <w:rsid w:val="002A181B"/>
    <w:rsid w:val="002A1B1A"/>
    <w:rsid w:val="002A3DC7"/>
    <w:rsid w:val="002A6614"/>
    <w:rsid w:val="002A6DCF"/>
    <w:rsid w:val="002B0D0E"/>
    <w:rsid w:val="002B1939"/>
    <w:rsid w:val="002B3C16"/>
    <w:rsid w:val="002B4825"/>
    <w:rsid w:val="002B49E2"/>
    <w:rsid w:val="002B5223"/>
    <w:rsid w:val="002B7B00"/>
    <w:rsid w:val="002B7C44"/>
    <w:rsid w:val="002C06CD"/>
    <w:rsid w:val="002C1748"/>
    <w:rsid w:val="002C1991"/>
    <w:rsid w:val="002C1E9C"/>
    <w:rsid w:val="002C2B17"/>
    <w:rsid w:val="002C4987"/>
    <w:rsid w:val="002C4EA5"/>
    <w:rsid w:val="002C75B9"/>
    <w:rsid w:val="002D22D2"/>
    <w:rsid w:val="002D238E"/>
    <w:rsid w:val="002D3DD0"/>
    <w:rsid w:val="002D3ECC"/>
    <w:rsid w:val="002D51DB"/>
    <w:rsid w:val="002D5331"/>
    <w:rsid w:val="002D5FB3"/>
    <w:rsid w:val="002D68DE"/>
    <w:rsid w:val="002E02B0"/>
    <w:rsid w:val="002E1F3A"/>
    <w:rsid w:val="002E28C5"/>
    <w:rsid w:val="002E298A"/>
    <w:rsid w:val="002E2A1B"/>
    <w:rsid w:val="002E2C9F"/>
    <w:rsid w:val="002E3332"/>
    <w:rsid w:val="002E42AC"/>
    <w:rsid w:val="002E6022"/>
    <w:rsid w:val="002E6CA1"/>
    <w:rsid w:val="002E71A2"/>
    <w:rsid w:val="002E7287"/>
    <w:rsid w:val="002F1082"/>
    <w:rsid w:val="002F12C7"/>
    <w:rsid w:val="002F163E"/>
    <w:rsid w:val="002F45D4"/>
    <w:rsid w:val="002F4745"/>
    <w:rsid w:val="002F6857"/>
    <w:rsid w:val="002F6EF7"/>
    <w:rsid w:val="002F7A66"/>
    <w:rsid w:val="003007C0"/>
    <w:rsid w:val="00301978"/>
    <w:rsid w:val="00301F09"/>
    <w:rsid w:val="003021D5"/>
    <w:rsid w:val="0030332C"/>
    <w:rsid w:val="003051C2"/>
    <w:rsid w:val="0030526D"/>
    <w:rsid w:val="00305AB9"/>
    <w:rsid w:val="00306299"/>
    <w:rsid w:val="00306319"/>
    <w:rsid w:val="00306F2A"/>
    <w:rsid w:val="00307792"/>
    <w:rsid w:val="00307D88"/>
    <w:rsid w:val="0031090E"/>
    <w:rsid w:val="00311E66"/>
    <w:rsid w:val="00312296"/>
    <w:rsid w:val="00312D1C"/>
    <w:rsid w:val="0031351D"/>
    <w:rsid w:val="00314C4B"/>
    <w:rsid w:val="00314F0E"/>
    <w:rsid w:val="003206C8"/>
    <w:rsid w:val="00321D8E"/>
    <w:rsid w:val="003237AF"/>
    <w:rsid w:val="00325928"/>
    <w:rsid w:val="00326537"/>
    <w:rsid w:val="00326732"/>
    <w:rsid w:val="00326BD3"/>
    <w:rsid w:val="00326DB7"/>
    <w:rsid w:val="00327186"/>
    <w:rsid w:val="00330C2D"/>
    <w:rsid w:val="00330F75"/>
    <w:rsid w:val="003314D9"/>
    <w:rsid w:val="003316DF"/>
    <w:rsid w:val="003319D4"/>
    <w:rsid w:val="00332863"/>
    <w:rsid w:val="003353DF"/>
    <w:rsid w:val="0033684D"/>
    <w:rsid w:val="003368D4"/>
    <w:rsid w:val="0033699A"/>
    <w:rsid w:val="00337B42"/>
    <w:rsid w:val="00340383"/>
    <w:rsid w:val="00341B42"/>
    <w:rsid w:val="00342407"/>
    <w:rsid w:val="003425D6"/>
    <w:rsid w:val="00342728"/>
    <w:rsid w:val="0034348F"/>
    <w:rsid w:val="00345A19"/>
    <w:rsid w:val="0035106C"/>
    <w:rsid w:val="00351784"/>
    <w:rsid w:val="00352129"/>
    <w:rsid w:val="0035240D"/>
    <w:rsid w:val="00352892"/>
    <w:rsid w:val="00353062"/>
    <w:rsid w:val="0035333D"/>
    <w:rsid w:val="0035560E"/>
    <w:rsid w:val="00356653"/>
    <w:rsid w:val="003570FA"/>
    <w:rsid w:val="0035743F"/>
    <w:rsid w:val="00357BE2"/>
    <w:rsid w:val="00357DFF"/>
    <w:rsid w:val="00360320"/>
    <w:rsid w:val="003605EF"/>
    <w:rsid w:val="0036064A"/>
    <w:rsid w:val="003616BD"/>
    <w:rsid w:val="0036170C"/>
    <w:rsid w:val="0036244E"/>
    <w:rsid w:val="00363429"/>
    <w:rsid w:val="00366520"/>
    <w:rsid w:val="003669A0"/>
    <w:rsid w:val="00366E0F"/>
    <w:rsid w:val="003670D6"/>
    <w:rsid w:val="0037112D"/>
    <w:rsid w:val="003712E8"/>
    <w:rsid w:val="0037182F"/>
    <w:rsid w:val="00371BAB"/>
    <w:rsid w:val="003733BB"/>
    <w:rsid w:val="00374676"/>
    <w:rsid w:val="00374FB4"/>
    <w:rsid w:val="0038119C"/>
    <w:rsid w:val="003813E1"/>
    <w:rsid w:val="00381A72"/>
    <w:rsid w:val="0038212D"/>
    <w:rsid w:val="0038312B"/>
    <w:rsid w:val="00383151"/>
    <w:rsid w:val="00383586"/>
    <w:rsid w:val="00383D47"/>
    <w:rsid w:val="00384676"/>
    <w:rsid w:val="003853D5"/>
    <w:rsid w:val="003863C1"/>
    <w:rsid w:val="003868BF"/>
    <w:rsid w:val="00386B5D"/>
    <w:rsid w:val="00390857"/>
    <w:rsid w:val="00391EC1"/>
    <w:rsid w:val="00391F84"/>
    <w:rsid w:val="00391FF9"/>
    <w:rsid w:val="00392EA2"/>
    <w:rsid w:val="003940E3"/>
    <w:rsid w:val="003972A8"/>
    <w:rsid w:val="003A3F30"/>
    <w:rsid w:val="003A449B"/>
    <w:rsid w:val="003A4BF3"/>
    <w:rsid w:val="003A6FCB"/>
    <w:rsid w:val="003B1CCA"/>
    <w:rsid w:val="003B2A9F"/>
    <w:rsid w:val="003B3160"/>
    <w:rsid w:val="003B3758"/>
    <w:rsid w:val="003B420D"/>
    <w:rsid w:val="003C0112"/>
    <w:rsid w:val="003C058C"/>
    <w:rsid w:val="003C36AF"/>
    <w:rsid w:val="003C4290"/>
    <w:rsid w:val="003C48B2"/>
    <w:rsid w:val="003C6518"/>
    <w:rsid w:val="003C6C16"/>
    <w:rsid w:val="003C6F81"/>
    <w:rsid w:val="003D35D8"/>
    <w:rsid w:val="003D3D4A"/>
    <w:rsid w:val="003D46B1"/>
    <w:rsid w:val="003D77D4"/>
    <w:rsid w:val="003D794D"/>
    <w:rsid w:val="003E2980"/>
    <w:rsid w:val="003E3058"/>
    <w:rsid w:val="003E3780"/>
    <w:rsid w:val="003E59FF"/>
    <w:rsid w:val="003E5BC6"/>
    <w:rsid w:val="003E5C44"/>
    <w:rsid w:val="003E5CD7"/>
    <w:rsid w:val="003E76A9"/>
    <w:rsid w:val="003E7C6E"/>
    <w:rsid w:val="003F0809"/>
    <w:rsid w:val="003F1BF2"/>
    <w:rsid w:val="003F2F99"/>
    <w:rsid w:val="003F43B4"/>
    <w:rsid w:val="003F6A8C"/>
    <w:rsid w:val="003F6D15"/>
    <w:rsid w:val="003F6F87"/>
    <w:rsid w:val="003F73A9"/>
    <w:rsid w:val="003F755C"/>
    <w:rsid w:val="00400B6E"/>
    <w:rsid w:val="00401C2F"/>
    <w:rsid w:val="004032DF"/>
    <w:rsid w:val="004062DD"/>
    <w:rsid w:val="0040644A"/>
    <w:rsid w:val="00406F01"/>
    <w:rsid w:val="00407CB8"/>
    <w:rsid w:val="00411C3F"/>
    <w:rsid w:val="00416150"/>
    <w:rsid w:val="0041646D"/>
    <w:rsid w:val="004166D2"/>
    <w:rsid w:val="00416D50"/>
    <w:rsid w:val="00416FD5"/>
    <w:rsid w:val="00417772"/>
    <w:rsid w:val="004209E5"/>
    <w:rsid w:val="00420E6A"/>
    <w:rsid w:val="00420F54"/>
    <w:rsid w:val="00421084"/>
    <w:rsid w:val="00421E96"/>
    <w:rsid w:val="0042254D"/>
    <w:rsid w:val="00422BD0"/>
    <w:rsid w:val="00424B1F"/>
    <w:rsid w:val="00425A9E"/>
    <w:rsid w:val="00426B1D"/>
    <w:rsid w:val="00426C90"/>
    <w:rsid w:val="00426D6B"/>
    <w:rsid w:val="00426F16"/>
    <w:rsid w:val="004275E1"/>
    <w:rsid w:val="00427E0B"/>
    <w:rsid w:val="00430774"/>
    <w:rsid w:val="00430FA6"/>
    <w:rsid w:val="00431E6C"/>
    <w:rsid w:val="00433CE7"/>
    <w:rsid w:val="0043587E"/>
    <w:rsid w:val="004403EE"/>
    <w:rsid w:val="0044060B"/>
    <w:rsid w:val="00440B39"/>
    <w:rsid w:val="00441C05"/>
    <w:rsid w:val="0044277B"/>
    <w:rsid w:val="00442E0E"/>
    <w:rsid w:val="004444B3"/>
    <w:rsid w:val="00444F41"/>
    <w:rsid w:val="004450D3"/>
    <w:rsid w:val="004466F7"/>
    <w:rsid w:val="004468E0"/>
    <w:rsid w:val="004509C7"/>
    <w:rsid w:val="004512DB"/>
    <w:rsid w:val="00452738"/>
    <w:rsid w:val="00454284"/>
    <w:rsid w:val="004547CD"/>
    <w:rsid w:val="00455F02"/>
    <w:rsid w:val="00456091"/>
    <w:rsid w:val="004565BC"/>
    <w:rsid w:val="0045744F"/>
    <w:rsid w:val="0046074D"/>
    <w:rsid w:val="004625FA"/>
    <w:rsid w:val="00462E86"/>
    <w:rsid w:val="004643B9"/>
    <w:rsid w:val="00466321"/>
    <w:rsid w:val="00466FC0"/>
    <w:rsid w:val="004677CA"/>
    <w:rsid w:val="00470A4E"/>
    <w:rsid w:val="00470D0B"/>
    <w:rsid w:val="00470E7A"/>
    <w:rsid w:val="00471426"/>
    <w:rsid w:val="00472BFA"/>
    <w:rsid w:val="00472D4B"/>
    <w:rsid w:val="00472EF2"/>
    <w:rsid w:val="00475EB6"/>
    <w:rsid w:val="00481CE7"/>
    <w:rsid w:val="00484AE7"/>
    <w:rsid w:val="00484B9B"/>
    <w:rsid w:val="00484CED"/>
    <w:rsid w:val="0048525A"/>
    <w:rsid w:val="004855F6"/>
    <w:rsid w:val="0048661E"/>
    <w:rsid w:val="004908C4"/>
    <w:rsid w:val="004913BD"/>
    <w:rsid w:val="0049204E"/>
    <w:rsid w:val="00493C64"/>
    <w:rsid w:val="00494258"/>
    <w:rsid w:val="00494670"/>
    <w:rsid w:val="004A15D5"/>
    <w:rsid w:val="004A1EA6"/>
    <w:rsid w:val="004A3743"/>
    <w:rsid w:val="004A3823"/>
    <w:rsid w:val="004A3DE8"/>
    <w:rsid w:val="004A44F1"/>
    <w:rsid w:val="004A4861"/>
    <w:rsid w:val="004A4B4C"/>
    <w:rsid w:val="004A51AC"/>
    <w:rsid w:val="004A75D9"/>
    <w:rsid w:val="004B01F0"/>
    <w:rsid w:val="004B065C"/>
    <w:rsid w:val="004B1540"/>
    <w:rsid w:val="004B34A1"/>
    <w:rsid w:val="004B44BE"/>
    <w:rsid w:val="004B4AFD"/>
    <w:rsid w:val="004B66DE"/>
    <w:rsid w:val="004B7468"/>
    <w:rsid w:val="004B74A5"/>
    <w:rsid w:val="004B7E4C"/>
    <w:rsid w:val="004B7E97"/>
    <w:rsid w:val="004C08B5"/>
    <w:rsid w:val="004C0B99"/>
    <w:rsid w:val="004C42BA"/>
    <w:rsid w:val="004C492E"/>
    <w:rsid w:val="004D0AE7"/>
    <w:rsid w:val="004D2940"/>
    <w:rsid w:val="004D2C3F"/>
    <w:rsid w:val="004D60EE"/>
    <w:rsid w:val="004D704C"/>
    <w:rsid w:val="004D75FA"/>
    <w:rsid w:val="004E195E"/>
    <w:rsid w:val="004E256E"/>
    <w:rsid w:val="004E41BC"/>
    <w:rsid w:val="004E53ED"/>
    <w:rsid w:val="004E6946"/>
    <w:rsid w:val="004E75D0"/>
    <w:rsid w:val="004F1AD8"/>
    <w:rsid w:val="004F1C38"/>
    <w:rsid w:val="004F4937"/>
    <w:rsid w:val="004F64EB"/>
    <w:rsid w:val="005017B4"/>
    <w:rsid w:val="005026BB"/>
    <w:rsid w:val="00503411"/>
    <w:rsid w:val="005037E1"/>
    <w:rsid w:val="00503959"/>
    <w:rsid w:val="005039CB"/>
    <w:rsid w:val="0050558F"/>
    <w:rsid w:val="00505644"/>
    <w:rsid w:val="005056D8"/>
    <w:rsid w:val="00505B2D"/>
    <w:rsid w:val="00506286"/>
    <w:rsid w:val="00506F8D"/>
    <w:rsid w:val="0050714C"/>
    <w:rsid w:val="00507F11"/>
    <w:rsid w:val="00510813"/>
    <w:rsid w:val="00511990"/>
    <w:rsid w:val="00511DE0"/>
    <w:rsid w:val="0051211B"/>
    <w:rsid w:val="00514590"/>
    <w:rsid w:val="00514870"/>
    <w:rsid w:val="00514B9B"/>
    <w:rsid w:val="00514F93"/>
    <w:rsid w:val="00515414"/>
    <w:rsid w:val="00516193"/>
    <w:rsid w:val="00517F02"/>
    <w:rsid w:val="00520820"/>
    <w:rsid w:val="00521189"/>
    <w:rsid w:val="00523437"/>
    <w:rsid w:val="00523BBF"/>
    <w:rsid w:val="00523C03"/>
    <w:rsid w:val="00523F04"/>
    <w:rsid w:val="00524303"/>
    <w:rsid w:val="00524C3B"/>
    <w:rsid w:val="0052528B"/>
    <w:rsid w:val="005258A2"/>
    <w:rsid w:val="00526DAD"/>
    <w:rsid w:val="0052772A"/>
    <w:rsid w:val="00527F82"/>
    <w:rsid w:val="005303E9"/>
    <w:rsid w:val="00530768"/>
    <w:rsid w:val="00532953"/>
    <w:rsid w:val="00537A03"/>
    <w:rsid w:val="00537AD7"/>
    <w:rsid w:val="005401AE"/>
    <w:rsid w:val="00540A3F"/>
    <w:rsid w:val="00540F0A"/>
    <w:rsid w:val="0054100E"/>
    <w:rsid w:val="005428A4"/>
    <w:rsid w:val="00542DD4"/>
    <w:rsid w:val="00542E07"/>
    <w:rsid w:val="00543730"/>
    <w:rsid w:val="00544CB7"/>
    <w:rsid w:val="00545424"/>
    <w:rsid w:val="0054548B"/>
    <w:rsid w:val="00545A07"/>
    <w:rsid w:val="005470A0"/>
    <w:rsid w:val="0055043B"/>
    <w:rsid w:val="005520D7"/>
    <w:rsid w:val="005538A3"/>
    <w:rsid w:val="00553AF5"/>
    <w:rsid w:val="00554A7B"/>
    <w:rsid w:val="0055572C"/>
    <w:rsid w:val="00555982"/>
    <w:rsid w:val="00556C9F"/>
    <w:rsid w:val="005602F6"/>
    <w:rsid w:val="0056106A"/>
    <w:rsid w:val="00563088"/>
    <w:rsid w:val="005640F8"/>
    <w:rsid w:val="005643D4"/>
    <w:rsid w:val="00566634"/>
    <w:rsid w:val="005707FA"/>
    <w:rsid w:val="005720AE"/>
    <w:rsid w:val="005739A3"/>
    <w:rsid w:val="00573E38"/>
    <w:rsid w:val="00574557"/>
    <w:rsid w:val="0057657A"/>
    <w:rsid w:val="00577ADD"/>
    <w:rsid w:val="005802D9"/>
    <w:rsid w:val="005812C9"/>
    <w:rsid w:val="00583720"/>
    <w:rsid w:val="0058386E"/>
    <w:rsid w:val="00584ED8"/>
    <w:rsid w:val="005856EA"/>
    <w:rsid w:val="00585AEF"/>
    <w:rsid w:val="005861E1"/>
    <w:rsid w:val="00586F3F"/>
    <w:rsid w:val="005901F9"/>
    <w:rsid w:val="005948F3"/>
    <w:rsid w:val="00594CDD"/>
    <w:rsid w:val="00594D77"/>
    <w:rsid w:val="005951FE"/>
    <w:rsid w:val="00595534"/>
    <w:rsid w:val="00595DC3"/>
    <w:rsid w:val="0059628F"/>
    <w:rsid w:val="0059668A"/>
    <w:rsid w:val="005969E4"/>
    <w:rsid w:val="00597B66"/>
    <w:rsid w:val="005A0380"/>
    <w:rsid w:val="005A06B7"/>
    <w:rsid w:val="005A0DB8"/>
    <w:rsid w:val="005A1759"/>
    <w:rsid w:val="005A2625"/>
    <w:rsid w:val="005A3274"/>
    <w:rsid w:val="005A3BDF"/>
    <w:rsid w:val="005A49CD"/>
    <w:rsid w:val="005A4E5B"/>
    <w:rsid w:val="005A68A7"/>
    <w:rsid w:val="005A6D14"/>
    <w:rsid w:val="005B0373"/>
    <w:rsid w:val="005B1268"/>
    <w:rsid w:val="005B17ED"/>
    <w:rsid w:val="005B2607"/>
    <w:rsid w:val="005B28A9"/>
    <w:rsid w:val="005B32B0"/>
    <w:rsid w:val="005B7648"/>
    <w:rsid w:val="005B7879"/>
    <w:rsid w:val="005B7D71"/>
    <w:rsid w:val="005C088A"/>
    <w:rsid w:val="005C1927"/>
    <w:rsid w:val="005C1967"/>
    <w:rsid w:val="005C2593"/>
    <w:rsid w:val="005C4A4B"/>
    <w:rsid w:val="005D104B"/>
    <w:rsid w:val="005D1E82"/>
    <w:rsid w:val="005D36AB"/>
    <w:rsid w:val="005D45AE"/>
    <w:rsid w:val="005D55D2"/>
    <w:rsid w:val="005D5B22"/>
    <w:rsid w:val="005D7253"/>
    <w:rsid w:val="005E012F"/>
    <w:rsid w:val="005E0449"/>
    <w:rsid w:val="005E090F"/>
    <w:rsid w:val="005E0BD9"/>
    <w:rsid w:val="005E2728"/>
    <w:rsid w:val="005E2CFD"/>
    <w:rsid w:val="005E2E2A"/>
    <w:rsid w:val="005E424B"/>
    <w:rsid w:val="005E4909"/>
    <w:rsid w:val="005E548E"/>
    <w:rsid w:val="005E6C51"/>
    <w:rsid w:val="005E6FE8"/>
    <w:rsid w:val="005F0951"/>
    <w:rsid w:val="005F0DA1"/>
    <w:rsid w:val="005F262D"/>
    <w:rsid w:val="005F5866"/>
    <w:rsid w:val="005F598F"/>
    <w:rsid w:val="006013C1"/>
    <w:rsid w:val="00601C2A"/>
    <w:rsid w:val="00603584"/>
    <w:rsid w:val="006039A3"/>
    <w:rsid w:val="006040FC"/>
    <w:rsid w:val="006046A4"/>
    <w:rsid w:val="0060483A"/>
    <w:rsid w:val="0060535F"/>
    <w:rsid w:val="00607631"/>
    <w:rsid w:val="00607832"/>
    <w:rsid w:val="0060792A"/>
    <w:rsid w:val="0061030F"/>
    <w:rsid w:val="00610583"/>
    <w:rsid w:val="00610634"/>
    <w:rsid w:val="00610EEC"/>
    <w:rsid w:val="00612637"/>
    <w:rsid w:val="00613C88"/>
    <w:rsid w:val="00613F33"/>
    <w:rsid w:val="00614E1B"/>
    <w:rsid w:val="00617B89"/>
    <w:rsid w:val="00617CC3"/>
    <w:rsid w:val="00620561"/>
    <w:rsid w:val="0062197C"/>
    <w:rsid w:val="006241B1"/>
    <w:rsid w:val="00624543"/>
    <w:rsid w:val="00625B57"/>
    <w:rsid w:val="00626193"/>
    <w:rsid w:val="006311B2"/>
    <w:rsid w:val="00634E42"/>
    <w:rsid w:val="00634FDA"/>
    <w:rsid w:val="00635074"/>
    <w:rsid w:val="00635864"/>
    <w:rsid w:val="00635E8B"/>
    <w:rsid w:val="00636AC0"/>
    <w:rsid w:val="006377A6"/>
    <w:rsid w:val="00637A2B"/>
    <w:rsid w:val="00637A3D"/>
    <w:rsid w:val="00640426"/>
    <w:rsid w:val="00640FD7"/>
    <w:rsid w:val="006410A3"/>
    <w:rsid w:val="006411EF"/>
    <w:rsid w:val="0064167F"/>
    <w:rsid w:val="00642583"/>
    <w:rsid w:val="006425CB"/>
    <w:rsid w:val="0064270B"/>
    <w:rsid w:val="00645170"/>
    <w:rsid w:val="00645B68"/>
    <w:rsid w:val="00645CBA"/>
    <w:rsid w:val="00645FCE"/>
    <w:rsid w:val="006504D0"/>
    <w:rsid w:val="00650F3B"/>
    <w:rsid w:val="0065117C"/>
    <w:rsid w:val="00652D25"/>
    <w:rsid w:val="0065420A"/>
    <w:rsid w:val="0065522F"/>
    <w:rsid w:val="0065585F"/>
    <w:rsid w:val="00656274"/>
    <w:rsid w:val="00656392"/>
    <w:rsid w:val="00656A33"/>
    <w:rsid w:val="00660F9E"/>
    <w:rsid w:val="006624CB"/>
    <w:rsid w:val="00662C61"/>
    <w:rsid w:val="00664CBA"/>
    <w:rsid w:val="00666324"/>
    <w:rsid w:val="0066744D"/>
    <w:rsid w:val="00667781"/>
    <w:rsid w:val="00667C05"/>
    <w:rsid w:val="0067357F"/>
    <w:rsid w:val="00674695"/>
    <w:rsid w:val="006748B8"/>
    <w:rsid w:val="00675989"/>
    <w:rsid w:val="00676370"/>
    <w:rsid w:val="00676557"/>
    <w:rsid w:val="006775C3"/>
    <w:rsid w:val="006823B4"/>
    <w:rsid w:val="00682B08"/>
    <w:rsid w:val="00683BDB"/>
    <w:rsid w:val="006848E6"/>
    <w:rsid w:val="00684BC1"/>
    <w:rsid w:val="006856C5"/>
    <w:rsid w:val="00685AD8"/>
    <w:rsid w:val="00685CE5"/>
    <w:rsid w:val="00685E48"/>
    <w:rsid w:val="00686ADB"/>
    <w:rsid w:val="00690D23"/>
    <w:rsid w:val="00691727"/>
    <w:rsid w:val="0069290A"/>
    <w:rsid w:val="00692BCE"/>
    <w:rsid w:val="00696B13"/>
    <w:rsid w:val="0069775A"/>
    <w:rsid w:val="00697813"/>
    <w:rsid w:val="00697DB6"/>
    <w:rsid w:val="006A0F12"/>
    <w:rsid w:val="006A1083"/>
    <w:rsid w:val="006A15EB"/>
    <w:rsid w:val="006A1BF2"/>
    <w:rsid w:val="006A2C60"/>
    <w:rsid w:val="006A2CBC"/>
    <w:rsid w:val="006A3EE8"/>
    <w:rsid w:val="006A3EFB"/>
    <w:rsid w:val="006A407A"/>
    <w:rsid w:val="006A48A9"/>
    <w:rsid w:val="006A6142"/>
    <w:rsid w:val="006A6FB9"/>
    <w:rsid w:val="006A72BF"/>
    <w:rsid w:val="006A7FC6"/>
    <w:rsid w:val="006B03F2"/>
    <w:rsid w:val="006B06D0"/>
    <w:rsid w:val="006B0F06"/>
    <w:rsid w:val="006B14F9"/>
    <w:rsid w:val="006B27B1"/>
    <w:rsid w:val="006B37DC"/>
    <w:rsid w:val="006B4DD0"/>
    <w:rsid w:val="006B4F68"/>
    <w:rsid w:val="006B50FF"/>
    <w:rsid w:val="006B5F90"/>
    <w:rsid w:val="006B7FAA"/>
    <w:rsid w:val="006C0592"/>
    <w:rsid w:val="006C1549"/>
    <w:rsid w:val="006C272E"/>
    <w:rsid w:val="006C3E3D"/>
    <w:rsid w:val="006C5479"/>
    <w:rsid w:val="006C69E6"/>
    <w:rsid w:val="006D0B35"/>
    <w:rsid w:val="006D13B5"/>
    <w:rsid w:val="006D3C38"/>
    <w:rsid w:val="006D4A35"/>
    <w:rsid w:val="006D4C7A"/>
    <w:rsid w:val="006D6F1B"/>
    <w:rsid w:val="006E06B4"/>
    <w:rsid w:val="006E0C11"/>
    <w:rsid w:val="006E12FF"/>
    <w:rsid w:val="006E21FD"/>
    <w:rsid w:val="006E2352"/>
    <w:rsid w:val="006E36E1"/>
    <w:rsid w:val="006E3D40"/>
    <w:rsid w:val="006E5BC7"/>
    <w:rsid w:val="006E5ECE"/>
    <w:rsid w:val="006E607E"/>
    <w:rsid w:val="006E7EBD"/>
    <w:rsid w:val="006F1571"/>
    <w:rsid w:val="006F2CD0"/>
    <w:rsid w:val="006F2D71"/>
    <w:rsid w:val="006F4250"/>
    <w:rsid w:val="006F44B1"/>
    <w:rsid w:val="006F5500"/>
    <w:rsid w:val="006F6A8C"/>
    <w:rsid w:val="006F6DA3"/>
    <w:rsid w:val="007009C3"/>
    <w:rsid w:val="00700D1E"/>
    <w:rsid w:val="007024ED"/>
    <w:rsid w:val="007037F7"/>
    <w:rsid w:val="00703A0C"/>
    <w:rsid w:val="00703CFC"/>
    <w:rsid w:val="007043F2"/>
    <w:rsid w:val="00706AC9"/>
    <w:rsid w:val="00706ADE"/>
    <w:rsid w:val="00706C5D"/>
    <w:rsid w:val="00707961"/>
    <w:rsid w:val="00711D44"/>
    <w:rsid w:val="00711DE7"/>
    <w:rsid w:val="00713388"/>
    <w:rsid w:val="007158A1"/>
    <w:rsid w:val="00715CAE"/>
    <w:rsid w:val="00716D09"/>
    <w:rsid w:val="0072396D"/>
    <w:rsid w:val="007243D3"/>
    <w:rsid w:val="0072624E"/>
    <w:rsid w:val="00726A03"/>
    <w:rsid w:val="00726BFC"/>
    <w:rsid w:val="00731210"/>
    <w:rsid w:val="00731419"/>
    <w:rsid w:val="00732922"/>
    <w:rsid w:val="00734BC0"/>
    <w:rsid w:val="00735062"/>
    <w:rsid w:val="00737F51"/>
    <w:rsid w:val="007411E7"/>
    <w:rsid w:val="007418DF"/>
    <w:rsid w:val="007422F0"/>
    <w:rsid w:val="00742E68"/>
    <w:rsid w:val="00742EFA"/>
    <w:rsid w:val="007451A5"/>
    <w:rsid w:val="007456CF"/>
    <w:rsid w:val="00746096"/>
    <w:rsid w:val="00747CDE"/>
    <w:rsid w:val="00751384"/>
    <w:rsid w:val="0075162E"/>
    <w:rsid w:val="00753DA2"/>
    <w:rsid w:val="00754034"/>
    <w:rsid w:val="00755694"/>
    <w:rsid w:val="00755AAD"/>
    <w:rsid w:val="0075600B"/>
    <w:rsid w:val="00756071"/>
    <w:rsid w:val="007560F8"/>
    <w:rsid w:val="00756556"/>
    <w:rsid w:val="007566AC"/>
    <w:rsid w:val="00756F96"/>
    <w:rsid w:val="00757F68"/>
    <w:rsid w:val="00757FA1"/>
    <w:rsid w:val="007618C4"/>
    <w:rsid w:val="0076191B"/>
    <w:rsid w:val="0076221B"/>
    <w:rsid w:val="007627EF"/>
    <w:rsid w:val="00763814"/>
    <w:rsid w:val="007640A0"/>
    <w:rsid w:val="00764824"/>
    <w:rsid w:val="00765B8E"/>
    <w:rsid w:val="00765D01"/>
    <w:rsid w:val="007673BB"/>
    <w:rsid w:val="00767980"/>
    <w:rsid w:val="007707EE"/>
    <w:rsid w:val="00770B19"/>
    <w:rsid w:val="00774187"/>
    <w:rsid w:val="00774625"/>
    <w:rsid w:val="0077463F"/>
    <w:rsid w:val="007769D2"/>
    <w:rsid w:val="00780F6D"/>
    <w:rsid w:val="007836EA"/>
    <w:rsid w:val="00783EF2"/>
    <w:rsid w:val="00784CDA"/>
    <w:rsid w:val="00786B74"/>
    <w:rsid w:val="00786CF0"/>
    <w:rsid w:val="007870C6"/>
    <w:rsid w:val="007870E9"/>
    <w:rsid w:val="007879C9"/>
    <w:rsid w:val="007906C4"/>
    <w:rsid w:val="00790C79"/>
    <w:rsid w:val="00792DAF"/>
    <w:rsid w:val="007940EA"/>
    <w:rsid w:val="007958B0"/>
    <w:rsid w:val="007961CD"/>
    <w:rsid w:val="007967E8"/>
    <w:rsid w:val="00796928"/>
    <w:rsid w:val="007A0190"/>
    <w:rsid w:val="007A09FD"/>
    <w:rsid w:val="007A2170"/>
    <w:rsid w:val="007A22BF"/>
    <w:rsid w:val="007A3323"/>
    <w:rsid w:val="007A5837"/>
    <w:rsid w:val="007A5C25"/>
    <w:rsid w:val="007A749E"/>
    <w:rsid w:val="007B173F"/>
    <w:rsid w:val="007B2E60"/>
    <w:rsid w:val="007B4C33"/>
    <w:rsid w:val="007B5CE3"/>
    <w:rsid w:val="007B72B8"/>
    <w:rsid w:val="007B7A58"/>
    <w:rsid w:val="007C0629"/>
    <w:rsid w:val="007C11C2"/>
    <w:rsid w:val="007C21B5"/>
    <w:rsid w:val="007C2772"/>
    <w:rsid w:val="007C3522"/>
    <w:rsid w:val="007C5788"/>
    <w:rsid w:val="007C6AFD"/>
    <w:rsid w:val="007C6DF4"/>
    <w:rsid w:val="007D019A"/>
    <w:rsid w:val="007D04A0"/>
    <w:rsid w:val="007D190D"/>
    <w:rsid w:val="007D2BC2"/>
    <w:rsid w:val="007D3AE5"/>
    <w:rsid w:val="007D4C4F"/>
    <w:rsid w:val="007D768B"/>
    <w:rsid w:val="007D7DD5"/>
    <w:rsid w:val="007E03E1"/>
    <w:rsid w:val="007E1F30"/>
    <w:rsid w:val="007E46B0"/>
    <w:rsid w:val="007E4BD2"/>
    <w:rsid w:val="007E6F57"/>
    <w:rsid w:val="007E7386"/>
    <w:rsid w:val="007F0502"/>
    <w:rsid w:val="007F0B6A"/>
    <w:rsid w:val="007F2E1F"/>
    <w:rsid w:val="007F3712"/>
    <w:rsid w:val="007F4266"/>
    <w:rsid w:val="007F58BB"/>
    <w:rsid w:val="007F626D"/>
    <w:rsid w:val="007F74D9"/>
    <w:rsid w:val="008012E5"/>
    <w:rsid w:val="00801393"/>
    <w:rsid w:val="00801AE7"/>
    <w:rsid w:val="00801BE8"/>
    <w:rsid w:val="00802F88"/>
    <w:rsid w:val="00803254"/>
    <w:rsid w:val="008036D5"/>
    <w:rsid w:val="00803CC6"/>
    <w:rsid w:val="008053DB"/>
    <w:rsid w:val="00805547"/>
    <w:rsid w:val="00805949"/>
    <w:rsid w:val="00805F76"/>
    <w:rsid w:val="00806413"/>
    <w:rsid w:val="008077DE"/>
    <w:rsid w:val="0081293B"/>
    <w:rsid w:val="0081293E"/>
    <w:rsid w:val="00813CFF"/>
    <w:rsid w:val="00814693"/>
    <w:rsid w:val="00815465"/>
    <w:rsid w:val="00817314"/>
    <w:rsid w:val="00817A1D"/>
    <w:rsid w:val="00817E9A"/>
    <w:rsid w:val="00820197"/>
    <w:rsid w:val="0082044F"/>
    <w:rsid w:val="00823A1D"/>
    <w:rsid w:val="00824A4B"/>
    <w:rsid w:val="00824C19"/>
    <w:rsid w:val="00826032"/>
    <w:rsid w:val="008271B0"/>
    <w:rsid w:val="00827AEA"/>
    <w:rsid w:val="008306BD"/>
    <w:rsid w:val="00831A80"/>
    <w:rsid w:val="00833743"/>
    <w:rsid w:val="00833B57"/>
    <w:rsid w:val="00834099"/>
    <w:rsid w:val="008340A4"/>
    <w:rsid w:val="0083799C"/>
    <w:rsid w:val="0084296F"/>
    <w:rsid w:val="00842BAB"/>
    <w:rsid w:val="008435BF"/>
    <w:rsid w:val="00843D3C"/>
    <w:rsid w:val="00844C86"/>
    <w:rsid w:val="0084563D"/>
    <w:rsid w:val="00845C72"/>
    <w:rsid w:val="008476D4"/>
    <w:rsid w:val="00851F2D"/>
    <w:rsid w:val="008539DB"/>
    <w:rsid w:val="008543B4"/>
    <w:rsid w:val="00854A8B"/>
    <w:rsid w:val="00856D23"/>
    <w:rsid w:val="0086193A"/>
    <w:rsid w:val="00865A1A"/>
    <w:rsid w:val="00866712"/>
    <w:rsid w:val="008703CD"/>
    <w:rsid w:val="0087135F"/>
    <w:rsid w:val="00872D94"/>
    <w:rsid w:val="00874F0E"/>
    <w:rsid w:val="0087700F"/>
    <w:rsid w:val="00877EF2"/>
    <w:rsid w:val="00880106"/>
    <w:rsid w:val="0088018F"/>
    <w:rsid w:val="00880364"/>
    <w:rsid w:val="0088047C"/>
    <w:rsid w:val="00880A8B"/>
    <w:rsid w:val="00881208"/>
    <w:rsid w:val="00884476"/>
    <w:rsid w:val="0088621F"/>
    <w:rsid w:val="00886A11"/>
    <w:rsid w:val="00887880"/>
    <w:rsid w:val="00891592"/>
    <w:rsid w:val="00891E9E"/>
    <w:rsid w:val="008921F0"/>
    <w:rsid w:val="008928FC"/>
    <w:rsid w:val="00893DA9"/>
    <w:rsid w:val="00894C3F"/>
    <w:rsid w:val="00894D7A"/>
    <w:rsid w:val="008975F2"/>
    <w:rsid w:val="00897DB4"/>
    <w:rsid w:val="008A1D41"/>
    <w:rsid w:val="008A239E"/>
    <w:rsid w:val="008A2F68"/>
    <w:rsid w:val="008A3B2F"/>
    <w:rsid w:val="008A541A"/>
    <w:rsid w:val="008A58C7"/>
    <w:rsid w:val="008A6197"/>
    <w:rsid w:val="008A68A7"/>
    <w:rsid w:val="008A6FA3"/>
    <w:rsid w:val="008A73A5"/>
    <w:rsid w:val="008B45C2"/>
    <w:rsid w:val="008B4FA6"/>
    <w:rsid w:val="008B5282"/>
    <w:rsid w:val="008B6DD4"/>
    <w:rsid w:val="008B711D"/>
    <w:rsid w:val="008B7C17"/>
    <w:rsid w:val="008C0ED1"/>
    <w:rsid w:val="008C0FFC"/>
    <w:rsid w:val="008C2C95"/>
    <w:rsid w:val="008C2D01"/>
    <w:rsid w:val="008C2D42"/>
    <w:rsid w:val="008C40E6"/>
    <w:rsid w:val="008C4DA1"/>
    <w:rsid w:val="008C5C10"/>
    <w:rsid w:val="008C5DB0"/>
    <w:rsid w:val="008C6348"/>
    <w:rsid w:val="008C7706"/>
    <w:rsid w:val="008D0098"/>
    <w:rsid w:val="008D0F7A"/>
    <w:rsid w:val="008D24B4"/>
    <w:rsid w:val="008D2669"/>
    <w:rsid w:val="008D305C"/>
    <w:rsid w:val="008D3522"/>
    <w:rsid w:val="008D47FB"/>
    <w:rsid w:val="008D50B6"/>
    <w:rsid w:val="008D5EE1"/>
    <w:rsid w:val="008D6887"/>
    <w:rsid w:val="008D68E4"/>
    <w:rsid w:val="008E0506"/>
    <w:rsid w:val="008E0CFF"/>
    <w:rsid w:val="008E4897"/>
    <w:rsid w:val="008E58F5"/>
    <w:rsid w:val="008E5D6B"/>
    <w:rsid w:val="008E7206"/>
    <w:rsid w:val="008E76F0"/>
    <w:rsid w:val="008F15FE"/>
    <w:rsid w:val="008F1974"/>
    <w:rsid w:val="008F2D29"/>
    <w:rsid w:val="008F3ED7"/>
    <w:rsid w:val="008F4E79"/>
    <w:rsid w:val="008F5187"/>
    <w:rsid w:val="008F5E0B"/>
    <w:rsid w:val="008F60D8"/>
    <w:rsid w:val="009012ED"/>
    <w:rsid w:val="009015DE"/>
    <w:rsid w:val="00902727"/>
    <w:rsid w:val="00902E83"/>
    <w:rsid w:val="0090312B"/>
    <w:rsid w:val="00906848"/>
    <w:rsid w:val="00912DF7"/>
    <w:rsid w:val="009154A1"/>
    <w:rsid w:val="0091722A"/>
    <w:rsid w:val="0091736D"/>
    <w:rsid w:val="00917D82"/>
    <w:rsid w:val="00917EB3"/>
    <w:rsid w:val="009213E2"/>
    <w:rsid w:val="00922CFF"/>
    <w:rsid w:val="00923901"/>
    <w:rsid w:val="009250B5"/>
    <w:rsid w:val="009259F7"/>
    <w:rsid w:val="00925E57"/>
    <w:rsid w:val="00926021"/>
    <w:rsid w:val="009300AE"/>
    <w:rsid w:val="0093037A"/>
    <w:rsid w:val="00930B33"/>
    <w:rsid w:val="009326A2"/>
    <w:rsid w:val="0093359B"/>
    <w:rsid w:val="00936D35"/>
    <w:rsid w:val="00937FE4"/>
    <w:rsid w:val="009402B3"/>
    <w:rsid w:val="00940368"/>
    <w:rsid w:val="009405BC"/>
    <w:rsid w:val="00940A22"/>
    <w:rsid w:val="0094154D"/>
    <w:rsid w:val="00941587"/>
    <w:rsid w:val="00942B0B"/>
    <w:rsid w:val="009440EC"/>
    <w:rsid w:val="00946ECA"/>
    <w:rsid w:val="00947E4E"/>
    <w:rsid w:val="009501E1"/>
    <w:rsid w:val="0095155F"/>
    <w:rsid w:val="00951DEF"/>
    <w:rsid w:val="009526E1"/>
    <w:rsid w:val="0095279C"/>
    <w:rsid w:val="00952CAA"/>
    <w:rsid w:val="00953344"/>
    <w:rsid w:val="00953D74"/>
    <w:rsid w:val="00954022"/>
    <w:rsid w:val="00954429"/>
    <w:rsid w:val="00954CFC"/>
    <w:rsid w:val="00954E56"/>
    <w:rsid w:val="009563CE"/>
    <w:rsid w:val="0095729C"/>
    <w:rsid w:val="00964877"/>
    <w:rsid w:val="00964C10"/>
    <w:rsid w:val="00965F27"/>
    <w:rsid w:val="009665C6"/>
    <w:rsid w:val="00967378"/>
    <w:rsid w:val="009679C6"/>
    <w:rsid w:val="009736B1"/>
    <w:rsid w:val="0097399F"/>
    <w:rsid w:val="0097547C"/>
    <w:rsid w:val="009754EC"/>
    <w:rsid w:val="00976328"/>
    <w:rsid w:val="0097680D"/>
    <w:rsid w:val="00977B78"/>
    <w:rsid w:val="00977F15"/>
    <w:rsid w:val="009800D3"/>
    <w:rsid w:val="00980F9C"/>
    <w:rsid w:val="00981A2D"/>
    <w:rsid w:val="009821C3"/>
    <w:rsid w:val="00982438"/>
    <w:rsid w:val="00982682"/>
    <w:rsid w:val="00982E2D"/>
    <w:rsid w:val="009830C6"/>
    <w:rsid w:val="009833E2"/>
    <w:rsid w:val="009836EE"/>
    <w:rsid w:val="0098404C"/>
    <w:rsid w:val="009841E8"/>
    <w:rsid w:val="00984B0C"/>
    <w:rsid w:val="00984D24"/>
    <w:rsid w:val="0098518D"/>
    <w:rsid w:val="00985283"/>
    <w:rsid w:val="009857AF"/>
    <w:rsid w:val="00985E34"/>
    <w:rsid w:val="0098728A"/>
    <w:rsid w:val="009872BC"/>
    <w:rsid w:val="009879E9"/>
    <w:rsid w:val="00990F82"/>
    <w:rsid w:val="00991B24"/>
    <w:rsid w:val="00992572"/>
    <w:rsid w:val="009957A6"/>
    <w:rsid w:val="00995992"/>
    <w:rsid w:val="00997107"/>
    <w:rsid w:val="009A01C0"/>
    <w:rsid w:val="009A03E5"/>
    <w:rsid w:val="009A0F3B"/>
    <w:rsid w:val="009A19AE"/>
    <w:rsid w:val="009A1BB4"/>
    <w:rsid w:val="009A2036"/>
    <w:rsid w:val="009A21D0"/>
    <w:rsid w:val="009A2551"/>
    <w:rsid w:val="009A2628"/>
    <w:rsid w:val="009A3200"/>
    <w:rsid w:val="009A333B"/>
    <w:rsid w:val="009A35BD"/>
    <w:rsid w:val="009A5287"/>
    <w:rsid w:val="009A74C5"/>
    <w:rsid w:val="009A7E54"/>
    <w:rsid w:val="009B000A"/>
    <w:rsid w:val="009B0897"/>
    <w:rsid w:val="009B0AA2"/>
    <w:rsid w:val="009B2DFA"/>
    <w:rsid w:val="009B4782"/>
    <w:rsid w:val="009B745E"/>
    <w:rsid w:val="009B745F"/>
    <w:rsid w:val="009B7BD9"/>
    <w:rsid w:val="009B7F29"/>
    <w:rsid w:val="009C031A"/>
    <w:rsid w:val="009C05A4"/>
    <w:rsid w:val="009C39A2"/>
    <w:rsid w:val="009C3C24"/>
    <w:rsid w:val="009C3D72"/>
    <w:rsid w:val="009C48E4"/>
    <w:rsid w:val="009C4E8B"/>
    <w:rsid w:val="009C5ADA"/>
    <w:rsid w:val="009C62BA"/>
    <w:rsid w:val="009C630D"/>
    <w:rsid w:val="009C6736"/>
    <w:rsid w:val="009C6AE9"/>
    <w:rsid w:val="009C7DD5"/>
    <w:rsid w:val="009D1990"/>
    <w:rsid w:val="009D246B"/>
    <w:rsid w:val="009E195B"/>
    <w:rsid w:val="009E1CCC"/>
    <w:rsid w:val="009E227D"/>
    <w:rsid w:val="009E492B"/>
    <w:rsid w:val="009E5019"/>
    <w:rsid w:val="009E780F"/>
    <w:rsid w:val="009F052D"/>
    <w:rsid w:val="009F0A5A"/>
    <w:rsid w:val="009F2C4A"/>
    <w:rsid w:val="009F33F7"/>
    <w:rsid w:val="009F547D"/>
    <w:rsid w:val="009F5603"/>
    <w:rsid w:val="009F6E69"/>
    <w:rsid w:val="00A02621"/>
    <w:rsid w:val="00A0359F"/>
    <w:rsid w:val="00A03E3B"/>
    <w:rsid w:val="00A03F8E"/>
    <w:rsid w:val="00A04F1B"/>
    <w:rsid w:val="00A0501B"/>
    <w:rsid w:val="00A0792F"/>
    <w:rsid w:val="00A07F02"/>
    <w:rsid w:val="00A07F19"/>
    <w:rsid w:val="00A111E6"/>
    <w:rsid w:val="00A1231F"/>
    <w:rsid w:val="00A13E5C"/>
    <w:rsid w:val="00A14848"/>
    <w:rsid w:val="00A14947"/>
    <w:rsid w:val="00A15357"/>
    <w:rsid w:val="00A156E2"/>
    <w:rsid w:val="00A162F0"/>
    <w:rsid w:val="00A16759"/>
    <w:rsid w:val="00A2051C"/>
    <w:rsid w:val="00A22880"/>
    <w:rsid w:val="00A24C60"/>
    <w:rsid w:val="00A24CF3"/>
    <w:rsid w:val="00A30517"/>
    <w:rsid w:val="00A30EC8"/>
    <w:rsid w:val="00A31CEA"/>
    <w:rsid w:val="00A31D19"/>
    <w:rsid w:val="00A32A83"/>
    <w:rsid w:val="00A32FBE"/>
    <w:rsid w:val="00A34544"/>
    <w:rsid w:val="00A3492A"/>
    <w:rsid w:val="00A368AD"/>
    <w:rsid w:val="00A368DB"/>
    <w:rsid w:val="00A37C62"/>
    <w:rsid w:val="00A42048"/>
    <w:rsid w:val="00A421EE"/>
    <w:rsid w:val="00A423AA"/>
    <w:rsid w:val="00A43375"/>
    <w:rsid w:val="00A44325"/>
    <w:rsid w:val="00A4463D"/>
    <w:rsid w:val="00A4564D"/>
    <w:rsid w:val="00A45DA6"/>
    <w:rsid w:val="00A519F6"/>
    <w:rsid w:val="00A51B04"/>
    <w:rsid w:val="00A52391"/>
    <w:rsid w:val="00A53EC6"/>
    <w:rsid w:val="00A555A3"/>
    <w:rsid w:val="00A55C0F"/>
    <w:rsid w:val="00A57F10"/>
    <w:rsid w:val="00A607E6"/>
    <w:rsid w:val="00A60A3E"/>
    <w:rsid w:val="00A612B7"/>
    <w:rsid w:val="00A62212"/>
    <w:rsid w:val="00A63198"/>
    <w:rsid w:val="00A64D02"/>
    <w:rsid w:val="00A655DA"/>
    <w:rsid w:val="00A65C8B"/>
    <w:rsid w:val="00A65EDD"/>
    <w:rsid w:val="00A6629C"/>
    <w:rsid w:val="00A66E99"/>
    <w:rsid w:val="00A67E7A"/>
    <w:rsid w:val="00A72DFD"/>
    <w:rsid w:val="00A73411"/>
    <w:rsid w:val="00A734E5"/>
    <w:rsid w:val="00A7382C"/>
    <w:rsid w:val="00A73B0B"/>
    <w:rsid w:val="00A740C7"/>
    <w:rsid w:val="00A74483"/>
    <w:rsid w:val="00A7486F"/>
    <w:rsid w:val="00A749BA"/>
    <w:rsid w:val="00A74A68"/>
    <w:rsid w:val="00A75846"/>
    <w:rsid w:val="00A7646D"/>
    <w:rsid w:val="00A77E2D"/>
    <w:rsid w:val="00A80042"/>
    <w:rsid w:val="00A80F0E"/>
    <w:rsid w:val="00A818FA"/>
    <w:rsid w:val="00A836B2"/>
    <w:rsid w:val="00A843FE"/>
    <w:rsid w:val="00A84E00"/>
    <w:rsid w:val="00A86318"/>
    <w:rsid w:val="00A870A2"/>
    <w:rsid w:val="00A8713F"/>
    <w:rsid w:val="00A87389"/>
    <w:rsid w:val="00A90BA1"/>
    <w:rsid w:val="00A91538"/>
    <w:rsid w:val="00A9249C"/>
    <w:rsid w:val="00A9251C"/>
    <w:rsid w:val="00A92DE6"/>
    <w:rsid w:val="00A932EF"/>
    <w:rsid w:val="00A9378D"/>
    <w:rsid w:val="00A9429F"/>
    <w:rsid w:val="00A95A3E"/>
    <w:rsid w:val="00A968E2"/>
    <w:rsid w:val="00A97A9A"/>
    <w:rsid w:val="00AA0671"/>
    <w:rsid w:val="00AA0AE8"/>
    <w:rsid w:val="00AA0D46"/>
    <w:rsid w:val="00AA2531"/>
    <w:rsid w:val="00AA2635"/>
    <w:rsid w:val="00AA623D"/>
    <w:rsid w:val="00AA664B"/>
    <w:rsid w:val="00AA7163"/>
    <w:rsid w:val="00AB060F"/>
    <w:rsid w:val="00AB137B"/>
    <w:rsid w:val="00AB1484"/>
    <w:rsid w:val="00AB1786"/>
    <w:rsid w:val="00AB1E09"/>
    <w:rsid w:val="00AB2467"/>
    <w:rsid w:val="00AB5124"/>
    <w:rsid w:val="00AB5330"/>
    <w:rsid w:val="00AB5C00"/>
    <w:rsid w:val="00AB71B9"/>
    <w:rsid w:val="00AB7747"/>
    <w:rsid w:val="00AB7777"/>
    <w:rsid w:val="00AC074A"/>
    <w:rsid w:val="00AC0F68"/>
    <w:rsid w:val="00AC128C"/>
    <w:rsid w:val="00AC14CE"/>
    <w:rsid w:val="00AC2A56"/>
    <w:rsid w:val="00AC2AB1"/>
    <w:rsid w:val="00AC2C1D"/>
    <w:rsid w:val="00AC3A14"/>
    <w:rsid w:val="00AC466C"/>
    <w:rsid w:val="00AD055E"/>
    <w:rsid w:val="00AD06E1"/>
    <w:rsid w:val="00AD0BCC"/>
    <w:rsid w:val="00AD147D"/>
    <w:rsid w:val="00AD47A7"/>
    <w:rsid w:val="00AD5416"/>
    <w:rsid w:val="00AD6378"/>
    <w:rsid w:val="00AE0296"/>
    <w:rsid w:val="00AE1787"/>
    <w:rsid w:val="00AE2BA5"/>
    <w:rsid w:val="00AE32B5"/>
    <w:rsid w:val="00AE3E2B"/>
    <w:rsid w:val="00AE4094"/>
    <w:rsid w:val="00AE5C4B"/>
    <w:rsid w:val="00AF0CBF"/>
    <w:rsid w:val="00AF0EFD"/>
    <w:rsid w:val="00AF257F"/>
    <w:rsid w:val="00AF27A1"/>
    <w:rsid w:val="00AF33CF"/>
    <w:rsid w:val="00AF3F2F"/>
    <w:rsid w:val="00AF4C39"/>
    <w:rsid w:val="00AF4CC2"/>
    <w:rsid w:val="00AF4D50"/>
    <w:rsid w:val="00AF4DB0"/>
    <w:rsid w:val="00AF569A"/>
    <w:rsid w:val="00AF5FAD"/>
    <w:rsid w:val="00AF6179"/>
    <w:rsid w:val="00AF7E42"/>
    <w:rsid w:val="00B00DA5"/>
    <w:rsid w:val="00B00DCF"/>
    <w:rsid w:val="00B013B9"/>
    <w:rsid w:val="00B03918"/>
    <w:rsid w:val="00B06CCE"/>
    <w:rsid w:val="00B11038"/>
    <w:rsid w:val="00B115D3"/>
    <w:rsid w:val="00B117BD"/>
    <w:rsid w:val="00B11CC4"/>
    <w:rsid w:val="00B123A7"/>
    <w:rsid w:val="00B1295A"/>
    <w:rsid w:val="00B12B1A"/>
    <w:rsid w:val="00B13992"/>
    <w:rsid w:val="00B14BAA"/>
    <w:rsid w:val="00B16E46"/>
    <w:rsid w:val="00B171A6"/>
    <w:rsid w:val="00B20A45"/>
    <w:rsid w:val="00B20BDD"/>
    <w:rsid w:val="00B221AE"/>
    <w:rsid w:val="00B22C5C"/>
    <w:rsid w:val="00B23D0A"/>
    <w:rsid w:val="00B24F30"/>
    <w:rsid w:val="00B266A9"/>
    <w:rsid w:val="00B26B9E"/>
    <w:rsid w:val="00B272A2"/>
    <w:rsid w:val="00B31ABF"/>
    <w:rsid w:val="00B33022"/>
    <w:rsid w:val="00B330AC"/>
    <w:rsid w:val="00B33BE3"/>
    <w:rsid w:val="00B33F86"/>
    <w:rsid w:val="00B341D0"/>
    <w:rsid w:val="00B353EC"/>
    <w:rsid w:val="00B35EB2"/>
    <w:rsid w:val="00B36168"/>
    <w:rsid w:val="00B367B3"/>
    <w:rsid w:val="00B40FDD"/>
    <w:rsid w:val="00B4340E"/>
    <w:rsid w:val="00B43598"/>
    <w:rsid w:val="00B445F1"/>
    <w:rsid w:val="00B45249"/>
    <w:rsid w:val="00B45861"/>
    <w:rsid w:val="00B45CF8"/>
    <w:rsid w:val="00B4684C"/>
    <w:rsid w:val="00B46D06"/>
    <w:rsid w:val="00B475CA"/>
    <w:rsid w:val="00B50818"/>
    <w:rsid w:val="00B50DA9"/>
    <w:rsid w:val="00B52690"/>
    <w:rsid w:val="00B53B5D"/>
    <w:rsid w:val="00B54D34"/>
    <w:rsid w:val="00B55242"/>
    <w:rsid w:val="00B561C4"/>
    <w:rsid w:val="00B6037C"/>
    <w:rsid w:val="00B60498"/>
    <w:rsid w:val="00B6055E"/>
    <w:rsid w:val="00B60B22"/>
    <w:rsid w:val="00B612BD"/>
    <w:rsid w:val="00B623F0"/>
    <w:rsid w:val="00B6317D"/>
    <w:rsid w:val="00B63699"/>
    <w:rsid w:val="00B63F3A"/>
    <w:rsid w:val="00B64EEB"/>
    <w:rsid w:val="00B6504C"/>
    <w:rsid w:val="00B6550D"/>
    <w:rsid w:val="00B66CDF"/>
    <w:rsid w:val="00B67D01"/>
    <w:rsid w:val="00B734F3"/>
    <w:rsid w:val="00B73552"/>
    <w:rsid w:val="00B75955"/>
    <w:rsid w:val="00B76490"/>
    <w:rsid w:val="00B76E9C"/>
    <w:rsid w:val="00B7723F"/>
    <w:rsid w:val="00B80534"/>
    <w:rsid w:val="00B80743"/>
    <w:rsid w:val="00B81B22"/>
    <w:rsid w:val="00B81C6C"/>
    <w:rsid w:val="00B826CD"/>
    <w:rsid w:val="00B8433C"/>
    <w:rsid w:val="00B843BB"/>
    <w:rsid w:val="00B84A7A"/>
    <w:rsid w:val="00B85584"/>
    <w:rsid w:val="00B8626F"/>
    <w:rsid w:val="00B87491"/>
    <w:rsid w:val="00B91F6D"/>
    <w:rsid w:val="00B93E04"/>
    <w:rsid w:val="00B969C9"/>
    <w:rsid w:val="00B97CA7"/>
    <w:rsid w:val="00B97FB0"/>
    <w:rsid w:val="00BA117A"/>
    <w:rsid w:val="00BA29E9"/>
    <w:rsid w:val="00BA4DB9"/>
    <w:rsid w:val="00BA5798"/>
    <w:rsid w:val="00BA599C"/>
    <w:rsid w:val="00BA7142"/>
    <w:rsid w:val="00BB1EC2"/>
    <w:rsid w:val="00BB22C4"/>
    <w:rsid w:val="00BB237C"/>
    <w:rsid w:val="00BB272C"/>
    <w:rsid w:val="00BB3A25"/>
    <w:rsid w:val="00BB41A3"/>
    <w:rsid w:val="00BB4628"/>
    <w:rsid w:val="00BB5123"/>
    <w:rsid w:val="00BB5E4F"/>
    <w:rsid w:val="00BB61CF"/>
    <w:rsid w:val="00BB62A0"/>
    <w:rsid w:val="00BB63A5"/>
    <w:rsid w:val="00BB63DF"/>
    <w:rsid w:val="00BB7647"/>
    <w:rsid w:val="00BC01D0"/>
    <w:rsid w:val="00BC1871"/>
    <w:rsid w:val="00BC2B21"/>
    <w:rsid w:val="00BC32DC"/>
    <w:rsid w:val="00BC35B6"/>
    <w:rsid w:val="00BC3A08"/>
    <w:rsid w:val="00BC4D2F"/>
    <w:rsid w:val="00BC7CC8"/>
    <w:rsid w:val="00BD082E"/>
    <w:rsid w:val="00BD16EF"/>
    <w:rsid w:val="00BD1B51"/>
    <w:rsid w:val="00BD3730"/>
    <w:rsid w:val="00BD3985"/>
    <w:rsid w:val="00BD4596"/>
    <w:rsid w:val="00BD7133"/>
    <w:rsid w:val="00BE003D"/>
    <w:rsid w:val="00BE0859"/>
    <w:rsid w:val="00BE1405"/>
    <w:rsid w:val="00BE1743"/>
    <w:rsid w:val="00BE18EF"/>
    <w:rsid w:val="00BE2A4D"/>
    <w:rsid w:val="00BE2A85"/>
    <w:rsid w:val="00BE312D"/>
    <w:rsid w:val="00BE3262"/>
    <w:rsid w:val="00BE5414"/>
    <w:rsid w:val="00BE6421"/>
    <w:rsid w:val="00BE7250"/>
    <w:rsid w:val="00BF0042"/>
    <w:rsid w:val="00BF12C6"/>
    <w:rsid w:val="00BF1C20"/>
    <w:rsid w:val="00BF1D99"/>
    <w:rsid w:val="00BF282B"/>
    <w:rsid w:val="00BF528E"/>
    <w:rsid w:val="00BF53E1"/>
    <w:rsid w:val="00BF5B71"/>
    <w:rsid w:val="00BF6DAD"/>
    <w:rsid w:val="00BF7035"/>
    <w:rsid w:val="00C009DC"/>
    <w:rsid w:val="00C00DD4"/>
    <w:rsid w:val="00C03783"/>
    <w:rsid w:val="00C03982"/>
    <w:rsid w:val="00C039B6"/>
    <w:rsid w:val="00C0743D"/>
    <w:rsid w:val="00C07448"/>
    <w:rsid w:val="00C07982"/>
    <w:rsid w:val="00C10203"/>
    <w:rsid w:val="00C10446"/>
    <w:rsid w:val="00C10578"/>
    <w:rsid w:val="00C128C2"/>
    <w:rsid w:val="00C135BC"/>
    <w:rsid w:val="00C14226"/>
    <w:rsid w:val="00C146D8"/>
    <w:rsid w:val="00C14C2B"/>
    <w:rsid w:val="00C1539D"/>
    <w:rsid w:val="00C15468"/>
    <w:rsid w:val="00C15C95"/>
    <w:rsid w:val="00C164BF"/>
    <w:rsid w:val="00C173F5"/>
    <w:rsid w:val="00C2003F"/>
    <w:rsid w:val="00C22426"/>
    <w:rsid w:val="00C2549E"/>
    <w:rsid w:val="00C2596A"/>
    <w:rsid w:val="00C2725E"/>
    <w:rsid w:val="00C27537"/>
    <w:rsid w:val="00C301B8"/>
    <w:rsid w:val="00C3206B"/>
    <w:rsid w:val="00C328FE"/>
    <w:rsid w:val="00C33507"/>
    <w:rsid w:val="00C33A8B"/>
    <w:rsid w:val="00C34D02"/>
    <w:rsid w:val="00C364BA"/>
    <w:rsid w:val="00C40789"/>
    <w:rsid w:val="00C4108D"/>
    <w:rsid w:val="00C412C9"/>
    <w:rsid w:val="00C41732"/>
    <w:rsid w:val="00C429C8"/>
    <w:rsid w:val="00C43966"/>
    <w:rsid w:val="00C43E01"/>
    <w:rsid w:val="00C4409D"/>
    <w:rsid w:val="00C44DA1"/>
    <w:rsid w:val="00C44E72"/>
    <w:rsid w:val="00C45A06"/>
    <w:rsid w:val="00C45FF4"/>
    <w:rsid w:val="00C47E5B"/>
    <w:rsid w:val="00C5077F"/>
    <w:rsid w:val="00C51720"/>
    <w:rsid w:val="00C5217B"/>
    <w:rsid w:val="00C52E3B"/>
    <w:rsid w:val="00C540B3"/>
    <w:rsid w:val="00C565A0"/>
    <w:rsid w:val="00C56B84"/>
    <w:rsid w:val="00C60A03"/>
    <w:rsid w:val="00C60D5B"/>
    <w:rsid w:val="00C61E4B"/>
    <w:rsid w:val="00C6457F"/>
    <w:rsid w:val="00C64BFF"/>
    <w:rsid w:val="00C64EEE"/>
    <w:rsid w:val="00C65FCD"/>
    <w:rsid w:val="00C67FEA"/>
    <w:rsid w:val="00C7041B"/>
    <w:rsid w:val="00C704E9"/>
    <w:rsid w:val="00C71221"/>
    <w:rsid w:val="00C725EF"/>
    <w:rsid w:val="00C728D2"/>
    <w:rsid w:val="00C72C79"/>
    <w:rsid w:val="00C73419"/>
    <w:rsid w:val="00C763C9"/>
    <w:rsid w:val="00C7643E"/>
    <w:rsid w:val="00C77AE4"/>
    <w:rsid w:val="00C80057"/>
    <w:rsid w:val="00C80D3A"/>
    <w:rsid w:val="00C80DE6"/>
    <w:rsid w:val="00C814D8"/>
    <w:rsid w:val="00C82232"/>
    <w:rsid w:val="00C82913"/>
    <w:rsid w:val="00C82F2D"/>
    <w:rsid w:val="00C83229"/>
    <w:rsid w:val="00C83D3E"/>
    <w:rsid w:val="00C8693F"/>
    <w:rsid w:val="00C86EBD"/>
    <w:rsid w:val="00C86FA7"/>
    <w:rsid w:val="00C87D2A"/>
    <w:rsid w:val="00C90AAE"/>
    <w:rsid w:val="00C91540"/>
    <w:rsid w:val="00C934B8"/>
    <w:rsid w:val="00C96C32"/>
    <w:rsid w:val="00C972B1"/>
    <w:rsid w:val="00C97E5C"/>
    <w:rsid w:val="00CA191E"/>
    <w:rsid w:val="00CA2CCE"/>
    <w:rsid w:val="00CA3B90"/>
    <w:rsid w:val="00CA3FC0"/>
    <w:rsid w:val="00CA43FD"/>
    <w:rsid w:val="00CA45EF"/>
    <w:rsid w:val="00CA49B9"/>
    <w:rsid w:val="00CA610D"/>
    <w:rsid w:val="00CA6BCB"/>
    <w:rsid w:val="00CA7CFF"/>
    <w:rsid w:val="00CA7EF8"/>
    <w:rsid w:val="00CB141A"/>
    <w:rsid w:val="00CB38A4"/>
    <w:rsid w:val="00CB4AE4"/>
    <w:rsid w:val="00CB62D3"/>
    <w:rsid w:val="00CC0E22"/>
    <w:rsid w:val="00CC4270"/>
    <w:rsid w:val="00CC489B"/>
    <w:rsid w:val="00CC58E0"/>
    <w:rsid w:val="00CC60BE"/>
    <w:rsid w:val="00CC69FF"/>
    <w:rsid w:val="00CC7648"/>
    <w:rsid w:val="00CC7D42"/>
    <w:rsid w:val="00CD1AD8"/>
    <w:rsid w:val="00CD2605"/>
    <w:rsid w:val="00CD2763"/>
    <w:rsid w:val="00CD2767"/>
    <w:rsid w:val="00CD2BCD"/>
    <w:rsid w:val="00CD38B1"/>
    <w:rsid w:val="00CD3A4C"/>
    <w:rsid w:val="00CD3C7E"/>
    <w:rsid w:val="00CD4170"/>
    <w:rsid w:val="00CD41AD"/>
    <w:rsid w:val="00CD5C7A"/>
    <w:rsid w:val="00CD77B7"/>
    <w:rsid w:val="00CE08EC"/>
    <w:rsid w:val="00CE0CB5"/>
    <w:rsid w:val="00CE0DFD"/>
    <w:rsid w:val="00CE10E9"/>
    <w:rsid w:val="00CE14EF"/>
    <w:rsid w:val="00CE194C"/>
    <w:rsid w:val="00CE1F76"/>
    <w:rsid w:val="00CE2910"/>
    <w:rsid w:val="00CE2CFC"/>
    <w:rsid w:val="00CE3482"/>
    <w:rsid w:val="00CE3CC3"/>
    <w:rsid w:val="00CE5393"/>
    <w:rsid w:val="00CE5FB4"/>
    <w:rsid w:val="00CE6B53"/>
    <w:rsid w:val="00CE774D"/>
    <w:rsid w:val="00CE7F12"/>
    <w:rsid w:val="00CF05F8"/>
    <w:rsid w:val="00CF079F"/>
    <w:rsid w:val="00CF1093"/>
    <w:rsid w:val="00CF16C1"/>
    <w:rsid w:val="00CF327A"/>
    <w:rsid w:val="00CF36BE"/>
    <w:rsid w:val="00CF37FD"/>
    <w:rsid w:val="00CF3B17"/>
    <w:rsid w:val="00CF42E1"/>
    <w:rsid w:val="00CF46E8"/>
    <w:rsid w:val="00CF4D60"/>
    <w:rsid w:val="00CF6000"/>
    <w:rsid w:val="00CF7A86"/>
    <w:rsid w:val="00D003F3"/>
    <w:rsid w:val="00D016C3"/>
    <w:rsid w:val="00D01969"/>
    <w:rsid w:val="00D0364F"/>
    <w:rsid w:val="00D0365E"/>
    <w:rsid w:val="00D038E0"/>
    <w:rsid w:val="00D04ED5"/>
    <w:rsid w:val="00D06834"/>
    <w:rsid w:val="00D07800"/>
    <w:rsid w:val="00D107F2"/>
    <w:rsid w:val="00D1457D"/>
    <w:rsid w:val="00D149AD"/>
    <w:rsid w:val="00D178B0"/>
    <w:rsid w:val="00D23293"/>
    <w:rsid w:val="00D23ABE"/>
    <w:rsid w:val="00D249F2"/>
    <w:rsid w:val="00D25381"/>
    <w:rsid w:val="00D308ED"/>
    <w:rsid w:val="00D32A25"/>
    <w:rsid w:val="00D32D58"/>
    <w:rsid w:val="00D3374E"/>
    <w:rsid w:val="00D33FCC"/>
    <w:rsid w:val="00D34640"/>
    <w:rsid w:val="00D34F0F"/>
    <w:rsid w:val="00D354E2"/>
    <w:rsid w:val="00D358F9"/>
    <w:rsid w:val="00D36C9E"/>
    <w:rsid w:val="00D36D86"/>
    <w:rsid w:val="00D373F3"/>
    <w:rsid w:val="00D4019B"/>
    <w:rsid w:val="00D4276A"/>
    <w:rsid w:val="00D428AA"/>
    <w:rsid w:val="00D473F2"/>
    <w:rsid w:val="00D47C85"/>
    <w:rsid w:val="00D50A34"/>
    <w:rsid w:val="00D51252"/>
    <w:rsid w:val="00D51EC0"/>
    <w:rsid w:val="00D5392C"/>
    <w:rsid w:val="00D53EFA"/>
    <w:rsid w:val="00D54465"/>
    <w:rsid w:val="00D569E1"/>
    <w:rsid w:val="00D5714C"/>
    <w:rsid w:val="00D61FF1"/>
    <w:rsid w:val="00D62AF0"/>
    <w:rsid w:val="00D643DD"/>
    <w:rsid w:val="00D650F4"/>
    <w:rsid w:val="00D6688D"/>
    <w:rsid w:val="00D6755F"/>
    <w:rsid w:val="00D70615"/>
    <w:rsid w:val="00D70647"/>
    <w:rsid w:val="00D71076"/>
    <w:rsid w:val="00D72D0B"/>
    <w:rsid w:val="00D75A4B"/>
    <w:rsid w:val="00D75B6E"/>
    <w:rsid w:val="00D75D98"/>
    <w:rsid w:val="00D76B69"/>
    <w:rsid w:val="00D80488"/>
    <w:rsid w:val="00D81D53"/>
    <w:rsid w:val="00D81EE9"/>
    <w:rsid w:val="00D82255"/>
    <w:rsid w:val="00D8260D"/>
    <w:rsid w:val="00D82D9E"/>
    <w:rsid w:val="00D83624"/>
    <w:rsid w:val="00D83A95"/>
    <w:rsid w:val="00D83AF0"/>
    <w:rsid w:val="00D83D78"/>
    <w:rsid w:val="00D84941"/>
    <w:rsid w:val="00D90547"/>
    <w:rsid w:val="00D91598"/>
    <w:rsid w:val="00D93087"/>
    <w:rsid w:val="00D93932"/>
    <w:rsid w:val="00D93F94"/>
    <w:rsid w:val="00D9418E"/>
    <w:rsid w:val="00D94A7C"/>
    <w:rsid w:val="00D95896"/>
    <w:rsid w:val="00D960FC"/>
    <w:rsid w:val="00D9623C"/>
    <w:rsid w:val="00D96C1B"/>
    <w:rsid w:val="00DA1810"/>
    <w:rsid w:val="00DA20BC"/>
    <w:rsid w:val="00DA2ABF"/>
    <w:rsid w:val="00DA2B1E"/>
    <w:rsid w:val="00DA4A8F"/>
    <w:rsid w:val="00DA4AF4"/>
    <w:rsid w:val="00DA60D4"/>
    <w:rsid w:val="00DB1271"/>
    <w:rsid w:val="00DB176D"/>
    <w:rsid w:val="00DB2983"/>
    <w:rsid w:val="00DB5BF9"/>
    <w:rsid w:val="00DC1257"/>
    <w:rsid w:val="00DC1CC5"/>
    <w:rsid w:val="00DC1FB4"/>
    <w:rsid w:val="00DC3346"/>
    <w:rsid w:val="00DC3DC0"/>
    <w:rsid w:val="00DC5B2B"/>
    <w:rsid w:val="00DC65E7"/>
    <w:rsid w:val="00DC67CB"/>
    <w:rsid w:val="00DD318D"/>
    <w:rsid w:val="00DD6BE2"/>
    <w:rsid w:val="00DE3A70"/>
    <w:rsid w:val="00DE721F"/>
    <w:rsid w:val="00DE75C2"/>
    <w:rsid w:val="00DE76CF"/>
    <w:rsid w:val="00DF0023"/>
    <w:rsid w:val="00DF0E68"/>
    <w:rsid w:val="00DF113B"/>
    <w:rsid w:val="00DF2E12"/>
    <w:rsid w:val="00DF3D8E"/>
    <w:rsid w:val="00DF514A"/>
    <w:rsid w:val="00DF5AEA"/>
    <w:rsid w:val="00DF619A"/>
    <w:rsid w:val="00DF6690"/>
    <w:rsid w:val="00DF6804"/>
    <w:rsid w:val="00DF7390"/>
    <w:rsid w:val="00DF7BF1"/>
    <w:rsid w:val="00DF7E73"/>
    <w:rsid w:val="00E024F4"/>
    <w:rsid w:val="00E0358D"/>
    <w:rsid w:val="00E04323"/>
    <w:rsid w:val="00E04611"/>
    <w:rsid w:val="00E06403"/>
    <w:rsid w:val="00E06432"/>
    <w:rsid w:val="00E070A2"/>
    <w:rsid w:val="00E103F0"/>
    <w:rsid w:val="00E1083A"/>
    <w:rsid w:val="00E10A2F"/>
    <w:rsid w:val="00E10C44"/>
    <w:rsid w:val="00E119A9"/>
    <w:rsid w:val="00E14320"/>
    <w:rsid w:val="00E151B7"/>
    <w:rsid w:val="00E15676"/>
    <w:rsid w:val="00E1675F"/>
    <w:rsid w:val="00E17AB6"/>
    <w:rsid w:val="00E204DD"/>
    <w:rsid w:val="00E216C3"/>
    <w:rsid w:val="00E2227B"/>
    <w:rsid w:val="00E228D6"/>
    <w:rsid w:val="00E23F33"/>
    <w:rsid w:val="00E25556"/>
    <w:rsid w:val="00E26444"/>
    <w:rsid w:val="00E2656A"/>
    <w:rsid w:val="00E26616"/>
    <w:rsid w:val="00E27FFC"/>
    <w:rsid w:val="00E30FB1"/>
    <w:rsid w:val="00E319CF"/>
    <w:rsid w:val="00E32D47"/>
    <w:rsid w:val="00E3315E"/>
    <w:rsid w:val="00E3349C"/>
    <w:rsid w:val="00E33B6E"/>
    <w:rsid w:val="00E37B96"/>
    <w:rsid w:val="00E412D0"/>
    <w:rsid w:val="00E418E9"/>
    <w:rsid w:val="00E447CF"/>
    <w:rsid w:val="00E44FE2"/>
    <w:rsid w:val="00E45DB7"/>
    <w:rsid w:val="00E46AD2"/>
    <w:rsid w:val="00E5061D"/>
    <w:rsid w:val="00E5214B"/>
    <w:rsid w:val="00E526CF"/>
    <w:rsid w:val="00E54928"/>
    <w:rsid w:val="00E54978"/>
    <w:rsid w:val="00E557AE"/>
    <w:rsid w:val="00E56322"/>
    <w:rsid w:val="00E575C4"/>
    <w:rsid w:val="00E57C6D"/>
    <w:rsid w:val="00E602DB"/>
    <w:rsid w:val="00E60982"/>
    <w:rsid w:val="00E60AB0"/>
    <w:rsid w:val="00E61DC4"/>
    <w:rsid w:val="00E62C62"/>
    <w:rsid w:val="00E639A9"/>
    <w:rsid w:val="00E63F60"/>
    <w:rsid w:val="00E654A7"/>
    <w:rsid w:val="00E654C1"/>
    <w:rsid w:val="00E65D97"/>
    <w:rsid w:val="00E71421"/>
    <w:rsid w:val="00E71756"/>
    <w:rsid w:val="00E71FF8"/>
    <w:rsid w:val="00E72881"/>
    <w:rsid w:val="00E72A5A"/>
    <w:rsid w:val="00E73354"/>
    <w:rsid w:val="00E73BED"/>
    <w:rsid w:val="00E73C23"/>
    <w:rsid w:val="00E73F47"/>
    <w:rsid w:val="00E763F9"/>
    <w:rsid w:val="00E806C4"/>
    <w:rsid w:val="00E80A44"/>
    <w:rsid w:val="00E8253A"/>
    <w:rsid w:val="00E825F5"/>
    <w:rsid w:val="00E82A1C"/>
    <w:rsid w:val="00E8394D"/>
    <w:rsid w:val="00E85664"/>
    <w:rsid w:val="00E909E5"/>
    <w:rsid w:val="00E9242D"/>
    <w:rsid w:val="00E94128"/>
    <w:rsid w:val="00E958D9"/>
    <w:rsid w:val="00E96E36"/>
    <w:rsid w:val="00EA1561"/>
    <w:rsid w:val="00EA1A54"/>
    <w:rsid w:val="00EA3393"/>
    <w:rsid w:val="00EA6575"/>
    <w:rsid w:val="00EA6F48"/>
    <w:rsid w:val="00EA761B"/>
    <w:rsid w:val="00EB0A98"/>
    <w:rsid w:val="00EB0FC0"/>
    <w:rsid w:val="00EB1F36"/>
    <w:rsid w:val="00EB5255"/>
    <w:rsid w:val="00EB5380"/>
    <w:rsid w:val="00EB5793"/>
    <w:rsid w:val="00EB5C47"/>
    <w:rsid w:val="00EB64C1"/>
    <w:rsid w:val="00EB7BD3"/>
    <w:rsid w:val="00EC2799"/>
    <w:rsid w:val="00EC4BC8"/>
    <w:rsid w:val="00EC56B2"/>
    <w:rsid w:val="00EC75B1"/>
    <w:rsid w:val="00EC76DF"/>
    <w:rsid w:val="00ED029C"/>
    <w:rsid w:val="00ED02E3"/>
    <w:rsid w:val="00ED047A"/>
    <w:rsid w:val="00ED0639"/>
    <w:rsid w:val="00ED17CF"/>
    <w:rsid w:val="00ED18C9"/>
    <w:rsid w:val="00ED2906"/>
    <w:rsid w:val="00ED798F"/>
    <w:rsid w:val="00EE2B98"/>
    <w:rsid w:val="00EE412E"/>
    <w:rsid w:val="00EE493D"/>
    <w:rsid w:val="00EE4E17"/>
    <w:rsid w:val="00EE5DD5"/>
    <w:rsid w:val="00EE66FC"/>
    <w:rsid w:val="00EF16A4"/>
    <w:rsid w:val="00EF253B"/>
    <w:rsid w:val="00EF2D42"/>
    <w:rsid w:val="00EF39B1"/>
    <w:rsid w:val="00EF4426"/>
    <w:rsid w:val="00EF4755"/>
    <w:rsid w:val="00EF4B3D"/>
    <w:rsid w:val="00EF61DB"/>
    <w:rsid w:val="00EF7135"/>
    <w:rsid w:val="00EF78C7"/>
    <w:rsid w:val="00F00650"/>
    <w:rsid w:val="00F023FF"/>
    <w:rsid w:val="00F027DB"/>
    <w:rsid w:val="00F054A1"/>
    <w:rsid w:val="00F05B96"/>
    <w:rsid w:val="00F05D8E"/>
    <w:rsid w:val="00F06394"/>
    <w:rsid w:val="00F06EC9"/>
    <w:rsid w:val="00F075C1"/>
    <w:rsid w:val="00F100BE"/>
    <w:rsid w:val="00F105E4"/>
    <w:rsid w:val="00F1090F"/>
    <w:rsid w:val="00F11FD0"/>
    <w:rsid w:val="00F12921"/>
    <w:rsid w:val="00F12E17"/>
    <w:rsid w:val="00F13089"/>
    <w:rsid w:val="00F1316D"/>
    <w:rsid w:val="00F1481B"/>
    <w:rsid w:val="00F1495A"/>
    <w:rsid w:val="00F14A7A"/>
    <w:rsid w:val="00F150EA"/>
    <w:rsid w:val="00F16EC2"/>
    <w:rsid w:val="00F1706E"/>
    <w:rsid w:val="00F20C92"/>
    <w:rsid w:val="00F22023"/>
    <w:rsid w:val="00F223C9"/>
    <w:rsid w:val="00F22779"/>
    <w:rsid w:val="00F22985"/>
    <w:rsid w:val="00F23562"/>
    <w:rsid w:val="00F246AB"/>
    <w:rsid w:val="00F25827"/>
    <w:rsid w:val="00F25A6B"/>
    <w:rsid w:val="00F27D59"/>
    <w:rsid w:val="00F321B7"/>
    <w:rsid w:val="00F3250D"/>
    <w:rsid w:val="00F3337D"/>
    <w:rsid w:val="00F33527"/>
    <w:rsid w:val="00F3383E"/>
    <w:rsid w:val="00F34525"/>
    <w:rsid w:val="00F35FB4"/>
    <w:rsid w:val="00F360A3"/>
    <w:rsid w:val="00F372C1"/>
    <w:rsid w:val="00F4464D"/>
    <w:rsid w:val="00F4630D"/>
    <w:rsid w:val="00F463F9"/>
    <w:rsid w:val="00F465A7"/>
    <w:rsid w:val="00F466D6"/>
    <w:rsid w:val="00F471ED"/>
    <w:rsid w:val="00F476AD"/>
    <w:rsid w:val="00F50B7C"/>
    <w:rsid w:val="00F50CDF"/>
    <w:rsid w:val="00F52A9B"/>
    <w:rsid w:val="00F54EEA"/>
    <w:rsid w:val="00F550E6"/>
    <w:rsid w:val="00F567CA"/>
    <w:rsid w:val="00F56C72"/>
    <w:rsid w:val="00F61F72"/>
    <w:rsid w:val="00F61FED"/>
    <w:rsid w:val="00F62921"/>
    <w:rsid w:val="00F62B4E"/>
    <w:rsid w:val="00F64077"/>
    <w:rsid w:val="00F641DD"/>
    <w:rsid w:val="00F64E3E"/>
    <w:rsid w:val="00F65838"/>
    <w:rsid w:val="00F66CBB"/>
    <w:rsid w:val="00F67244"/>
    <w:rsid w:val="00F71B2C"/>
    <w:rsid w:val="00F739B5"/>
    <w:rsid w:val="00F73FB1"/>
    <w:rsid w:val="00F74345"/>
    <w:rsid w:val="00F74BC3"/>
    <w:rsid w:val="00F76CF8"/>
    <w:rsid w:val="00F77856"/>
    <w:rsid w:val="00F779DD"/>
    <w:rsid w:val="00F80A0A"/>
    <w:rsid w:val="00F81A46"/>
    <w:rsid w:val="00F82505"/>
    <w:rsid w:val="00F82B19"/>
    <w:rsid w:val="00F830A4"/>
    <w:rsid w:val="00F83A15"/>
    <w:rsid w:val="00F83C69"/>
    <w:rsid w:val="00F849F0"/>
    <w:rsid w:val="00F85D61"/>
    <w:rsid w:val="00F86BA0"/>
    <w:rsid w:val="00F87974"/>
    <w:rsid w:val="00F87A33"/>
    <w:rsid w:val="00F87B29"/>
    <w:rsid w:val="00F900B6"/>
    <w:rsid w:val="00F90DEB"/>
    <w:rsid w:val="00F9212D"/>
    <w:rsid w:val="00F9503C"/>
    <w:rsid w:val="00F965DA"/>
    <w:rsid w:val="00F97A6D"/>
    <w:rsid w:val="00FA1B75"/>
    <w:rsid w:val="00FA1F57"/>
    <w:rsid w:val="00FA350F"/>
    <w:rsid w:val="00FA3F3E"/>
    <w:rsid w:val="00FA406A"/>
    <w:rsid w:val="00FA4ADF"/>
    <w:rsid w:val="00FA4FD5"/>
    <w:rsid w:val="00FA7DF1"/>
    <w:rsid w:val="00FB0A97"/>
    <w:rsid w:val="00FB10C0"/>
    <w:rsid w:val="00FB11AF"/>
    <w:rsid w:val="00FB503A"/>
    <w:rsid w:val="00FB516C"/>
    <w:rsid w:val="00FB5A63"/>
    <w:rsid w:val="00FC0C46"/>
    <w:rsid w:val="00FC303E"/>
    <w:rsid w:val="00FC3CB2"/>
    <w:rsid w:val="00FC4226"/>
    <w:rsid w:val="00FC6491"/>
    <w:rsid w:val="00FC6917"/>
    <w:rsid w:val="00FC6C83"/>
    <w:rsid w:val="00FC7DAA"/>
    <w:rsid w:val="00FD0236"/>
    <w:rsid w:val="00FD1059"/>
    <w:rsid w:val="00FD18F4"/>
    <w:rsid w:val="00FD2F67"/>
    <w:rsid w:val="00FD4A68"/>
    <w:rsid w:val="00FD54DB"/>
    <w:rsid w:val="00FD5A0F"/>
    <w:rsid w:val="00FD5B13"/>
    <w:rsid w:val="00FD619F"/>
    <w:rsid w:val="00FD654C"/>
    <w:rsid w:val="00FD7DFA"/>
    <w:rsid w:val="00FD7E16"/>
    <w:rsid w:val="00FE233F"/>
    <w:rsid w:val="00FE3728"/>
    <w:rsid w:val="00FE4F56"/>
    <w:rsid w:val="00FE66E2"/>
    <w:rsid w:val="00FE79CD"/>
    <w:rsid w:val="00FF0B53"/>
    <w:rsid w:val="00FF0B77"/>
    <w:rsid w:val="00FF2676"/>
    <w:rsid w:val="00FF37BE"/>
    <w:rsid w:val="00FF60D7"/>
    <w:rsid w:val="010B5592"/>
    <w:rsid w:val="01290F7E"/>
    <w:rsid w:val="015D1E09"/>
    <w:rsid w:val="016A7129"/>
    <w:rsid w:val="01774086"/>
    <w:rsid w:val="018D1931"/>
    <w:rsid w:val="01BC7302"/>
    <w:rsid w:val="01C524FC"/>
    <w:rsid w:val="01E4322D"/>
    <w:rsid w:val="01F01BD2"/>
    <w:rsid w:val="02135A23"/>
    <w:rsid w:val="02146517"/>
    <w:rsid w:val="0226299B"/>
    <w:rsid w:val="022C3670"/>
    <w:rsid w:val="022C686B"/>
    <w:rsid w:val="025C30E2"/>
    <w:rsid w:val="02630935"/>
    <w:rsid w:val="02697903"/>
    <w:rsid w:val="026B60B8"/>
    <w:rsid w:val="026D3223"/>
    <w:rsid w:val="0273635F"/>
    <w:rsid w:val="027F2F56"/>
    <w:rsid w:val="02931E56"/>
    <w:rsid w:val="02974045"/>
    <w:rsid w:val="0298594A"/>
    <w:rsid w:val="02A46519"/>
    <w:rsid w:val="02BF1515"/>
    <w:rsid w:val="02CC7201"/>
    <w:rsid w:val="02F96569"/>
    <w:rsid w:val="02FD7F21"/>
    <w:rsid w:val="0330604B"/>
    <w:rsid w:val="033C0E47"/>
    <w:rsid w:val="03407427"/>
    <w:rsid w:val="03451AAA"/>
    <w:rsid w:val="03451FBF"/>
    <w:rsid w:val="034C1790"/>
    <w:rsid w:val="035F783F"/>
    <w:rsid w:val="036964FC"/>
    <w:rsid w:val="038D09F0"/>
    <w:rsid w:val="038E07EA"/>
    <w:rsid w:val="03A8129D"/>
    <w:rsid w:val="03B20EA7"/>
    <w:rsid w:val="03B81945"/>
    <w:rsid w:val="03C75EE0"/>
    <w:rsid w:val="03D8291E"/>
    <w:rsid w:val="03DA68CC"/>
    <w:rsid w:val="03EA7B21"/>
    <w:rsid w:val="03EC1FC7"/>
    <w:rsid w:val="04015589"/>
    <w:rsid w:val="040F2893"/>
    <w:rsid w:val="04155920"/>
    <w:rsid w:val="04385083"/>
    <w:rsid w:val="043E429C"/>
    <w:rsid w:val="04536D05"/>
    <w:rsid w:val="04554A98"/>
    <w:rsid w:val="048E56D2"/>
    <w:rsid w:val="04B97507"/>
    <w:rsid w:val="04CC2441"/>
    <w:rsid w:val="04D46F81"/>
    <w:rsid w:val="04D70E27"/>
    <w:rsid w:val="050A2669"/>
    <w:rsid w:val="050D12DA"/>
    <w:rsid w:val="0516368E"/>
    <w:rsid w:val="05410997"/>
    <w:rsid w:val="0545480C"/>
    <w:rsid w:val="05465FAD"/>
    <w:rsid w:val="054A3C8A"/>
    <w:rsid w:val="054B5371"/>
    <w:rsid w:val="055204AE"/>
    <w:rsid w:val="05524489"/>
    <w:rsid w:val="057B0CF5"/>
    <w:rsid w:val="05A171F0"/>
    <w:rsid w:val="05B91908"/>
    <w:rsid w:val="05D9472B"/>
    <w:rsid w:val="05E11832"/>
    <w:rsid w:val="05E9316F"/>
    <w:rsid w:val="05F83EAE"/>
    <w:rsid w:val="060A0903"/>
    <w:rsid w:val="062C13F4"/>
    <w:rsid w:val="063E7D85"/>
    <w:rsid w:val="06436049"/>
    <w:rsid w:val="06532730"/>
    <w:rsid w:val="067F1777"/>
    <w:rsid w:val="06A236BC"/>
    <w:rsid w:val="06B351D8"/>
    <w:rsid w:val="06C2658B"/>
    <w:rsid w:val="06EF4F3D"/>
    <w:rsid w:val="06FD53CC"/>
    <w:rsid w:val="0706063A"/>
    <w:rsid w:val="071255C4"/>
    <w:rsid w:val="07184BB5"/>
    <w:rsid w:val="07293586"/>
    <w:rsid w:val="07295285"/>
    <w:rsid w:val="07465865"/>
    <w:rsid w:val="0753364C"/>
    <w:rsid w:val="07636392"/>
    <w:rsid w:val="076F7ED3"/>
    <w:rsid w:val="07770C56"/>
    <w:rsid w:val="07966D78"/>
    <w:rsid w:val="07BD4DE9"/>
    <w:rsid w:val="07C84A8A"/>
    <w:rsid w:val="07EA02AB"/>
    <w:rsid w:val="07F804B6"/>
    <w:rsid w:val="07FC0F06"/>
    <w:rsid w:val="08234384"/>
    <w:rsid w:val="084120E9"/>
    <w:rsid w:val="084A55EF"/>
    <w:rsid w:val="084B5550"/>
    <w:rsid w:val="084F5B93"/>
    <w:rsid w:val="08501528"/>
    <w:rsid w:val="08555851"/>
    <w:rsid w:val="08571D21"/>
    <w:rsid w:val="08616C16"/>
    <w:rsid w:val="0865674A"/>
    <w:rsid w:val="086E1AA3"/>
    <w:rsid w:val="08780E2D"/>
    <w:rsid w:val="087B5F6E"/>
    <w:rsid w:val="08836BD0"/>
    <w:rsid w:val="08865476"/>
    <w:rsid w:val="08900CB2"/>
    <w:rsid w:val="089B6044"/>
    <w:rsid w:val="08A04A65"/>
    <w:rsid w:val="08A36065"/>
    <w:rsid w:val="08B628E2"/>
    <w:rsid w:val="08BF68A7"/>
    <w:rsid w:val="08C12CA0"/>
    <w:rsid w:val="08DF2DD9"/>
    <w:rsid w:val="08F10DED"/>
    <w:rsid w:val="090E6DE2"/>
    <w:rsid w:val="092217DD"/>
    <w:rsid w:val="093A7294"/>
    <w:rsid w:val="093F045B"/>
    <w:rsid w:val="095F13EB"/>
    <w:rsid w:val="096C57E5"/>
    <w:rsid w:val="097314F5"/>
    <w:rsid w:val="0984111B"/>
    <w:rsid w:val="098D41AA"/>
    <w:rsid w:val="098D51F4"/>
    <w:rsid w:val="099472E7"/>
    <w:rsid w:val="09D058E9"/>
    <w:rsid w:val="09F764BA"/>
    <w:rsid w:val="0A263993"/>
    <w:rsid w:val="0A2D3AC2"/>
    <w:rsid w:val="0A4C7BC2"/>
    <w:rsid w:val="0A5C592B"/>
    <w:rsid w:val="0A8E01DA"/>
    <w:rsid w:val="0A907A23"/>
    <w:rsid w:val="0A9B6453"/>
    <w:rsid w:val="0AA755DF"/>
    <w:rsid w:val="0ACC239D"/>
    <w:rsid w:val="0AD8138A"/>
    <w:rsid w:val="0AFF46F4"/>
    <w:rsid w:val="0B102C3E"/>
    <w:rsid w:val="0B120D44"/>
    <w:rsid w:val="0B1B7A70"/>
    <w:rsid w:val="0B311469"/>
    <w:rsid w:val="0B3717DF"/>
    <w:rsid w:val="0B3C0E9E"/>
    <w:rsid w:val="0B6158EF"/>
    <w:rsid w:val="0B6269AF"/>
    <w:rsid w:val="0B753148"/>
    <w:rsid w:val="0B9859DC"/>
    <w:rsid w:val="0B9F2076"/>
    <w:rsid w:val="0BA756D6"/>
    <w:rsid w:val="0BAC19CD"/>
    <w:rsid w:val="0BAF5D3B"/>
    <w:rsid w:val="0BCA3494"/>
    <w:rsid w:val="0BD27BF6"/>
    <w:rsid w:val="0BF4069F"/>
    <w:rsid w:val="0C036D14"/>
    <w:rsid w:val="0C090F0D"/>
    <w:rsid w:val="0C381612"/>
    <w:rsid w:val="0C3B3C7D"/>
    <w:rsid w:val="0C5E697A"/>
    <w:rsid w:val="0C6514EB"/>
    <w:rsid w:val="0C6C350D"/>
    <w:rsid w:val="0C803B53"/>
    <w:rsid w:val="0CAB2EAE"/>
    <w:rsid w:val="0CBD7923"/>
    <w:rsid w:val="0CCE0D62"/>
    <w:rsid w:val="0CE642FD"/>
    <w:rsid w:val="0CF32EA4"/>
    <w:rsid w:val="0D170BD8"/>
    <w:rsid w:val="0D1D3CF3"/>
    <w:rsid w:val="0D2F50B7"/>
    <w:rsid w:val="0D305579"/>
    <w:rsid w:val="0D3F01DB"/>
    <w:rsid w:val="0D412C5A"/>
    <w:rsid w:val="0D417786"/>
    <w:rsid w:val="0D621C7D"/>
    <w:rsid w:val="0D6F03F4"/>
    <w:rsid w:val="0D73181A"/>
    <w:rsid w:val="0D771A6D"/>
    <w:rsid w:val="0DA6345C"/>
    <w:rsid w:val="0DA6583B"/>
    <w:rsid w:val="0DB77A48"/>
    <w:rsid w:val="0DBF7CD2"/>
    <w:rsid w:val="0DCC11B6"/>
    <w:rsid w:val="0DDC125D"/>
    <w:rsid w:val="0DF50570"/>
    <w:rsid w:val="0DF76096"/>
    <w:rsid w:val="0DF94F7A"/>
    <w:rsid w:val="0E466D50"/>
    <w:rsid w:val="0E5D6EA0"/>
    <w:rsid w:val="0E5F06F5"/>
    <w:rsid w:val="0E5F13EE"/>
    <w:rsid w:val="0E702812"/>
    <w:rsid w:val="0E73034D"/>
    <w:rsid w:val="0E8518F4"/>
    <w:rsid w:val="0E8611C8"/>
    <w:rsid w:val="0E8E507E"/>
    <w:rsid w:val="0E8E7060"/>
    <w:rsid w:val="0E96629E"/>
    <w:rsid w:val="0EB35D6C"/>
    <w:rsid w:val="0EB42DE4"/>
    <w:rsid w:val="0F12154E"/>
    <w:rsid w:val="0F13775A"/>
    <w:rsid w:val="0F195E86"/>
    <w:rsid w:val="0F1A5C85"/>
    <w:rsid w:val="0F284887"/>
    <w:rsid w:val="0F5F45FE"/>
    <w:rsid w:val="0F80665A"/>
    <w:rsid w:val="0F9A112B"/>
    <w:rsid w:val="0F9C1A87"/>
    <w:rsid w:val="0F9E00F3"/>
    <w:rsid w:val="0FB54AE7"/>
    <w:rsid w:val="0FBC0EA0"/>
    <w:rsid w:val="0FEA1D09"/>
    <w:rsid w:val="0FF22CB1"/>
    <w:rsid w:val="0FF24D67"/>
    <w:rsid w:val="0FF52AA9"/>
    <w:rsid w:val="100A5921"/>
    <w:rsid w:val="10227E6D"/>
    <w:rsid w:val="1039189F"/>
    <w:rsid w:val="104227D1"/>
    <w:rsid w:val="104D5BF8"/>
    <w:rsid w:val="10546225"/>
    <w:rsid w:val="10645539"/>
    <w:rsid w:val="106D2F64"/>
    <w:rsid w:val="10726ACE"/>
    <w:rsid w:val="107A4013"/>
    <w:rsid w:val="10880C6B"/>
    <w:rsid w:val="10987EED"/>
    <w:rsid w:val="109B5445"/>
    <w:rsid w:val="10B63710"/>
    <w:rsid w:val="10C20F6D"/>
    <w:rsid w:val="10D345F8"/>
    <w:rsid w:val="10D76532"/>
    <w:rsid w:val="10E85D69"/>
    <w:rsid w:val="10F10820"/>
    <w:rsid w:val="11071A15"/>
    <w:rsid w:val="11197F75"/>
    <w:rsid w:val="111C2F7A"/>
    <w:rsid w:val="115D4462"/>
    <w:rsid w:val="11617743"/>
    <w:rsid w:val="11665CA1"/>
    <w:rsid w:val="1169441B"/>
    <w:rsid w:val="11777D88"/>
    <w:rsid w:val="118D3C2C"/>
    <w:rsid w:val="11967974"/>
    <w:rsid w:val="11C10E95"/>
    <w:rsid w:val="11CD3243"/>
    <w:rsid w:val="11CE0C2B"/>
    <w:rsid w:val="11DA4A8E"/>
    <w:rsid w:val="1209283C"/>
    <w:rsid w:val="12107A9B"/>
    <w:rsid w:val="1233302F"/>
    <w:rsid w:val="123959CD"/>
    <w:rsid w:val="123D0925"/>
    <w:rsid w:val="12421618"/>
    <w:rsid w:val="124B4C03"/>
    <w:rsid w:val="12802AFE"/>
    <w:rsid w:val="12810BEA"/>
    <w:rsid w:val="128402E9"/>
    <w:rsid w:val="12840907"/>
    <w:rsid w:val="12AB5A1E"/>
    <w:rsid w:val="12B479E8"/>
    <w:rsid w:val="12B51DEE"/>
    <w:rsid w:val="12C31FBB"/>
    <w:rsid w:val="12C36EED"/>
    <w:rsid w:val="12D726B4"/>
    <w:rsid w:val="12DF6902"/>
    <w:rsid w:val="12FE3A23"/>
    <w:rsid w:val="131B071F"/>
    <w:rsid w:val="132E255A"/>
    <w:rsid w:val="13300448"/>
    <w:rsid w:val="133A4152"/>
    <w:rsid w:val="13564F52"/>
    <w:rsid w:val="137E6912"/>
    <w:rsid w:val="138F10FE"/>
    <w:rsid w:val="13951726"/>
    <w:rsid w:val="139A199E"/>
    <w:rsid w:val="13AB57BF"/>
    <w:rsid w:val="140D629E"/>
    <w:rsid w:val="14114DB3"/>
    <w:rsid w:val="14227EFD"/>
    <w:rsid w:val="142D3953"/>
    <w:rsid w:val="1431485D"/>
    <w:rsid w:val="14377928"/>
    <w:rsid w:val="14396509"/>
    <w:rsid w:val="14414AE5"/>
    <w:rsid w:val="14524FCF"/>
    <w:rsid w:val="14726477"/>
    <w:rsid w:val="14CD2209"/>
    <w:rsid w:val="14DD2C3C"/>
    <w:rsid w:val="14E0123A"/>
    <w:rsid w:val="14EC25CE"/>
    <w:rsid w:val="14F90946"/>
    <w:rsid w:val="14FA505E"/>
    <w:rsid w:val="14FC201D"/>
    <w:rsid w:val="151D3D8F"/>
    <w:rsid w:val="1528122B"/>
    <w:rsid w:val="152F762B"/>
    <w:rsid w:val="154F0566"/>
    <w:rsid w:val="156B7C38"/>
    <w:rsid w:val="157D50D3"/>
    <w:rsid w:val="15A120AC"/>
    <w:rsid w:val="15BF57BD"/>
    <w:rsid w:val="15E57E59"/>
    <w:rsid w:val="15E63943"/>
    <w:rsid w:val="15EC6D4C"/>
    <w:rsid w:val="15FA2BC8"/>
    <w:rsid w:val="160413A2"/>
    <w:rsid w:val="16075FF2"/>
    <w:rsid w:val="16087E1D"/>
    <w:rsid w:val="160F2880"/>
    <w:rsid w:val="162E0FED"/>
    <w:rsid w:val="16461969"/>
    <w:rsid w:val="164B29AB"/>
    <w:rsid w:val="16535725"/>
    <w:rsid w:val="16715E73"/>
    <w:rsid w:val="1677009D"/>
    <w:rsid w:val="16796819"/>
    <w:rsid w:val="16821794"/>
    <w:rsid w:val="169775BE"/>
    <w:rsid w:val="16F4453F"/>
    <w:rsid w:val="16FE0813"/>
    <w:rsid w:val="17254FE0"/>
    <w:rsid w:val="173739A8"/>
    <w:rsid w:val="17384862"/>
    <w:rsid w:val="174E133D"/>
    <w:rsid w:val="174F1860"/>
    <w:rsid w:val="1767603B"/>
    <w:rsid w:val="17701D14"/>
    <w:rsid w:val="17735226"/>
    <w:rsid w:val="17740758"/>
    <w:rsid w:val="1784744F"/>
    <w:rsid w:val="1788427F"/>
    <w:rsid w:val="17AD77C6"/>
    <w:rsid w:val="17B7101C"/>
    <w:rsid w:val="17CE6D57"/>
    <w:rsid w:val="17E4768B"/>
    <w:rsid w:val="184522D3"/>
    <w:rsid w:val="18463EA2"/>
    <w:rsid w:val="184B5E62"/>
    <w:rsid w:val="18514FE8"/>
    <w:rsid w:val="18535349"/>
    <w:rsid w:val="186755A9"/>
    <w:rsid w:val="187C3D68"/>
    <w:rsid w:val="188552C2"/>
    <w:rsid w:val="189F624C"/>
    <w:rsid w:val="18BC4F27"/>
    <w:rsid w:val="18C02B8E"/>
    <w:rsid w:val="18E6350F"/>
    <w:rsid w:val="18F17998"/>
    <w:rsid w:val="18FE38BD"/>
    <w:rsid w:val="190F3767"/>
    <w:rsid w:val="19566367"/>
    <w:rsid w:val="1957088A"/>
    <w:rsid w:val="195775C3"/>
    <w:rsid w:val="1959481C"/>
    <w:rsid w:val="1966229F"/>
    <w:rsid w:val="196A3BC0"/>
    <w:rsid w:val="197E7D74"/>
    <w:rsid w:val="199D6EEE"/>
    <w:rsid w:val="19A94B95"/>
    <w:rsid w:val="19B33439"/>
    <w:rsid w:val="19E260AE"/>
    <w:rsid w:val="19F03148"/>
    <w:rsid w:val="1A1C66C0"/>
    <w:rsid w:val="1A3E7654"/>
    <w:rsid w:val="1A42393B"/>
    <w:rsid w:val="1A812642"/>
    <w:rsid w:val="1AA2738A"/>
    <w:rsid w:val="1AAD45DE"/>
    <w:rsid w:val="1AB37F43"/>
    <w:rsid w:val="1AD104D1"/>
    <w:rsid w:val="1ADD0B94"/>
    <w:rsid w:val="1AE031EF"/>
    <w:rsid w:val="1AF40C41"/>
    <w:rsid w:val="1B046F80"/>
    <w:rsid w:val="1B0C010F"/>
    <w:rsid w:val="1B2606DC"/>
    <w:rsid w:val="1B2908B7"/>
    <w:rsid w:val="1B2D4122"/>
    <w:rsid w:val="1B3267B5"/>
    <w:rsid w:val="1B40161D"/>
    <w:rsid w:val="1B441859"/>
    <w:rsid w:val="1B5C4117"/>
    <w:rsid w:val="1B6606B1"/>
    <w:rsid w:val="1B6B0E0E"/>
    <w:rsid w:val="1B6D18C5"/>
    <w:rsid w:val="1B70057D"/>
    <w:rsid w:val="1B705BA4"/>
    <w:rsid w:val="1B78507E"/>
    <w:rsid w:val="1B9D672E"/>
    <w:rsid w:val="1BA50634"/>
    <w:rsid w:val="1BB92BDD"/>
    <w:rsid w:val="1BE40E95"/>
    <w:rsid w:val="1BE467BC"/>
    <w:rsid w:val="1C0A168B"/>
    <w:rsid w:val="1C107FCA"/>
    <w:rsid w:val="1C18223D"/>
    <w:rsid w:val="1C257840"/>
    <w:rsid w:val="1C29338A"/>
    <w:rsid w:val="1C301F7A"/>
    <w:rsid w:val="1C48460A"/>
    <w:rsid w:val="1C4D2EEC"/>
    <w:rsid w:val="1C4F16D7"/>
    <w:rsid w:val="1C597F1C"/>
    <w:rsid w:val="1C5E7925"/>
    <w:rsid w:val="1C927E45"/>
    <w:rsid w:val="1C937D3F"/>
    <w:rsid w:val="1C99656B"/>
    <w:rsid w:val="1CA66DBA"/>
    <w:rsid w:val="1CAC1AE1"/>
    <w:rsid w:val="1CC23D13"/>
    <w:rsid w:val="1CFD070F"/>
    <w:rsid w:val="1D000E67"/>
    <w:rsid w:val="1D0205B4"/>
    <w:rsid w:val="1D267E8D"/>
    <w:rsid w:val="1D283A33"/>
    <w:rsid w:val="1D5B27DB"/>
    <w:rsid w:val="1D5F6196"/>
    <w:rsid w:val="1D61177E"/>
    <w:rsid w:val="1D6132A5"/>
    <w:rsid w:val="1D733EAC"/>
    <w:rsid w:val="1D79795B"/>
    <w:rsid w:val="1D86563F"/>
    <w:rsid w:val="1D8E56D5"/>
    <w:rsid w:val="1D90796E"/>
    <w:rsid w:val="1DA06B03"/>
    <w:rsid w:val="1DB16262"/>
    <w:rsid w:val="1DCC1D71"/>
    <w:rsid w:val="1DEB01B8"/>
    <w:rsid w:val="1DED6B6E"/>
    <w:rsid w:val="1DFD14A7"/>
    <w:rsid w:val="1E2D1C4F"/>
    <w:rsid w:val="1E2F68D5"/>
    <w:rsid w:val="1E322FD9"/>
    <w:rsid w:val="1E370533"/>
    <w:rsid w:val="1E621476"/>
    <w:rsid w:val="1E6F5576"/>
    <w:rsid w:val="1E747D2D"/>
    <w:rsid w:val="1E7A43DA"/>
    <w:rsid w:val="1E7D6144"/>
    <w:rsid w:val="1E9A6CF6"/>
    <w:rsid w:val="1EA81514"/>
    <w:rsid w:val="1EAE454F"/>
    <w:rsid w:val="1ED06A9D"/>
    <w:rsid w:val="1EE058AC"/>
    <w:rsid w:val="1EE124F6"/>
    <w:rsid w:val="1F0F6F8A"/>
    <w:rsid w:val="1F1E09AB"/>
    <w:rsid w:val="1F292513"/>
    <w:rsid w:val="1F2D0591"/>
    <w:rsid w:val="1F881CE0"/>
    <w:rsid w:val="1F933643"/>
    <w:rsid w:val="1F9D16C9"/>
    <w:rsid w:val="1F9D22E5"/>
    <w:rsid w:val="1FA04270"/>
    <w:rsid w:val="1FA105E7"/>
    <w:rsid w:val="1FBC7C68"/>
    <w:rsid w:val="1FC35DD8"/>
    <w:rsid w:val="1FC87893"/>
    <w:rsid w:val="1FCD3B59"/>
    <w:rsid w:val="1FD26A4F"/>
    <w:rsid w:val="1FD67D27"/>
    <w:rsid w:val="1FE135CF"/>
    <w:rsid w:val="1FE7539E"/>
    <w:rsid w:val="1FEF3071"/>
    <w:rsid w:val="1FEF4E1F"/>
    <w:rsid w:val="1FFE0318"/>
    <w:rsid w:val="1FFE2B85"/>
    <w:rsid w:val="200A7EAB"/>
    <w:rsid w:val="20177206"/>
    <w:rsid w:val="2019783D"/>
    <w:rsid w:val="20221DF2"/>
    <w:rsid w:val="204727BE"/>
    <w:rsid w:val="204C4020"/>
    <w:rsid w:val="20573441"/>
    <w:rsid w:val="20671BE0"/>
    <w:rsid w:val="207455FB"/>
    <w:rsid w:val="207558D8"/>
    <w:rsid w:val="209029D8"/>
    <w:rsid w:val="20963CB8"/>
    <w:rsid w:val="209E65E7"/>
    <w:rsid w:val="20A81A1B"/>
    <w:rsid w:val="20A84338"/>
    <w:rsid w:val="20B07FB6"/>
    <w:rsid w:val="20B646FB"/>
    <w:rsid w:val="20CA3197"/>
    <w:rsid w:val="20D612B5"/>
    <w:rsid w:val="20F80F64"/>
    <w:rsid w:val="211455B2"/>
    <w:rsid w:val="212E7BF8"/>
    <w:rsid w:val="213B2595"/>
    <w:rsid w:val="213B74B1"/>
    <w:rsid w:val="215417A8"/>
    <w:rsid w:val="215A2310"/>
    <w:rsid w:val="21603961"/>
    <w:rsid w:val="21702111"/>
    <w:rsid w:val="218A1756"/>
    <w:rsid w:val="21B416CC"/>
    <w:rsid w:val="21D02A2F"/>
    <w:rsid w:val="21D50730"/>
    <w:rsid w:val="21DE318A"/>
    <w:rsid w:val="21E25ACC"/>
    <w:rsid w:val="21E40D79"/>
    <w:rsid w:val="21EA1E51"/>
    <w:rsid w:val="21EC56D6"/>
    <w:rsid w:val="21EF5B80"/>
    <w:rsid w:val="21F01575"/>
    <w:rsid w:val="21F02935"/>
    <w:rsid w:val="21FC6962"/>
    <w:rsid w:val="22235683"/>
    <w:rsid w:val="22576990"/>
    <w:rsid w:val="22600256"/>
    <w:rsid w:val="22645EEA"/>
    <w:rsid w:val="22680EB9"/>
    <w:rsid w:val="2272773F"/>
    <w:rsid w:val="22833F45"/>
    <w:rsid w:val="228850B7"/>
    <w:rsid w:val="22CF0F38"/>
    <w:rsid w:val="22D510D2"/>
    <w:rsid w:val="22F47480"/>
    <w:rsid w:val="22F56643"/>
    <w:rsid w:val="23007249"/>
    <w:rsid w:val="23246089"/>
    <w:rsid w:val="233B0E20"/>
    <w:rsid w:val="233E1464"/>
    <w:rsid w:val="235D6544"/>
    <w:rsid w:val="23617754"/>
    <w:rsid w:val="236E7200"/>
    <w:rsid w:val="237B69CA"/>
    <w:rsid w:val="23985FD7"/>
    <w:rsid w:val="23CF0DBB"/>
    <w:rsid w:val="23DE1C48"/>
    <w:rsid w:val="23F722FE"/>
    <w:rsid w:val="23FF7385"/>
    <w:rsid w:val="240210CD"/>
    <w:rsid w:val="24747FE9"/>
    <w:rsid w:val="247B0214"/>
    <w:rsid w:val="247E3C8E"/>
    <w:rsid w:val="247E76DD"/>
    <w:rsid w:val="248B33E5"/>
    <w:rsid w:val="248D4EF2"/>
    <w:rsid w:val="24B13C82"/>
    <w:rsid w:val="24BE3012"/>
    <w:rsid w:val="24BF09F7"/>
    <w:rsid w:val="24C74FB8"/>
    <w:rsid w:val="24D26670"/>
    <w:rsid w:val="24D66E91"/>
    <w:rsid w:val="24DE36B4"/>
    <w:rsid w:val="24FC1FBC"/>
    <w:rsid w:val="2503311B"/>
    <w:rsid w:val="25093533"/>
    <w:rsid w:val="25115342"/>
    <w:rsid w:val="251605A0"/>
    <w:rsid w:val="251C178F"/>
    <w:rsid w:val="252D53FE"/>
    <w:rsid w:val="25351150"/>
    <w:rsid w:val="25383D5F"/>
    <w:rsid w:val="25537BFE"/>
    <w:rsid w:val="256B33C8"/>
    <w:rsid w:val="25A920F9"/>
    <w:rsid w:val="25B5179A"/>
    <w:rsid w:val="25CB19DA"/>
    <w:rsid w:val="25E76599"/>
    <w:rsid w:val="25EC2D81"/>
    <w:rsid w:val="26065BCC"/>
    <w:rsid w:val="260809E9"/>
    <w:rsid w:val="2609582F"/>
    <w:rsid w:val="260C6C6F"/>
    <w:rsid w:val="2617556C"/>
    <w:rsid w:val="26261778"/>
    <w:rsid w:val="263F7ABD"/>
    <w:rsid w:val="2654618F"/>
    <w:rsid w:val="266E0A04"/>
    <w:rsid w:val="26757AAC"/>
    <w:rsid w:val="269953E2"/>
    <w:rsid w:val="269D7210"/>
    <w:rsid w:val="26C2534E"/>
    <w:rsid w:val="26D53E6B"/>
    <w:rsid w:val="26D61AA0"/>
    <w:rsid w:val="26EF7DFB"/>
    <w:rsid w:val="26FC6703"/>
    <w:rsid w:val="270800A8"/>
    <w:rsid w:val="273E40DB"/>
    <w:rsid w:val="2750196A"/>
    <w:rsid w:val="27633147"/>
    <w:rsid w:val="276903A2"/>
    <w:rsid w:val="277057A2"/>
    <w:rsid w:val="27736336"/>
    <w:rsid w:val="27796570"/>
    <w:rsid w:val="279369D8"/>
    <w:rsid w:val="27BA2BD8"/>
    <w:rsid w:val="27BF474E"/>
    <w:rsid w:val="27C32683"/>
    <w:rsid w:val="27FF0087"/>
    <w:rsid w:val="28013942"/>
    <w:rsid w:val="282633A8"/>
    <w:rsid w:val="283933A9"/>
    <w:rsid w:val="283C1372"/>
    <w:rsid w:val="284E43EB"/>
    <w:rsid w:val="286074A7"/>
    <w:rsid w:val="28694363"/>
    <w:rsid w:val="28706AEF"/>
    <w:rsid w:val="28C52FE2"/>
    <w:rsid w:val="28D1472C"/>
    <w:rsid w:val="28F2659B"/>
    <w:rsid w:val="29133B4A"/>
    <w:rsid w:val="29206EB8"/>
    <w:rsid w:val="29332221"/>
    <w:rsid w:val="2939144B"/>
    <w:rsid w:val="2947688C"/>
    <w:rsid w:val="294978E1"/>
    <w:rsid w:val="29586F2B"/>
    <w:rsid w:val="29595666"/>
    <w:rsid w:val="295A732C"/>
    <w:rsid w:val="295B3526"/>
    <w:rsid w:val="29622D86"/>
    <w:rsid w:val="29657F00"/>
    <w:rsid w:val="29662D23"/>
    <w:rsid w:val="29874881"/>
    <w:rsid w:val="29934E41"/>
    <w:rsid w:val="29AA63FC"/>
    <w:rsid w:val="29DA4A06"/>
    <w:rsid w:val="29E325E0"/>
    <w:rsid w:val="2A027C1D"/>
    <w:rsid w:val="2A1A13E7"/>
    <w:rsid w:val="2A266AD9"/>
    <w:rsid w:val="2A3224D8"/>
    <w:rsid w:val="2A377BD6"/>
    <w:rsid w:val="2A3A0527"/>
    <w:rsid w:val="2A3D0E7D"/>
    <w:rsid w:val="2A430CAA"/>
    <w:rsid w:val="2A452503"/>
    <w:rsid w:val="2A4915D0"/>
    <w:rsid w:val="2A583058"/>
    <w:rsid w:val="2A590497"/>
    <w:rsid w:val="2A5A7BFB"/>
    <w:rsid w:val="2A5E4242"/>
    <w:rsid w:val="2A6102E1"/>
    <w:rsid w:val="2A7E3970"/>
    <w:rsid w:val="2A857B64"/>
    <w:rsid w:val="2A936B8A"/>
    <w:rsid w:val="2A9C3E4A"/>
    <w:rsid w:val="2AAA5685"/>
    <w:rsid w:val="2ABB29D8"/>
    <w:rsid w:val="2AC84797"/>
    <w:rsid w:val="2AFF1807"/>
    <w:rsid w:val="2B010C4A"/>
    <w:rsid w:val="2B053297"/>
    <w:rsid w:val="2B0A6FB1"/>
    <w:rsid w:val="2B0D4CF3"/>
    <w:rsid w:val="2B163DB4"/>
    <w:rsid w:val="2B3C1135"/>
    <w:rsid w:val="2B7C09C7"/>
    <w:rsid w:val="2B8878B7"/>
    <w:rsid w:val="2B8A3EC7"/>
    <w:rsid w:val="2B940F71"/>
    <w:rsid w:val="2BA016C4"/>
    <w:rsid w:val="2BA936A8"/>
    <w:rsid w:val="2BB71400"/>
    <w:rsid w:val="2BBC5615"/>
    <w:rsid w:val="2BCF6676"/>
    <w:rsid w:val="2BF35C97"/>
    <w:rsid w:val="2C2E7758"/>
    <w:rsid w:val="2C315A5A"/>
    <w:rsid w:val="2C3E69A1"/>
    <w:rsid w:val="2C4B1C25"/>
    <w:rsid w:val="2C4B581C"/>
    <w:rsid w:val="2C4F1944"/>
    <w:rsid w:val="2C55425C"/>
    <w:rsid w:val="2C5F2E20"/>
    <w:rsid w:val="2CBA6B82"/>
    <w:rsid w:val="2CBF1EDA"/>
    <w:rsid w:val="2CC13E88"/>
    <w:rsid w:val="2CCA30ED"/>
    <w:rsid w:val="2CD84D7C"/>
    <w:rsid w:val="2CE25629"/>
    <w:rsid w:val="2CF241A1"/>
    <w:rsid w:val="2CFC6DCE"/>
    <w:rsid w:val="2D012636"/>
    <w:rsid w:val="2D4A7B39"/>
    <w:rsid w:val="2D4B2B56"/>
    <w:rsid w:val="2D8172D3"/>
    <w:rsid w:val="2D9E56F5"/>
    <w:rsid w:val="2DED155B"/>
    <w:rsid w:val="2E007139"/>
    <w:rsid w:val="2E0979F4"/>
    <w:rsid w:val="2E156399"/>
    <w:rsid w:val="2E255193"/>
    <w:rsid w:val="2E3C1B78"/>
    <w:rsid w:val="2E5B2EA9"/>
    <w:rsid w:val="2E5F186E"/>
    <w:rsid w:val="2E667F96"/>
    <w:rsid w:val="2E8226AB"/>
    <w:rsid w:val="2E8D7F49"/>
    <w:rsid w:val="2EA65243"/>
    <w:rsid w:val="2EE41C73"/>
    <w:rsid w:val="2F083700"/>
    <w:rsid w:val="2F245F88"/>
    <w:rsid w:val="2F466167"/>
    <w:rsid w:val="2F4C0517"/>
    <w:rsid w:val="2F5729E1"/>
    <w:rsid w:val="2F662C24"/>
    <w:rsid w:val="2F8F5CD7"/>
    <w:rsid w:val="2F9C22C6"/>
    <w:rsid w:val="2FA3568B"/>
    <w:rsid w:val="2FAE0FC6"/>
    <w:rsid w:val="2FC00586"/>
    <w:rsid w:val="2FC6290B"/>
    <w:rsid w:val="2FD065E6"/>
    <w:rsid w:val="2FD96870"/>
    <w:rsid w:val="2FEF49C8"/>
    <w:rsid w:val="30021656"/>
    <w:rsid w:val="30052A29"/>
    <w:rsid w:val="3041296F"/>
    <w:rsid w:val="30503F93"/>
    <w:rsid w:val="30547245"/>
    <w:rsid w:val="30580BC9"/>
    <w:rsid w:val="306929CC"/>
    <w:rsid w:val="3095556F"/>
    <w:rsid w:val="30A6777C"/>
    <w:rsid w:val="30AA5742"/>
    <w:rsid w:val="30AC6860"/>
    <w:rsid w:val="30B117DF"/>
    <w:rsid w:val="30B654E5"/>
    <w:rsid w:val="30C37274"/>
    <w:rsid w:val="30C61666"/>
    <w:rsid w:val="30E43759"/>
    <w:rsid w:val="30FD39D4"/>
    <w:rsid w:val="31170389"/>
    <w:rsid w:val="311E2ED7"/>
    <w:rsid w:val="315619EE"/>
    <w:rsid w:val="315947EF"/>
    <w:rsid w:val="315C449C"/>
    <w:rsid w:val="31821B16"/>
    <w:rsid w:val="319121DA"/>
    <w:rsid w:val="31991D77"/>
    <w:rsid w:val="319C46DB"/>
    <w:rsid w:val="31B82709"/>
    <w:rsid w:val="31C165D8"/>
    <w:rsid w:val="31CB27AC"/>
    <w:rsid w:val="31CB34FB"/>
    <w:rsid w:val="31CF4AB1"/>
    <w:rsid w:val="31D05482"/>
    <w:rsid w:val="31DD5420"/>
    <w:rsid w:val="31F343E6"/>
    <w:rsid w:val="31F612F4"/>
    <w:rsid w:val="31FD007E"/>
    <w:rsid w:val="31FE46EF"/>
    <w:rsid w:val="31FE65A8"/>
    <w:rsid w:val="321772A1"/>
    <w:rsid w:val="321D40D5"/>
    <w:rsid w:val="32251378"/>
    <w:rsid w:val="323E301A"/>
    <w:rsid w:val="32400B34"/>
    <w:rsid w:val="32485E37"/>
    <w:rsid w:val="324E146B"/>
    <w:rsid w:val="32792E2E"/>
    <w:rsid w:val="329E6876"/>
    <w:rsid w:val="32A80A7D"/>
    <w:rsid w:val="32CE0CBB"/>
    <w:rsid w:val="33122EA7"/>
    <w:rsid w:val="332C4A18"/>
    <w:rsid w:val="333015F2"/>
    <w:rsid w:val="334B6320"/>
    <w:rsid w:val="33511B85"/>
    <w:rsid w:val="3392406A"/>
    <w:rsid w:val="3392494A"/>
    <w:rsid w:val="33950DD0"/>
    <w:rsid w:val="33AD2FC4"/>
    <w:rsid w:val="33AD64C3"/>
    <w:rsid w:val="33C61EE3"/>
    <w:rsid w:val="33D934D4"/>
    <w:rsid w:val="33F6261A"/>
    <w:rsid w:val="33FA4BD0"/>
    <w:rsid w:val="33FE2F6A"/>
    <w:rsid w:val="340824FC"/>
    <w:rsid w:val="340E07E5"/>
    <w:rsid w:val="341B3FDD"/>
    <w:rsid w:val="34235BF7"/>
    <w:rsid w:val="34396275"/>
    <w:rsid w:val="348621A5"/>
    <w:rsid w:val="34B556B5"/>
    <w:rsid w:val="34D01CEF"/>
    <w:rsid w:val="34D20A5B"/>
    <w:rsid w:val="34D46CCE"/>
    <w:rsid w:val="34EF54F2"/>
    <w:rsid w:val="3513554F"/>
    <w:rsid w:val="351F18AB"/>
    <w:rsid w:val="354C784B"/>
    <w:rsid w:val="355A755C"/>
    <w:rsid w:val="355D6388"/>
    <w:rsid w:val="35695279"/>
    <w:rsid w:val="356D0868"/>
    <w:rsid w:val="358C5FA8"/>
    <w:rsid w:val="35917F75"/>
    <w:rsid w:val="35AD2F16"/>
    <w:rsid w:val="35AE0533"/>
    <w:rsid w:val="35C15DF1"/>
    <w:rsid w:val="35C30B9C"/>
    <w:rsid w:val="35D354F2"/>
    <w:rsid w:val="35D8162A"/>
    <w:rsid w:val="35E17369"/>
    <w:rsid w:val="35E37139"/>
    <w:rsid w:val="35F066FA"/>
    <w:rsid w:val="35F25212"/>
    <w:rsid w:val="36074A7F"/>
    <w:rsid w:val="36214A2E"/>
    <w:rsid w:val="36252EF1"/>
    <w:rsid w:val="36333195"/>
    <w:rsid w:val="36471C6F"/>
    <w:rsid w:val="365126FC"/>
    <w:rsid w:val="365732C7"/>
    <w:rsid w:val="36582B23"/>
    <w:rsid w:val="366C1CEE"/>
    <w:rsid w:val="367A7B72"/>
    <w:rsid w:val="367D5540"/>
    <w:rsid w:val="3683427B"/>
    <w:rsid w:val="368B674D"/>
    <w:rsid w:val="36923549"/>
    <w:rsid w:val="369F0323"/>
    <w:rsid w:val="36A02F26"/>
    <w:rsid w:val="36B75FBF"/>
    <w:rsid w:val="36BB50CB"/>
    <w:rsid w:val="36BD0C45"/>
    <w:rsid w:val="36CC3958"/>
    <w:rsid w:val="36D732AC"/>
    <w:rsid w:val="36DD1A1E"/>
    <w:rsid w:val="36DF562B"/>
    <w:rsid w:val="36F86858"/>
    <w:rsid w:val="37103BA1"/>
    <w:rsid w:val="372E0CF4"/>
    <w:rsid w:val="37902F95"/>
    <w:rsid w:val="37963E29"/>
    <w:rsid w:val="37A71FAA"/>
    <w:rsid w:val="37C07112"/>
    <w:rsid w:val="37C93D50"/>
    <w:rsid w:val="37E00298"/>
    <w:rsid w:val="382962D2"/>
    <w:rsid w:val="383107CC"/>
    <w:rsid w:val="3833314B"/>
    <w:rsid w:val="3837726B"/>
    <w:rsid w:val="38402264"/>
    <w:rsid w:val="3851621F"/>
    <w:rsid w:val="385B0E4C"/>
    <w:rsid w:val="385D671C"/>
    <w:rsid w:val="387E3538"/>
    <w:rsid w:val="388679AA"/>
    <w:rsid w:val="38881374"/>
    <w:rsid w:val="388A508E"/>
    <w:rsid w:val="38A722E3"/>
    <w:rsid w:val="38AC16A8"/>
    <w:rsid w:val="38B302F9"/>
    <w:rsid w:val="38DA1581"/>
    <w:rsid w:val="38F12CD3"/>
    <w:rsid w:val="38F94775"/>
    <w:rsid w:val="39162FC5"/>
    <w:rsid w:val="391F00CC"/>
    <w:rsid w:val="392456E2"/>
    <w:rsid w:val="392971ED"/>
    <w:rsid w:val="39325651"/>
    <w:rsid w:val="39396CB4"/>
    <w:rsid w:val="39695A15"/>
    <w:rsid w:val="396B5912"/>
    <w:rsid w:val="397877DC"/>
    <w:rsid w:val="39916AF0"/>
    <w:rsid w:val="39A405AA"/>
    <w:rsid w:val="39B8678E"/>
    <w:rsid w:val="39C329C3"/>
    <w:rsid w:val="39C51C3E"/>
    <w:rsid w:val="39D42485"/>
    <w:rsid w:val="39DE3610"/>
    <w:rsid w:val="39F34670"/>
    <w:rsid w:val="39F53C19"/>
    <w:rsid w:val="3A23599A"/>
    <w:rsid w:val="3A415444"/>
    <w:rsid w:val="3A452C42"/>
    <w:rsid w:val="3A542E22"/>
    <w:rsid w:val="3A55231C"/>
    <w:rsid w:val="3A7C5318"/>
    <w:rsid w:val="3A802DEC"/>
    <w:rsid w:val="3A825EC0"/>
    <w:rsid w:val="3A872856"/>
    <w:rsid w:val="3A97532C"/>
    <w:rsid w:val="3AA749FD"/>
    <w:rsid w:val="3AAD7959"/>
    <w:rsid w:val="3AB40CE8"/>
    <w:rsid w:val="3AC01DBC"/>
    <w:rsid w:val="3AFC677B"/>
    <w:rsid w:val="3B0260D3"/>
    <w:rsid w:val="3B1A14A3"/>
    <w:rsid w:val="3B2B03C4"/>
    <w:rsid w:val="3B320480"/>
    <w:rsid w:val="3B3763D1"/>
    <w:rsid w:val="3B5F6CB1"/>
    <w:rsid w:val="3B64270E"/>
    <w:rsid w:val="3B6B44EC"/>
    <w:rsid w:val="3B7010B2"/>
    <w:rsid w:val="3B742FF2"/>
    <w:rsid w:val="3BB07701"/>
    <w:rsid w:val="3BBD0467"/>
    <w:rsid w:val="3BC06454"/>
    <w:rsid w:val="3BC62A80"/>
    <w:rsid w:val="3BD36E4F"/>
    <w:rsid w:val="3C081B09"/>
    <w:rsid w:val="3C1C0565"/>
    <w:rsid w:val="3C1E658D"/>
    <w:rsid w:val="3C23401A"/>
    <w:rsid w:val="3C2F6E1E"/>
    <w:rsid w:val="3C394C36"/>
    <w:rsid w:val="3C3D6ABB"/>
    <w:rsid w:val="3C4542ED"/>
    <w:rsid w:val="3C4F64BA"/>
    <w:rsid w:val="3C52085B"/>
    <w:rsid w:val="3C553E04"/>
    <w:rsid w:val="3C7124D2"/>
    <w:rsid w:val="3C7324DC"/>
    <w:rsid w:val="3CDA245A"/>
    <w:rsid w:val="3CFD7124"/>
    <w:rsid w:val="3D02190C"/>
    <w:rsid w:val="3D0E7A18"/>
    <w:rsid w:val="3D1305E8"/>
    <w:rsid w:val="3D1E06B7"/>
    <w:rsid w:val="3D1E1A76"/>
    <w:rsid w:val="3D4A4FA9"/>
    <w:rsid w:val="3D4D2460"/>
    <w:rsid w:val="3D6F66E0"/>
    <w:rsid w:val="3D7B789B"/>
    <w:rsid w:val="3D89645B"/>
    <w:rsid w:val="3DA43295"/>
    <w:rsid w:val="3DA83C1E"/>
    <w:rsid w:val="3DB42DAD"/>
    <w:rsid w:val="3DBF7966"/>
    <w:rsid w:val="3DEE2762"/>
    <w:rsid w:val="3DF11955"/>
    <w:rsid w:val="3E005E3A"/>
    <w:rsid w:val="3E0F4040"/>
    <w:rsid w:val="3E150EFD"/>
    <w:rsid w:val="3E22661F"/>
    <w:rsid w:val="3E3275D0"/>
    <w:rsid w:val="3E526909"/>
    <w:rsid w:val="3E6D3772"/>
    <w:rsid w:val="3E73498E"/>
    <w:rsid w:val="3E831CDC"/>
    <w:rsid w:val="3EA6303D"/>
    <w:rsid w:val="3EB9042E"/>
    <w:rsid w:val="3EBE0387"/>
    <w:rsid w:val="3EC7312C"/>
    <w:rsid w:val="3ED01E68"/>
    <w:rsid w:val="3EDA0523"/>
    <w:rsid w:val="3EFA7FC6"/>
    <w:rsid w:val="3F010273"/>
    <w:rsid w:val="3F0F3D1E"/>
    <w:rsid w:val="3F1D32FF"/>
    <w:rsid w:val="3F6A506D"/>
    <w:rsid w:val="3F7D6A90"/>
    <w:rsid w:val="3F813EFD"/>
    <w:rsid w:val="3F895E8F"/>
    <w:rsid w:val="3FBB2933"/>
    <w:rsid w:val="3FBC53E4"/>
    <w:rsid w:val="3FBE0A92"/>
    <w:rsid w:val="3FC841AF"/>
    <w:rsid w:val="3FD8425A"/>
    <w:rsid w:val="3FDC26AA"/>
    <w:rsid w:val="3FFE1D6B"/>
    <w:rsid w:val="404B17A6"/>
    <w:rsid w:val="404C4E26"/>
    <w:rsid w:val="404F46B6"/>
    <w:rsid w:val="405C176B"/>
    <w:rsid w:val="4066403F"/>
    <w:rsid w:val="4071000B"/>
    <w:rsid w:val="40746F0F"/>
    <w:rsid w:val="407A6407"/>
    <w:rsid w:val="4089597C"/>
    <w:rsid w:val="409741EB"/>
    <w:rsid w:val="409D33F8"/>
    <w:rsid w:val="40A415D2"/>
    <w:rsid w:val="40A435AC"/>
    <w:rsid w:val="40A86BF9"/>
    <w:rsid w:val="40BB6C9A"/>
    <w:rsid w:val="40C96D5A"/>
    <w:rsid w:val="40D3171C"/>
    <w:rsid w:val="40E907ED"/>
    <w:rsid w:val="41044264"/>
    <w:rsid w:val="41287D7D"/>
    <w:rsid w:val="412A13B6"/>
    <w:rsid w:val="41421D5F"/>
    <w:rsid w:val="41430B8B"/>
    <w:rsid w:val="4147403D"/>
    <w:rsid w:val="41687DA8"/>
    <w:rsid w:val="41834359"/>
    <w:rsid w:val="418C4D18"/>
    <w:rsid w:val="41931657"/>
    <w:rsid w:val="41AB6823"/>
    <w:rsid w:val="41BD2683"/>
    <w:rsid w:val="41D025F0"/>
    <w:rsid w:val="41EF57BD"/>
    <w:rsid w:val="41F453CB"/>
    <w:rsid w:val="4200449D"/>
    <w:rsid w:val="4206515C"/>
    <w:rsid w:val="42162288"/>
    <w:rsid w:val="422229DB"/>
    <w:rsid w:val="42226CBB"/>
    <w:rsid w:val="422C63EB"/>
    <w:rsid w:val="423A3BCC"/>
    <w:rsid w:val="424219C4"/>
    <w:rsid w:val="42455D3B"/>
    <w:rsid w:val="424E57D2"/>
    <w:rsid w:val="42572AFB"/>
    <w:rsid w:val="425758C4"/>
    <w:rsid w:val="42672AE3"/>
    <w:rsid w:val="426E45CA"/>
    <w:rsid w:val="426E7CA2"/>
    <w:rsid w:val="427253E6"/>
    <w:rsid w:val="42781771"/>
    <w:rsid w:val="42881AA6"/>
    <w:rsid w:val="429A7734"/>
    <w:rsid w:val="42A06724"/>
    <w:rsid w:val="42A611C4"/>
    <w:rsid w:val="42B26C49"/>
    <w:rsid w:val="42CB25B2"/>
    <w:rsid w:val="42CC2ADD"/>
    <w:rsid w:val="42F97BDF"/>
    <w:rsid w:val="43194233"/>
    <w:rsid w:val="433557CD"/>
    <w:rsid w:val="433A6FE6"/>
    <w:rsid w:val="43476CB6"/>
    <w:rsid w:val="43480868"/>
    <w:rsid w:val="434F1CF8"/>
    <w:rsid w:val="4350713C"/>
    <w:rsid w:val="4356566F"/>
    <w:rsid w:val="435F0C7D"/>
    <w:rsid w:val="436653E0"/>
    <w:rsid w:val="43716024"/>
    <w:rsid w:val="437234EE"/>
    <w:rsid w:val="43730CC1"/>
    <w:rsid w:val="43790D20"/>
    <w:rsid w:val="438A2D5B"/>
    <w:rsid w:val="438F6F2B"/>
    <w:rsid w:val="43A63824"/>
    <w:rsid w:val="43AC4C52"/>
    <w:rsid w:val="43AF32DF"/>
    <w:rsid w:val="43C4431A"/>
    <w:rsid w:val="43FB5AEC"/>
    <w:rsid w:val="44064E36"/>
    <w:rsid w:val="440D1B91"/>
    <w:rsid w:val="442C78FF"/>
    <w:rsid w:val="44305883"/>
    <w:rsid w:val="44330ECF"/>
    <w:rsid w:val="44370EF0"/>
    <w:rsid w:val="44394B72"/>
    <w:rsid w:val="443D4CBF"/>
    <w:rsid w:val="44437BC7"/>
    <w:rsid w:val="444C543F"/>
    <w:rsid w:val="4454372B"/>
    <w:rsid w:val="44715D6A"/>
    <w:rsid w:val="448E3D1D"/>
    <w:rsid w:val="449A2CFC"/>
    <w:rsid w:val="449B614F"/>
    <w:rsid w:val="449D459A"/>
    <w:rsid w:val="449E3D0E"/>
    <w:rsid w:val="44B46CB6"/>
    <w:rsid w:val="44B951CC"/>
    <w:rsid w:val="44BC2C73"/>
    <w:rsid w:val="44CD14E0"/>
    <w:rsid w:val="44CF19E1"/>
    <w:rsid w:val="44D47A4A"/>
    <w:rsid w:val="44E93A5D"/>
    <w:rsid w:val="44F20B0B"/>
    <w:rsid w:val="44F670A7"/>
    <w:rsid w:val="450E1C75"/>
    <w:rsid w:val="450E5003"/>
    <w:rsid w:val="452977D5"/>
    <w:rsid w:val="452E5F4C"/>
    <w:rsid w:val="45374A76"/>
    <w:rsid w:val="45612018"/>
    <w:rsid w:val="4565330A"/>
    <w:rsid w:val="456632CE"/>
    <w:rsid w:val="458946E9"/>
    <w:rsid w:val="458F5039"/>
    <w:rsid w:val="459B4B29"/>
    <w:rsid w:val="459C2AA4"/>
    <w:rsid w:val="45A47C0E"/>
    <w:rsid w:val="45BE0C6C"/>
    <w:rsid w:val="45C80314"/>
    <w:rsid w:val="45E5269D"/>
    <w:rsid w:val="45EC43C4"/>
    <w:rsid w:val="46311A6E"/>
    <w:rsid w:val="464F5D68"/>
    <w:rsid w:val="46537607"/>
    <w:rsid w:val="46537E03"/>
    <w:rsid w:val="46577FD6"/>
    <w:rsid w:val="465A72B1"/>
    <w:rsid w:val="46690BD8"/>
    <w:rsid w:val="469770BD"/>
    <w:rsid w:val="46AA7751"/>
    <w:rsid w:val="46B42853"/>
    <w:rsid w:val="46D955A7"/>
    <w:rsid w:val="46DA3884"/>
    <w:rsid w:val="46F10BCE"/>
    <w:rsid w:val="46FE4680"/>
    <w:rsid w:val="47094169"/>
    <w:rsid w:val="47133957"/>
    <w:rsid w:val="471E2636"/>
    <w:rsid w:val="47307819"/>
    <w:rsid w:val="476507F1"/>
    <w:rsid w:val="476700F6"/>
    <w:rsid w:val="47A07E0C"/>
    <w:rsid w:val="47DC50FD"/>
    <w:rsid w:val="480118F4"/>
    <w:rsid w:val="48030BB8"/>
    <w:rsid w:val="483C6D09"/>
    <w:rsid w:val="48410A34"/>
    <w:rsid w:val="485338EE"/>
    <w:rsid w:val="4870272E"/>
    <w:rsid w:val="48801A89"/>
    <w:rsid w:val="488E7654"/>
    <w:rsid w:val="48975774"/>
    <w:rsid w:val="48B862F6"/>
    <w:rsid w:val="48BA396D"/>
    <w:rsid w:val="48CC18F2"/>
    <w:rsid w:val="48D367DD"/>
    <w:rsid w:val="48DE2D50"/>
    <w:rsid w:val="48E5096A"/>
    <w:rsid w:val="48E74B87"/>
    <w:rsid w:val="48F52BF7"/>
    <w:rsid w:val="49014AED"/>
    <w:rsid w:val="490746D8"/>
    <w:rsid w:val="49090450"/>
    <w:rsid w:val="49117305"/>
    <w:rsid w:val="49137521"/>
    <w:rsid w:val="493F6731"/>
    <w:rsid w:val="4948792F"/>
    <w:rsid w:val="495968F4"/>
    <w:rsid w:val="4961028C"/>
    <w:rsid w:val="49690A3B"/>
    <w:rsid w:val="49794CAD"/>
    <w:rsid w:val="498530BE"/>
    <w:rsid w:val="498F38BE"/>
    <w:rsid w:val="49B67CA8"/>
    <w:rsid w:val="49D42220"/>
    <w:rsid w:val="49DC7715"/>
    <w:rsid w:val="49E05097"/>
    <w:rsid w:val="49E54749"/>
    <w:rsid w:val="49EF5898"/>
    <w:rsid w:val="4A023139"/>
    <w:rsid w:val="4A1D526D"/>
    <w:rsid w:val="4A5716F8"/>
    <w:rsid w:val="4A5A3051"/>
    <w:rsid w:val="4A743FEF"/>
    <w:rsid w:val="4A7A38A1"/>
    <w:rsid w:val="4A7B576F"/>
    <w:rsid w:val="4A9F72BE"/>
    <w:rsid w:val="4AE44B51"/>
    <w:rsid w:val="4AF561A9"/>
    <w:rsid w:val="4AFC2B80"/>
    <w:rsid w:val="4B0E78FD"/>
    <w:rsid w:val="4B3F0159"/>
    <w:rsid w:val="4B6A69C7"/>
    <w:rsid w:val="4BA3059A"/>
    <w:rsid w:val="4BA601D9"/>
    <w:rsid w:val="4BB453FF"/>
    <w:rsid w:val="4BCA036B"/>
    <w:rsid w:val="4BD415B0"/>
    <w:rsid w:val="4BDC5725"/>
    <w:rsid w:val="4BEB0052"/>
    <w:rsid w:val="4BEF39E7"/>
    <w:rsid w:val="4C1A6E1F"/>
    <w:rsid w:val="4C250093"/>
    <w:rsid w:val="4C410CE6"/>
    <w:rsid w:val="4C4A0649"/>
    <w:rsid w:val="4C4F29A2"/>
    <w:rsid w:val="4C621F26"/>
    <w:rsid w:val="4C7700F4"/>
    <w:rsid w:val="4C7A26F4"/>
    <w:rsid w:val="4C7D53DD"/>
    <w:rsid w:val="4C7E5ECA"/>
    <w:rsid w:val="4C7F0446"/>
    <w:rsid w:val="4C876AA5"/>
    <w:rsid w:val="4CA649E4"/>
    <w:rsid w:val="4CB31574"/>
    <w:rsid w:val="4CB71CDB"/>
    <w:rsid w:val="4CC2186B"/>
    <w:rsid w:val="4CF57C64"/>
    <w:rsid w:val="4D035956"/>
    <w:rsid w:val="4D0E00FB"/>
    <w:rsid w:val="4D12706E"/>
    <w:rsid w:val="4D176606"/>
    <w:rsid w:val="4D2C3178"/>
    <w:rsid w:val="4D3D5F9A"/>
    <w:rsid w:val="4D42288A"/>
    <w:rsid w:val="4D423F31"/>
    <w:rsid w:val="4D886B44"/>
    <w:rsid w:val="4DA22273"/>
    <w:rsid w:val="4DAA338D"/>
    <w:rsid w:val="4DB46035"/>
    <w:rsid w:val="4DB74440"/>
    <w:rsid w:val="4DC84A2B"/>
    <w:rsid w:val="4DD64459"/>
    <w:rsid w:val="4DDF79D2"/>
    <w:rsid w:val="4DE755D5"/>
    <w:rsid w:val="4DEC4FB0"/>
    <w:rsid w:val="4E075D8A"/>
    <w:rsid w:val="4E0C1ADB"/>
    <w:rsid w:val="4E157897"/>
    <w:rsid w:val="4E1E04FA"/>
    <w:rsid w:val="4E3E4D42"/>
    <w:rsid w:val="4E424F73"/>
    <w:rsid w:val="4E473EF5"/>
    <w:rsid w:val="4E4F2A50"/>
    <w:rsid w:val="4E83548F"/>
    <w:rsid w:val="4E902622"/>
    <w:rsid w:val="4EA5175D"/>
    <w:rsid w:val="4EC00FAD"/>
    <w:rsid w:val="4EF63225"/>
    <w:rsid w:val="4F007B20"/>
    <w:rsid w:val="4F323823"/>
    <w:rsid w:val="4F777901"/>
    <w:rsid w:val="4F933404"/>
    <w:rsid w:val="4F9843DC"/>
    <w:rsid w:val="4FAD422B"/>
    <w:rsid w:val="4FAD71AE"/>
    <w:rsid w:val="4FB96E6B"/>
    <w:rsid w:val="4FC52A35"/>
    <w:rsid w:val="4FC62A8C"/>
    <w:rsid w:val="4FE20F0D"/>
    <w:rsid w:val="4FE51552"/>
    <w:rsid w:val="4FE63299"/>
    <w:rsid w:val="5040654F"/>
    <w:rsid w:val="50504C4B"/>
    <w:rsid w:val="5066262C"/>
    <w:rsid w:val="50811214"/>
    <w:rsid w:val="5083312A"/>
    <w:rsid w:val="509166B3"/>
    <w:rsid w:val="509C6E7C"/>
    <w:rsid w:val="50C01D3C"/>
    <w:rsid w:val="50CB33FA"/>
    <w:rsid w:val="50CE392A"/>
    <w:rsid w:val="50EA6DB9"/>
    <w:rsid w:val="50F25710"/>
    <w:rsid w:val="50FD540C"/>
    <w:rsid w:val="51157B6D"/>
    <w:rsid w:val="514575D4"/>
    <w:rsid w:val="5153670D"/>
    <w:rsid w:val="51543AA4"/>
    <w:rsid w:val="5162104E"/>
    <w:rsid w:val="5165658D"/>
    <w:rsid w:val="51873098"/>
    <w:rsid w:val="51972CF4"/>
    <w:rsid w:val="51E253B7"/>
    <w:rsid w:val="51F003FF"/>
    <w:rsid w:val="51F63FAE"/>
    <w:rsid w:val="51FE5382"/>
    <w:rsid w:val="52052D1F"/>
    <w:rsid w:val="5206142A"/>
    <w:rsid w:val="520E7042"/>
    <w:rsid w:val="523C53F3"/>
    <w:rsid w:val="524D48D7"/>
    <w:rsid w:val="524E4C50"/>
    <w:rsid w:val="525070F0"/>
    <w:rsid w:val="52694EC1"/>
    <w:rsid w:val="52744321"/>
    <w:rsid w:val="52804F8B"/>
    <w:rsid w:val="52907045"/>
    <w:rsid w:val="52AA2CA4"/>
    <w:rsid w:val="52AD42C3"/>
    <w:rsid w:val="52C61160"/>
    <w:rsid w:val="52FB3500"/>
    <w:rsid w:val="53193986"/>
    <w:rsid w:val="532F30EC"/>
    <w:rsid w:val="53332104"/>
    <w:rsid w:val="5334256E"/>
    <w:rsid w:val="53654E1D"/>
    <w:rsid w:val="53A039CC"/>
    <w:rsid w:val="53A1505A"/>
    <w:rsid w:val="53BD2563"/>
    <w:rsid w:val="53CD55D3"/>
    <w:rsid w:val="53DA5AFE"/>
    <w:rsid w:val="54022FCE"/>
    <w:rsid w:val="54063E08"/>
    <w:rsid w:val="541128F0"/>
    <w:rsid w:val="54326EA4"/>
    <w:rsid w:val="543437E8"/>
    <w:rsid w:val="543C5B7E"/>
    <w:rsid w:val="5455388C"/>
    <w:rsid w:val="545679FF"/>
    <w:rsid w:val="545C3B2A"/>
    <w:rsid w:val="54A674F1"/>
    <w:rsid w:val="54CA2659"/>
    <w:rsid w:val="54CF07A0"/>
    <w:rsid w:val="54DC0DEA"/>
    <w:rsid w:val="54F621D1"/>
    <w:rsid w:val="54F73313"/>
    <w:rsid w:val="54F80955"/>
    <w:rsid w:val="5518555E"/>
    <w:rsid w:val="551D59AF"/>
    <w:rsid w:val="55254E13"/>
    <w:rsid w:val="552E7C91"/>
    <w:rsid w:val="554E310A"/>
    <w:rsid w:val="555170A7"/>
    <w:rsid w:val="55574CCF"/>
    <w:rsid w:val="558660AA"/>
    <w:rsid w:val="5587536D"/>
    <w:rsid w:val="559B174B"/>
    <w:rsid w:val="55C23E61"/>
    <w:rsid w:val="55CA0BB0"/>
    <w:rsid w:val="55CE0CF4"/>
    <w:rsid w:val="55DA5051"/>
    <w:rsid w:val="55DE12CD"/>
    <w:rsid w:val="55E16306"/>
    <w:rsid w:val="55E738C7"/>
    <w:rsid w:val="55FA2FD9"/>
    <w:rsid w:val="562E08CC"/>
    <w:rsid w:val="56372AA1"/>
    <w:rsid w:val="56393B78"/>
    <w:rsid w:val="5647497B"/>
    <w:rsid w:val="566E5D97"/>
    <w:rsid w:val="56717635"/>
    <w:rsid w:val="567322BA"/>
    <w:rsid w:val="56755377"/>
    <w:rsid w:val="56884FC8"/>
    <w:rsid w:val="56AD10C8"/>
    <w:rsid w:val="56B22A9C"/>
    <w:rsid w:val="56D62915"/>
    <w:rsid w:val="56D67B97"/>
    <w:rsid w:val="570F30D6"/>
    <w:rsid w:val="572C3F3F"/>
    <w:rsid w:val="575136EE"/>
    <w:rsid w:val="57563CB6"/>
    <w:rsid w:val="57982E9C"/>
    <w:rsid w:val="57A33A90"/>
    <w:rsid w:val="57AF23E7"/>
    <w:rsid w:val="57B72A76"/>
    <w:rsid w:val="57B7532A"/>
    <w:rsid w:val="57C3426C"/>
    <w:rsid w:val="57C4498A"/>
    <w:rsid w:val="57CE1F93"/>
    <w:rsid w:val="57D0621E"/>
    <w:rsid w:val="57D95BB1"/>
    <w:rsid w:val="57E14298"/>
    <w:rsid w:val="580323F8"/>
    <w:rsid w:val="58160494"/>
    <w:rsid w:val="58195FFE"/>
    <w:rsid w:val="582E3A6C"/>
    <w:rsid w:val="583F5C3D"/>
    <w:rsid w:val="58456E64"/>
    <w:rsid w:val="584A26FB"/>
    <w:rsid w:val="584D32F7"/>
    <w:rsid w:val="584E1946"/>
    <w:rsid w:val="58507E4A"/>
    <w:rsid w:val="58711B6E"/>
    <w:rsid w:val="588743D1"/>
    <w:rsid w:val="5887701A"/>
    <w:rsid w:val="589F3ABF"/>
    <w:rsid w:val="58A8054E"/>
    <w:rsid w:val="58AE66C6"/>
    <w:rsid w:val="58AF094F"/>
    <w:rsid w:val="58C114B4"/>
    <w:rsid w:val="58FB75DE"/>
    <w:rsid w:val="59070E1D"/>
    <w:rsid w:val="590F7FA3"/>
    <w:rsid w:val="59200ABB"/>
    <w:rsid w:val="592278FA"/>
    <w:rsid w:val="595E04DD"/>
    <w:rsid w:val="59676679"/>
    <w:rsid w:val="59817DB2"/>
    <w:rsid w:val="598E6955"/>
    <w:rsid w:val="598E7711"/>
    <w:rsid w:val="59B23396"/>
    <w:rsid w:val="59B733A8"/>
    <w:rsid w:val="59C0439F"/>
    <w:rsid w:val="59C55518"/>
    <w:rsid w:val="59D14FBA"/>
    <w:rsid w:val="59D36007"/>
    <w:rsid w:val="59EF233D"/>
    <w:rsid w:val="59F34F31"/>
    <w:rsid w:val="5A1A3FE3"/>
    <w:rsid w:val="5A5359CF"/>
    <w:rsid w:val="5A634F75"/>
    <w:rsid w:val="5A6E693B"/>
    <w:rsid w:val="5A767910"/>
    <w:rsid w:val="5A781B28"/>
    <w:rsid w:val="5A816250"/>
    <w:rsid w:val="5A8E79AB"/>
    <w:rsid w:val="5AA846AB"/>
    <w:rsid w:val="5ABE2233"/>
    <w:rsid w:val="5AC1330B"/>
    <w:rsid w:val="5AE74EB7"/>
    <w:rsid w:val="5AF0321E"/>
    <w:rsid w:val="5AF314CF"/>
    <w:rsid w:val="5AFD593B"/>
    <w:rsid w:val="5B046CCA"/>
    <w:rsid w:val="5B18348D"/>
    <w:rsid w:val="5B1C1AF7"/>
    <w:rsid w:val="5B512782"/>
    <w:rsid w:val="5B7C6694"/>
    <w:rsid w:val="5B864FA9"/>
    <w:rsid w:val="5B9641E3"/>
    <w:rsid w:val="5B9C1779"/>
    <w:rsid w:val="5BA32FE4"/>
    <w:rsid w:val="5BAD7FD5"/>
    <w:rsid w:val="5BAF4E87"/>
    <w:rsid w:val="5BB068E1"/>
    <w:rsid w:val="5BB478E2"/>
    <w:rsid w:val="5BC1147D"/>
    <w:rsid w:val="5BCC74AF"/>
    <w:rsid w:val="5BDF5D95"/>
    <w:rsid w:val="5BFE7528"/>
    <w:rsid w:val="5C007CAF"/>
    <w:rsid w:val="5C0827EA"/>
    <w:rsid w:val="5C0C4088"/>
    <w:rsid w:val="5C313D9F"/>
    <w:rsid w:val="5C55656D"/>
    <w:rsid w:val="5C6E6AF1"/>
    <w:rsid w:val="5CA5630A"/>
    <w:rsid w:val="5CAD6DB7"/>
    <w:rsid w:val="5CB306AB"/>
    <w:rsid w:val="5CBA379E"/>
    <w:rsid w:val="5CBB2094"/>
    <w:rsid w:val="5CBC5AAE"/>
    <w:rsid w:val="5D0320A2"/>
    <w:rsid w:val="5D045B24"/>
    <w:rsid w:val="5D123DEB"/>
    <w:rsid w:val="5D1F7550"/>
    <w:rsid w:val="5D270949"/>
    <w:rsid w:val="5D2D212D"/>
    <w:rsid w:val="5D3715D8"/>
    <w:rsid w:val="5D454B57"/>
    <w:rsid w:val="5D485594"/>
    <w:rsid w:val="5D5418FE"/>
    <w:rsid w:val="5D5F17A4"/>
    <w:rsid w:val="5D606C47"/>
    <w:rsid w:val="5D6677C8"/>
    <w:rsid w:val="5D6867D4"/>
    <w:rsid w:val="5D6A375C"/>
    <w:rsid w:val="5D7B180B"/>
    <w:rsid w:val="5D8875C1"/>
    <w:rsid w:val="5DA16CAF"/>
    <w:rsid w:val="5DA3769A"/>
    <w:rsid w:val="5DA402F0"/>
    <w:rsid w:val="5DB54270"/>
    <w:rsid w:val="5DEE0701"/>
    <w:rsid w:val="5E004BFD"/>
    <w:rsid w:val="5E195734"/>
    <w:rsid w:val="5E1E4546"/>
    <w:rsid w:val="5E2467F1"/>
    <w:rsid w:val="5E3D49CC"/>
    <w:rsid w:val="5E435999"/>
    <w:rsid w:val="5E677C9B"/>
    <w:rsid w:val="5E7E3A37"/>
    <w:rsid w:val="5E856BD1"/>
    <w:rsid w:val="5E8E347A"/>
    <w:rsid w:val="5EC70711"/>
    <w:rsid w:val="5ED14B84"/>
    <w:rsid w:val="5EDA221B"/>
    <w:rsid w:val="5EE57575"/>
    <w:rsid w:val="5EFD5F0A"/>
    <w:rsid w:val="5F013C4C"/>
    <w:rsid w:val="5F1527E7"/>
    <w:rsid w:val="5F1A2B43"/>
    <w:rsid w:val="5F2B6F1B"/>
    <w:rsid w:val="5F322E09"/>
    <w:rsid w:val="5F323EEB"/>
    <w:rsid w:val="5F33080D"/>
    <w:rsid w:val="5F367F01"/>
    <w:rsid w:val="5F455A3A"/>
    <w:rsid w:val="5F704BB8"/>
    <w:rsid w:val="5F7E34EF"/>
    <w:rsid w:val="5F806226"/>
    <w:rsid w:val="5F9A0FF4"/>
    <w:rsid w:val="5FB837BB"/>
    <w:rsid w:val="5FCB425A"/>
    <w:rsid w:val="5FDC4659"/>
    <w:rsid w:val="5FE13A7D"/>
    <w:rsid w:val="6009355C"/>
    <w:rsid w:val="603D6F06"/>
    <w:rsid w:val="60827C38"/>
    <w:rsid w:val="609F40CF"/>
    <w:rsid w:val="60CC405A"/>
    <w:rsid w:val="60E4712B"/>
    <w:rsid w:val="60E91840"/>
    <w:rsid w:val="60FB691F"/>
    <w:rsid w:val="61343CE2"/>
    <w:rsid w:val="613D1187"/>
    <w:rsid w:val="61461DEA"/>
    <w:rsid w:val="615F2DF5"/>
    <w:rsid w:val="61715597"/>
    <w:rsid w:val="61753AC7"/>
    <w:rsid w:val="61850577"/>
    <w:rsid w:val="6197270E"/>
    <w:rsid w:val="619A0388"/>
    <w:rsid w:val="619D5782"/>
    <w:rsid w:val="61A11716"/>
    <w:rsid w:val="61B03B64"/>
    <w:rsid w:val="61E215D8"/>
    <w:rsid w:val="61F21F72"/>
    <w:rsid w:val="621B3775"/>
    <w:rsid w:val="62364782"/>
    <w:rsid w:val="623656E3"/>
    <w:rsid w:val="623B0DA7"/>
    <w:rsid w:val="623C5AB8"/>
    <w:rsid w:val="624A317C"/>
    <w:rsid w:val="62535C0B"/>
    <w:rsid w:val="625A2EEB"/>
    <w:rsid w:val="625A3B56"/>
    <w:rsid w:val="626420D2"/>
    <w:rsid w:val="6280757E"/>
    <w:rsid w:val="628202AE"/>
    <w:rsid w:val="62B735EC"/>
    <w:rsid w:val="62CB609F"/>
    <w:rsid w:val="62DA4EE0"/>
    <w:rsid w:val="62E450EA"/>
    <w:rsid w:val="62E802B0"/>
    <w:rsid w:val="62F615EE"/>
    <w:rsid w:val="630C1893"/>
    <w:rsid w:val="630C7063"/>
    <w:rsid w:val="63247F09"/>
    <w:rsid w:val="633F4D43"/>
    <w:rsid w:val="634631D6"/>
    <w:rsid w:val="634A0DD6"/>
    <w:rsid w:val="634B1DCB"/>
    <w:rsid w:val="63576530"/>
    <w:rsid w:val="635D233B"/>
    <w:rsid w:val="636925BA"/>
    <w:rsid w:val="63716D5F"/>
    <w:rsid w:val="6373518F"/>
    <w:rsid w:val="638D5A31"/>
    <w:rsid w:val="6394356A"/>
    <w:rsid w:val="63AF5C83"/>
    <w:rsid w:val="63C065F8"/>
    <w:rsid w:val="63C61B2C"/>
    <w:rsid w:val="63D336DD"/>
    <w:rsid w:val="63D40BE9"/>
    <w:rsid w:val="63D53B77"/>
    <w:rsid w:val="63D94EDB"/>
    <w:rsid w:val="63E37DC4"/>
    <w:rsid w:val="63E80775"/>
    <w:rsid w:val="64102431"/>
    <w:rsid w:val="641E704E"/>
    <w:rsid w:val="642042D7"/>
    <w:rsid w:val="64223BEF"/>
    <w:rsid w:val="642503DD"/>
    <w:rsid w:val="642C175C"/>
    <w:rsid w:val="6472739A"/>
    <w:rsid w:val="64803865"/>
    <w:rsid w:val="64A25090"/>
    <w:rsid w:val="64A5243A"/>
    <w:rsid w:val="64B63B91"/>
    <w:rsid w:val="64CB4B6D"/>
    <w:rsid w:val="64D8391C"/>
    <w:rsid w:val="64F531DE"/>
    <w:rsid w:val="64F8789F"/>
    <w:rsid w:val="651D2EE5"/>
    <w:rsid w:val="651D5558"/>
    <w:rsid w:val="65256B3E"/>
    <w:rsid w:val="65257F2A"/>
    <w:rsid w:val="65373578"/>
    <w:rsid w:val="653B778C"/>
    <w:rsid w:val="654A67B3"/>
    <w:rsid w:val="655068C5"/>
    <w:rsid w:val="656473D1"/>
    <w:rsid w:val="65913850"/>
    <w:rsid w:val="65AE58D2"/>
    <w:rsid w:val="65B03CD6"/>
    <w:rsid w:val="65B42E1D"/>
    <w:rsid w:val="65B574C0"/>
    <w:rsid w:val="65D5198E"/>
    <w:rsid w:val="65E9368C"/>
    <w:rsid w:val="65F70046"/>
    <w:rsid w:val="66094F0E"/>
    <w:rsid w:val="660C498C"/>
    <w:rsid w:val="6617339F"/>
    <w:rsid w:val="661F0E5C"/>
    <w:rsid w:val="6643670D"/>
    <w:rsid w:val="664D3C1B"/>
    <w:rsid w:val="66560A84"/>
    <w:rsid w:val="66772E16"/>
    <w:rsid w:val="66894914"/>
    <w:rsid w:val="669265A4"/>
    <w:rsid w:val="66B141AA"/>
    <w:rsid w:val="66C814F3"/>
    <w:rsid w:val="66D449CF"/>
    <w:rsid w:val="67027B50"/>
    <w:rsid w:val="671F124A"/>
    <w:rsid w:val="672E6F38"/>
    <w:rsid w:val="67392596"/>
    <w:rsid w:val="673E2441"/>
    <w:rsid w:val="67446533"/>
    <w:rsid w:val="676254A4"/>
    <w:rsid w:val="677A33C6"/>
    <w:rsid w:val="6790738C"/>
    <w:rsid w:val="67A55390"/>
    <w:rsid w:val="67D363A2"/>
    <w:rsid w:val="67E40D77"/>
    <w:rsid w:val="67E57B10"/>
    <w:rsid w:val="67EF2937"/>
    <w:rsid w:val="67F45FB1"/>
    <w:rsid w:val="68025295"/>
    <w:rsid w:val="68026250"/>
    <w:rsid w:val="68112A26"/>
    <w:rsid w:val="681E2F9F"/>
    <w:rsid w:val="681F6961"/>
    <w:rsid w:val="6828189F"/>
    <w:rsid w:val="68610A2F"/>
    <w:rsid w:val="686F6420"/>
    <w:rsid w:val="68701E42"/>
    <w:rsid w:val="68805514"/>
    <w:rsid w:val="68923D78"/>
    <w:rsid w:val="689C6793"/>
    <w:rsid w:val="68A16B63"/>
    <w:rsid w:val="68BA0CF8"/>
    <w:rsid w:val="68DC4DE2"/>
    <w:rsid w:val="68EE1667"/>
    <w:rsid w:val="69023866"/>
    <w:rsid w:val="69140A20"/>
    <w:rsid w:val="691F3B13"/>
    <w:rsid w:val="69316E2F"/>
    <w:rsid w:val="6933534A"/>
    <w:rsid w:val="69414646"/>
    <w:rsid w:val="694E2071"/>
    <w:rsid w:val="69766163"/>
    <w:rsid w:val="697962F6"/>
    <w:rsid w:val="697A3B33"/>
    <w:rsid w:val="699007FE"/>
    <w:rsid w:val="699E17DC"/>
    <w:rsid w:val="699E714C"/>
    <w:rsid w:val="69C73CE4"/>
    <w:rsid w:val="69D44760"/>
    <w:rsid w:val="69E50B3A"/>
    <w:rsid w:val="6A010F17"/>
    <w:rsid w:val="6A1851F7"/>
    <w:rsid w:val="6A1B2030"/>
    <w:rsid w:val="6A3A25AD"/>
    <w:rsid w:val="6A4B221F"/>
    <w:rsid w:val="6A4D243B"/>
    <w:rsid w:val="6A4E61B3"/>
    <w:rsid w:val="6A520EC7"/>
    <w:rsid w:val="6A521800"/>
    <w:rsid w:val="6A5710F3"/>
    <w:rsid w:val="6A68712F"/>
    <w:rsid w:val="6ABE4573"/>
    <w:rsid w:val="6AE8261D"/>
    <w:rsid w:val="6AF641F8"/>
    <w:rsid w:val="6AF87E20"/>
    <w:rsid w:val="6AFC176B"/>
    <w:rsid w:val="6B0B1692"/>
    <w:rsid w:val="6B105BD0"/>
    <w:rsid w:val="6B166CD1"/>
    <w:rsid w:val="6B2A63D6"/>
    <w:rsid w:val="6B322639"/>
    <w:rsid w:val="6B364C7D"/>
    <w:rsid w:val="6B416023"/>
    <w:rsid w:val="6B4C4AE6"/>
    <w:rsid w:val="6B6D6D93"/>
    <w:rsid w:val="6BAF2C82"/>
    <w:rsid w:val="6BC02799"/>
    <w:rsid w:val="6BC50FDA"/>
    <w:rsid w:val="6BCF02CD"/>
    <w:rsid w:val="6BDB5825"/>
    <w:rsid w:val="6BFC686E"/>
    <w:rsid w:val="6C003B09"/>
    <w:rsid w:val="6C636C38"/>
    <w:rsid w:val="6C935749"/>
    <w:rsid w:val="6C9C2E87"/>
    <w:rsid w:val="6CA248BD"/>
    <w:rsid w:val="6CA812D8"/>
    <w:rsid w:val="6CB30550"/>
    <w:rsid w:val="6CBA1C8C"/>
    <w:rsid w:val="6CC268D7"/>
    <w:rsid w:val="6CDC3F79"/>
    <w:rsid w:val="6D1006F4"/>
    <w:rsid w:val="6D3276C6"/>
    <w:rsid w:val="6D356589"/>
    <w:rsid w:val="6D437B25"/>
    <w:rsid w:val="6D4C4C2C"/>
    <w:rsid w:val="6D4E43B0"/>
    <w:rsid w:val="6D5E782B"/>
    <w:rsid w:val="6D9E0DCB"/>
    <w:rsid w:val="6DB34098"/>
    <w:rsid w:val="6DB545B6"/>
    <w:rsid w:val="6DD212A7"/>
    <w:rsid w:val="6DE02FB4"/>
    <w:rsid w:val="6DE07122"/>
    <w:rsid w:val="6DE25CB5"/>
    <w:rsid w:val="6DED2C8E"/>
    <w:rsid w:val="6E0B6B0F"/>
    <w:rsid w:val="6E162F51"/>
    <w:rsid w:val="6E2E57DF"/>
    <w:rsid w:val="6E312B1C"/>
    <w:rsid w:val="6E3D4902"/>
    <w:rsid w:val="6E4B4084"/>
    <w:rsid w:val="6E4B4E87"/>
    <w:rsid w:val="6E514CED"/>
    <w:rsid w:val="6E6156F8"/>
    <w:rsid w:val="6E6828A9"/>
    <w:rsid w:val="6E71421E"/>
    <w:rsid w:val="6E9E061F"/>
    <w:rsid w:val="6EAD34A8"/>
    <w:rsid w:val="6EB563D5"/>
    <w:rsid w:val="6EC977BC"/>
    <w:rsid w:val="6ED92677"/>
    <w:rsid w:val="6EE64C0C"/>
    <w:rsid w:val="6F06705D"/>
    <w:rsid w:val="6F214FC3"/>
    <w:rsid w:val="6F225983"/>
    <w:rsid w:val="6F2B261F"/>
    <w:rsid w:val="6F541B76"/>
    <w:rsid w:val="6F552188"/>
    <w:rsid w:val="6F5F3EE0"/>
    <w:rsid w:val="6F676472"/>
    <w:rsid w:val="6F74473E"/>
    <w:rsid w:val="6F7734AA"/>
    <w:rsid w:val="6F886237"/>
    <w:rsid w:val="6F9E1043"/>
    <w:rsid w:val="6FA521ED"/>
    <w:rsid w:val="6FC211D5"/>
    <w:rsid w:val="6FD03FAE"/>
    <w:rsid w:val="6FE64B79"/>
    <w:rsid w:val="6FF62C2D"/>
    <w:rsid w:val="6FFC5590"/>
    <w:rsid w:val="700B4014"/>
    <w:rsid w:val="701514FB"/>
    <w:rsid w:val="70186481"/>
    <w:rsid w:val="701C726D"/>
    <w:rsid w:val="70273CB9"/>
    <w:rsid w:val="703462F3"/>
    <w:rsid w:val="703A0AFE"/>
    <w:rsid w:val="70455963"/>
    <w:rsid w:val="7052538A"/>
    <w:rsid w:val="70547F9C"/>
    <w:rsid w:val="70626515"/>
    <w:rsid w:val="706D1DD0"/>
    <w:rsid w:val="707760F1"/>
    <w:rsid w:val="70856B87"/>
    <w:rsid w:val="70955E3C"/>
    <w:rsid w:val="709F1517"/>
    <w:rsid w:val="70C05238"/>
    <w:rsid w:val="70D527EE"/>
    <w:rsid w:val="70D90117"/>
    <w:rsid w:val="70DA284B"/>
    <w:rsid w:val="7107788A"/>
    <w:rsid w:val="71162540"/>
    <w:rsid w:val="71250E7D"/>
    <w:rsid w:val="715B5300"/>
    <w:rsid w:val="71663602"/>
    <w:rsid w:val="717958C4"/>
    <w:rsid w:val="718F330A"/>
    <w:rsid w:val="71916308"/>
    <w:rsid w:val="71956476"/>
    <w:rsid w:val="71986767"/>
    <w:rsid w:val="719D0AE2"/>
    <w:rsid w:val="719E17CE"/>
    <w:rsid w:val="71BC7EA6"/>
    <w:rsid w:val="71C40F54"/>
    <w:rsid w:val="71C86406"/>
    <w:rsid w:val="71CC1B6E"/>
    <w:rsid w:val="71D27F8A"/>
    <w:rsid w:val="71D65C41"/>
    <w:rsid w:val="71DB5EC0"/>
    <w:rsid w:val="71E511AB"/>
    <w:rsid w:val="71F3502F"/>
    <w:rsid w:val="72040967"/>
    <w:rsid w:val="720D3028"/>
    <w:rsid w:val="722E11C0"/>
    <w:rsid w:val="72395053"/>
    <w:rsid w:val="72553024"/>
    <w:rsid w:val="72581B15"/>
    <w:rsid w:val="72605A1C"/>
    <w:rsid w:val="72621744"/>
    <w:rsid w:val="726245AA"/>
    <w:rsid w:val="7289603D"/>
    <w:rsid w:val="728C73A4"/>
    <w:rsid w:val="729D55E2"/>
    <w:rsid w:val="72A81BF6"/>
    <w:rsid w:val="72AC5DEC"/>
    <w:rsid w:val="72BE1FC1"/>
    <w:rsid w:val="72BF37AA"/>
    <w:rsid w:val="72C2329A"/>
    <w:rsid w:val="72D36FA6"/>
    <w:rsid w:val="72D54D7C"/>
    <w:rsid w:val="72F85B63"/>
    <w:rsid w:val="73122968"/>
    <w:rsid w:val="73136862"/>
    <w:rsid w:val="731F5D5E"/>
    <w:rsid w:val="73260050"/>
    <w:rsid w:val="732851CC"/>
    <w:rsid w:val="73322149"/>
    <w:rsid w:val="73487C44"/>
    <w:rsid w:val="735465E8"/>
    <w:rsid w:val="73563A76"/>
    <w:rsid w:val="7366593F"/>
    <w:rsid w:val="73853381"/>
    <w:rsid w:val="738A6720"/>
    <w:rsid w:val="73920450"/>
    <w:rsid w:val="73B372FF"/>
    <w:rsid w:val="73B37AEF"/>
    <w:rsid w:val="73C17C5B"/>
    <w:rsid w:val="73C51AD5"/>
    <w:rsid w:val="73D01C2D"/>
    <w:rsid w:val="73D25D0E"/>
    <w:rsid w:val="73E16E49"/>
    <w:rsid w:val="73F4025B"/>
    <w:rsid w:val="73F76F74"/>
    <w:rsid w:val="74001ED5"/>
    <w:rsid w:val="740F6E0E"/>
    <w:rsid w:val="7419513C"/>
    <w:rsid w:val="741E793C"/>
    <w:rsid w:val="74200ECA"/>
    <w:rsid w:val="74416441"/>
    <w:rsid w:val="74476312"/>
    <w:rsid w:val="744A3547"/>
    <w:rsid w:val="744A575C"/>
    <w:rsid w:val="744C72C0"/>
    <w:rsid w:val="7456127F"/>
    <w:rsid w:val="745E3944"/>
    <w:rsid w:val="746731C5"/>
    <w:rsid w:val="746A386C"/>
    <w:rsid w:val="74784559"/>
    <w:rsid w:val="747D0312"/>
    <w:rsid w:val="748163B3"/>
    <w:rsid w:val="74842BFC"/>
    <w:rsid w:val="748E7F28"/>
    <w:rsid w:val="74923DD8"/>
    <w:rsid w:val="74940C67"/>
    <w:rsid w:val="7499627D"/>
    <w:rsid w:val="74D6302D"/>
    <w:rsid w:val="74D85FA7"/>
    <w:rsid w:val="75046BAE"/>
    <w:rsid w:val="752E0831"/>
    <w:rsid w:val="75367F45"/>
    <w:rsid w:val="753B54F0"/>
    <w:rsid w:val="753F2BA4"/>
    <w:rsid w:val="754B08CB"/>
    <w:rsid w:val="75564B29"/>
    <w:rsid w:val="756B730A"/>
    <w:rsid w:val="756C0561"/>
    <w:rsid w:val="75800C68"/>
    <w:rsid w:val="7598164F"/>
    <w:rsid w:val="75A923CE"/>
    <w:rsid w:val="75BC41FA"/>
    <w:rsid w:val="75C32E72"/>
    <w:rsid w:val="75EF7FE9"/>
    <w:rsid w:val="760D2A7F"/>
    <w:rsid w:val="76141930"/>
    <w:rsid w:val="7635099D"/>
    <w:rsid w:val="763B04FD"/>
    <w:rsid w:val="763C0D8D"/>
    <w:rsid w:val="763E2648"/>
    <w:rsid w:val="763E70DC"/>
    <w:rsid w:val="767434F4"/>
    <w:rsid w:val="767B2BBA"/>
    <w:rsid w:val="76B25651"/>
    <w:rsid w:val="77181CE9"/>
    <w:rsid w:val="771E78C8"/>
    <w:rsid w:val="774F4C86"/>
    <w:rsid w:val="776F3C10"/>
    <w:rsid w:val="77762421"/>
    <w:rsid w:val="77980A6E"/>
    <w:rsid w:val="77A80CB1"/>
    <w:rsid w:val="77AC096F"/>
    <w:rsid w:val="77B56B1F"/>
    <w:rsid w:val="77BF5FFA"/>
    <w:rsid w:val="77C71A27"/>
    <w:rsid w:val="77C71BAD"/>
    <w:rsid w:val="780F09F4"/>
    <w:rsid w:val="78104AA8"/>
    <w:rsid w:val="7824158D"/>
    <w:rsid w:val="78462278"/>
    <w:rsid w:val="78467A71"/>
    <w:rsid w:val="78796E32"/>
    <w:rsid w:val="787E5EB6"/>
    <w:rsid w:val="78986F77"/>
    <w:rsid w:val="78992CEF"/>
    <w:rsid w:val="78A530E5"/>
    <w:rsid w:val="78A90480"/>
    <w:rsid w:val="78CC09CF"/>
    <w:rsid w:val="78D629B0"/>
    <w:rsid w:val="78E26444"/>
    <w:rsid w:val="791048D6"/>
    <w:rsid w:val="79125C43"/>
    <w:rsid w:val="791342AE"/>
    <w:rsid w:val="79233D2D"/>
    <w:rsid w:val="792478CA"/>
    <w:rsid w:val="79272AC6"/>
    <w:rsid w:val="79397A59"/>
    <w:rsid w:val="79405B2F"/>
    <w:rsid w:val="7975442E"/>
    <w:rsid w:val="79B5100C"/>
    <w:rsid w:val="79D23D09"/>
    <w:rsid w:val="79D41E99"/>
    <w:rsid w:val="79DE20DB"/>
    <w:rsid w:val="79F24465"/>
    <w:rsid w:val="7A0F01B1"/>
    <w:rsid w:val="7A1845EE"/>
    <w:rsid w:val="7A364017"/>
    <w:rsid w:val="7A39347C"/>
    <w:rsid w:val="7A3A38FF"/>
    <w:rsid w:val="7A4E6A05"/>
    <w:rsid w:val="7A7C01D3"/>
    <w:rsid w:val="7A8265E1"/>
    <w:rsid w:val="7A88301C"/>
    <w:rsid w:val="7A903C7E"/>
    <w:rsid w:val="7AA34334"/>
    <w:rsid w:val="7AAE056D"/>
    <w:rsid w:val="7ACC376D"/>
    <w:rsid w:val="7AF15074"/>
    <w:rsid w:val="7AF406B1"/>
    <w:rsid w:val="7B02692A"/>
    <w:rsid w:val="7B0C0115"/>
    <w:rsid w:val="7B137599"/>
    <w:rsid w:val="7B256ABC"/>
    <w:rsid w:val="7B511C22"/>
    <w:rsid w:val="7B512E8E"/>
    <w:rsid w:val="7B59095D"/>
    <w:rsid w:val="7B686D42"/>
    <w:rsid w:val="7B841746"/>
    <w:rsid w:val="7B8C602F"/>
    <w:rsid w:val="7B965ED6"/>
    <w:rsid w:val="7B9A6194"/>
    <w:rsid w:val="7BC24719"/>
    <w:rsid w:val="7BC968A9"/>
    <w:rsid w:val="7BDC72FB"/>
    <w:rsid w:val="7BDD2EF3"/>
    <w:rsid w:val="7BE86A9F"/>
    <w:rsid w:val="7BF17930"/>
    <w:rsid w:val="7C1D203B"/>
    <w:rsid w:val="7C2D5C29"/>
    <w:rsid w:val="7C49114F"/>
    <w:rsid w:val="7C5461B0"/>
    <w:rsid w:val="7C66113B"/>
    <w:rsid w:val="7C6C5AC7"/>
    <w:rsid w:val="7C7B3F5E"/>
    <w:rsid w:val="7CC6544B"/>
    <w:rsid w:val="7CCC1201"/>
    <w:rsid w:val="7CE41794"/>
    <w:rsid w:val="7CED1C47"/>
    <w:rsid w:val="7D0239FF"/>
    <w:rsid w:val="7D052A0C"/>
    <w:rsid w:val="7D171AF4"/>
    <w:rsid w:val="7D1F73D2"/>
    <w:rsid w:val="7D28155C"/>
    <w:rsid w:val="7D2E3358"/>
    <w:rsid w:val="7D3A4FDA"/>
    <w:rsid w:val="7D3B76EC"/>
    <w:rsid w:val="7D3D1598"/>
    <w:rsid w:val="7D52346D"/>
    <w:rsid w:val="7D5B0573"/>
    <w:rsid w:val="7D5D72DF"/>
    <w:rsid w:val="7D5E40CD"/>
    <w:rsid w:val="7D6438CC"/>
    <w:rsid w:val="7D735F23"/>
    <w:rsid w:val="7D7B29C4"/>
    <w:rsid w:val="7D7B2B9E"/>
    <w:rsid w:val="7D823D52"/>
    <w:rsid w:val="7D8E0949"/>
    <w:rsid w:val="7D9D40C2"/>
    <w:rsid w:val="7DBB54B6"/>
    <w:rsid w:val="7DC620F9"/>
    <w:rsid w:val="7DCD56F2"/>
    <w:rsid w:val="7DE411E5"/>
    <w:rsid w:val="7DE95B7F"/>
    <w:rsid w:val="7DF0493A"/>
    <w:rsid w:val="7DFB691F"/>
    <w:rsid w:val="7DFC1A33"/>
    <w:rsid w:val="7DFF6DA4"/>
    <w:rsid w:val="7E09208C"/>
    <w:rsid w:val="7E1441FE"/>
    <w:rsid w:val="7E335396"/>
    <w:rsid w:val="7E4422CE"/>
    <w:rsid w:val="7E4506A0"/>
    <w:rsid w:val="7E4A3282"/>
    <w:rsid w:val="7E8C369F"/>
    <w:rsid w:val="7E917B65"/>
    <w:rsid w:val="7EBB27AA"/>
    <w:rsid w:val="7EDC1B31"/>
    <w:rsid w:val="7EE60311"/>
    <w:rsid w:val="7EEE024B"/>
    <w:rsid w:val="7EF2127D"/>
    <w:rsid w:val="7F001CE7"/>
    <w:rsid w:val="7F0E66AF"/>
    <w:rsid w:val="7F62208D"/>
    <w:rsid w:val="7F6B5697"/>
    <w:rsid w:val="7F927033"/>
    <w:rsid w:val="7F9A269B"/>
    <w:rsid w:val="7FB7310E"/>
    <w:rsid w:val="7FC71EF0"/>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0" w:semiHidden="0" w:name="Table Grid"/>
    <w:lsdException w:uiPriority="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62"/>
    <w:autoRedefine/>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autoRedefine/>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2">
    <w:name w:val="toc 2"/>
    <w:basedOn w:val="1"/>
    <w:next w:val="1"/>
    <w:autoRedefine/>
    <w:qFormat/>
    <w:locked/>
    <w:uiPriority w:val="39"/>
    <w:pPr>
      <w:widowControl/>
      <w:tabs>
        <w:tab w:val="left" w:pos="840"/>
        <w:tab w:val="right" w:leader="dot" w:pos="8511"/>
      </w:tabs>
      <w:spacing w:line="320" w:lineRule="exact"/>
      <w:ind w:left="210"/>
      <w:jc w:val="left"/>
    </w:pPr>
    <w:rPr>
      <w:rFonts w:ascii="Calibri" w:hAnsi="Calibri"/>
      <w:smallCaps/>
      <w:kern w:val="0"/>
      <w:sz w:val="24"/>
      <w:szCs w:val="22"/>
    </w:rPr>
  </w:style>
  <w:style w:type="paragraph" w:styleId="6">
    <w:name w:val="Normal Indent"/>
    <w:basedOn w:val="1"/>
    <w:link w:val="60"/>
    <w:autoRedefine/>
    <w:qFormat/>
    <w:locked/>
    <w:uiPriority w:val="0"/>
    <w:pPr>
      <w:ind w:firstLine="420"/>
    </w:pPr>
    <w:rPr>
      <w:rFonts w:ascii="Calibri" w:hAnsi="Calibri"/>
      <w:szCs w:val="20"/>
    </w:rPr>
  </w:style>
  <w:style w:type="paragraph" w:styleId="7">
    <w:name w:val="annotation text"/>
    <w:basedOn w:val="1"/>
    <w:link w:val="42"/>
    <w:autoRedefine/>
    <w:qFormat/>
    <w:uiPriority w:val="0"/>
    <w:pPr>
      <w:jc w:val="left"/>
    </w:pPr>
    <w:rPr>
      <w:kern w:val="0"/>
      <w:sz w:val="24"/>
      <w:szCs w:val="20"/>
    </w:rPr>
  </w:style>
  <w:style w:type="paragraph" w:styleId="8">
    <w:name w:val="Body Text"/>
    <w:basedOn w:val="1"/>
    <w:next w:val="9"/>
    <w:link w:val="41"/>
    <w:autoRedefine/>
    <w:qFormat/>
    <w:uiPriority w:val="0"/>
    <w:pPr>
      <w:widowControl/>
      <w:snapToGrid w:val="0"/>
      <w:spacing w:before="60" w:after="160" w:line="259" w:lineRule="auto"/>
      <w:ind w:right="113"/>
    </w:pPr>
    <w:rPr>
      <w:kern w:val="0"/>
      <w:sz w:val="18"/>
      <w:szCs w:val="20"/>
    </w:rPr>
  </w:style>
  <w:style w:type="paragraph" w:styleId="9">
    <w:name w:val="List Bullet 5"/>
    <w:basedOn w:val="1"/>
    <w:autoRedefine/>
    <w:qFormat/>
    <w:locked/>
    <w:uiPriority w:val="0"/>
    <w:pPr>
      <w:numPr>
        <w:ilvl w:val="0"/>
        <w:numId w:val="1"/>
      </w:numPr>
    </w:pPr>
  </w:style>
  <w:style w:type="paragraph" w:styleId="10">
    <w:name w:val="Body Text Indent"/>
    <w:basedOn w:val="1"/>
    <w:next w:val="6"/>
    <w:link w:val="51"/>
    <w:autoRedefine/>
    <w:qFormat/>
    <w:uiPriority w:val="0"/>
    <w:pPr>
      <w:spacing w:after="120"/>
      <w:ind w:left="420" w:leftChars="200"/>
    </w:pPr>
    <w:rPr>
      <w:kern w:val="0"/>
      <w:sz w:val="24"/>
      <w:szCs w:val="20"/>
    </w:rPr>
  </w:style>
  <w:style w:type="paragraph" w:styleId="11">
    <w:name w:val="Block Text"/>
    <w:basedOn w:val="1"/>
    <w:autoRedefine/>
    <w:qFormat/>
    <w:locked/>
    <w:uiPriority w:val="0"/>
    <w:pPr>
      <w:spacing w:after="120"/>
      <w:ind w:left="1440" w:leftChars="700" w:right="1440" w:rightChars="700"/>
    </w:pPr>
    <w:rPr>
      <w:rFonts w:ascii="Calibri" w:hAnsi="Calibri"/>
      <w:szCs w:val="20"/>
    </w:rPr>
  </w:style>
  <w:style w:type="paragraph" w:styleId="12">
    <w:name w:val="Plain Text"/>
    <w:basedOn w:val="1"/>
    <w:next w:val="13"/>
    <w:link w:val="63"/>
    <w:autoRedefine/>
    <w:qFormat/>
    <w:locked/>
    <w:uiPriority w:val="0"/>
    <w:rPr>
      <w:rFonts w:ascii="宋体" w:hAnsi="Courier New"/>
      <w:szCs w:val="20"/>
    </w:rPr>
  </w:style>
  <w:style w:type="paragraph" w:styleId="13">
    <w:name w:val="toc 1"/>
    <w:basedOn w:val="1"/>
    <w:next w:val="1"/>
    <w:autoRedefine/>
    <w:qFormat/>
    <w:locked/>
    <w:uiPriority w:val="39"/>
    <w:pPr>
      <w:spacing w:before="120" w:after="120"/>
      <w:jc w:val="left"/>
    </w:pPr>
    <w:rPr>
      <w:rFonts w:ascii="Calibri" w:hAnsi="Calibri"/>
      <w:b/>
      <w:bCs/>
      <w:caps/>
      <w:sz w:val="20"/>
      <w:szCs w:val="20"/>
    </w:rPr>
  </w:style>
  <w:style w:type="paragraph" w:styleId="14">
    <w:name w:val="Date"/>
    <w:basedOn w:val="1"/>
    <w:next w:val="1"/>
    <w:link w:val="37"/>
    <w:autoRedefine/>
    <w:qFormat/>
    <w:uiPriority w:val="0"/>
    <w:pPr>
      <w:ind w:left="100" w:leftChars="2500"/>
    </w:pPr>
    <w:rPr>
      <w:kern w:val="0"/>
      <w:sz w:val="24"/>
      <w:szCs w:val="20"/>
    </w:rPr>
  </w:style>
  <w:style w:type="paragraph" w:styleId="15">
    <w:name w:val="Body Text Indent 2"/>
    <w:basedOn w:val="1"/>
    <w:link w:val="64"/>
    <w:autoRedefine/>
    <w:qFormat/>
    <w:locked/>
    <w:uiPriority w:val="0"/>
    <w:pPr>
      <w:spacing w:line="500" w:lineRule="exact"/>
      <w:ind w:firstLine="480" w:firstLineChars="200"/>
    </w:pPr>
    <w:rPr>
      <w:rFonts w:ascii="宋体" w:hAnsi="Calibri"/>
      <w:bCs/>
      <w:sz w:val="24"/>
      <w:szCs w:val="20"/>
    </w:rPr>
  </w:style>
  <w:style w:type="paragraph" w:styleId="16">
    <w:name w:val="Balloon Text"/>
    <w:basedOn w:val="1"/>
    <w:link w:val="47"/>
    <w:autoRedefine/>
    <w:qFormat/>
    <w:uiPriority w:val="0"/>
    <w:rPr>
      <w:kern w:val="0"/>
      <w:sz w:val="18"/>
      <w:szCs w:val="20"/>
    </w:rPr>
  </w:style>
  <w:style w:type="paragraph" w:styleId="17">
    <w:name w:val="footer"/>
    <w:basedOn w:val="1"/>
    <w:link w:val="36"/>
    <w:autoRedefine/>
    <w:qFormat/>
    <w:uiPriority w:val="99"/>
    <w:pPr>
      <w:tabs>
        <w:tab w:val="center" w:pos="4153"/>
        <w:tab w:val="right" w:pos="8306"/>
      </w:tabs>
      <w:snapToGrid w:val="0"/>
      <w:jc w:val="left"/>
    </w:pPr>
    <w:rPr>
      <w:kern w:val="0"/>
      <w:sz w:val="18"/>
      <w:szCs w:val="20"/>
    </w:rPr>
  </w:style>
  <w:style w:type="paragraph" w:styleId="18">
    <w:name w:val="header"/>
    <w:basedOn w:val="1"/>
    <w:link w:val="49"/>
    <w:autoRedefine/>
    <w:qFormat/>
    <w:uiPriority w:val="0"/>
    <w:pPr>
      <w:tabs>
        <w:tab w:val="center" w:pos="4153"/>
        <w:tab w:val="right" w:pos="8306"/>
      </w:tabs>
      <w:snapToGrid w:val="0"/>
      <w:jc w:val="center"/>
    </w:pPr>
    <w:rPr>
      <w:kern w:val="0"/>
      <w:sz w:val="18"/>
      <w:szCs w:val="20"/>
    </w:rPr>
  </w:style>
  <w:style w:type="paragraph" w:styleId="19">
    <w:name w:val="List"/>
    <w:basedOn w:val="1"/>
    <w:autoRedefine/>
    <w:qFormat/>
    <w:locked/>
    <w:uiPriority w:val="0"/>
    <w:pPr>
      <w:spacing w:line="360" w:lineRule="exact"/>
      <w:jc w:val="center"/>
    </w:pPr>
    <w:rPr>
      <w:rFonts w:ascii="仿宋_GB2312" w:eastAsia="仿宋_GB2312"/>
      <w:sz w:val="28"/>
    </w:rPr>
  </w:style>
  <w:style w:type="paragraph" w:styleId="20">
    <w:name w:val="Body Text Indent 3"/>
    <w:basedOn w:val="1"/>
    <w:link w:val="65"/>
    <w:autoRedefine/>
    <w:qFormat/>
    <w:locked/>
    <w:uiPriority w:val="0"/>
    <w:pPr>
      <w:spacing w:line="360" w:lineRule="auto"/>
      <w:ind w:firstLine="471" w:firstLineChars="200"/>
    </w:pPr>
    <w:rPr>
      <w:rFonts w:ascii="宋体" w:hAnsi="宋体"/>
      <w:sz w:val="24"/>
      <w:szCs w:val="20"/>
    </w:rPr>
  </w:style>
  <w:style w:type="paragraph" w:styleId="21">
    <w:name w:val="Body Text 2"/>
    <w:basedOn w:val="1"/>
    <w:link w:val="55"/>
    <w:autoRedefine/>
    <w:qFormat/>
    <w:locked/>
    <w:uiPriority w:val="0"/>
    <w:pPr>
      <w:spacing w:after="120" w:line="480" w:lineRule="auto"/>
    </w:pPr>
  </w:style>
  <w:style w:type="paragraph" w:styleId="22">
    <w:name w:val="Normal (Web)"/>
    <w:basedOn w:val="1"/>
    <w:link w:val="39"/>
    <w:autoRedefine/>
    <w:qFormat/>
    <w:uiPriority w:val="99"/>
    <w:pPr>
      <w:widowControl/>
      <w:spacing w:before="100" w:beforeAutospacing="1" w:after="100" w:afterAutospacing="1"/>
      <w:jc w:val="left"/>
    </w:pPr>
    <w:rPr>
      <w:rFonts w:ascii="宋体" w:hAnsi="宋体"/>
      <w:kern w:val="0"/>
      <w:sz w:val="24"/>
      <w:szCs w:val="20"/>
    </w:rPr>
  </w:style>
  <w:style w:type="paragraph" w:styleId="23">
    <w:name w:val="annotation subject"/>
    <w:basedOn w:val="7"/>
    <w:next w:val="7"/>
    <w:link w:val="48"/>
    <w:autoRedefine/>
    <w:qFormat/>
    <w:uiPriority w:val="0"/>
    <w:rPr>
      <w:b/>
    </w:rPr>
  </w:style>
  <w:style w:type="paragraph" w:styleId="24">
    <w:name w:val="Body Text First Indent 2"/>
    <w:basedOn w:val="10"/>
    <w:next w:val="25"/>
    <w:link w:val="66"/>
    <w:autoRedefine/>
    <w:qFormat/>
    <w:locked/>
    <w:uiPriority w:val="0"/>
    <w:pPr>
      <w:ind w:firstLine="420" w:firstLineChars="200"/>
    </w:pPr>
    <w:rPr>
      <w:rFonts w:ascii="Calibri" w:hAnsi="Calibri" w:eastAsia="楷体_GB2312"/>
      <w:color w:val="000000"/>
      <w:kern w:val="2"/>
      <w:sz w:val="21"/>
    </w:rPr>
  </w:style>
  <w:style w:type="paragraph" w:customStyle="1" w:styleId="25">
    <w:name w:val="Default"/>
    <w:basedOn w:val="26"/>
    <w:next w:val="24"/>
    <w:autoRedefine/>
    <w:qFormat/>
    <w:uiPriority w:val="0"/>
    <w:pPr>
      <w:widowControl w:val="0"/>
      <w:autoSpaceDE w:val="0"/>
      <w:autoSpaceDN w:val="0"/>
      <w:adjustRightInd w:val="0"/>
    </w:pPr>
    <w:rPr>
      <w:rFonts w:ascii=".." w:hAnsi="Times New Roman" w:eastAsia=".." w:cs=".."/>
      <w:color w:val="000000"/>
      <w:sz w:val="24"/>
      <w:szCs w:val="24"/>
      <w:lang w:val="en-US" w:eastAsia="zh-CN" w:bidi="ar-SA"/>
    </w:rPr>
  </w:style>
  <w:style w:type="paragraph" w:customStyle="1" w:styleId="26">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table" w:styleId="28">
    <w:name w:val="Table Grid"/>
    <w:basedOn w:val="2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autoRedefine/>
    <w:qFormat/>
    <w:locked/>
    <w:uiPriority w:val="0"/>
    <w:rPr>
      <w:rFonts w:ascii="Times New Roman" w:hAnsi="Times New Roman" w:eastAsia="宋体" w:cs="Times New Roman"/>
      <w:b/>
      <w:bCs/>
    </w:rPr>
  </w:style>
  <w:style w:type="character" w:styleId="31">
    <w:name w:val="page number"/>
    <w:basedOn w:val="29"/>
    <w:autoRedefine/>
    <w:qFormat/>
    <w:locked/>
    <w:uiPriority w:val="0"/>
  </w:style>
  <w:style w:type="character" w:styleId="32">
    <w:name w:val="Emphasis"/>
    <w:basedOn w:val="29"/>
    <w:autoRedefine/>
    <w:qFormat/>
    <w:locked/>
    <w:uiPriority w:val="0"/>
    <w:rPr>
      <w:i/>
    </w:rPr>
  </w:style>
  <w:style w:type="character" w:styleId="33">
    <w:name w:val="Hyperlink"/>
    <w:basedOn w:val="29"/>
    <w:autoRedefine/>
    <w:unhideWhenUsed/>
    <w:qFormat/>
    <w:locked/>
    <w:uiPriority w:val="99"/>
    <w:rPr>
      <w:color w:val="0000FF"/>
      <w:u w:val="single"/>
    </w:rPr>
  </w:style>
  <w:style w:type="character" w:styleId="34">
    <w:name w:val="annotation reference"/>
    <w:autoRedefine/>
    <w:qFormat/>
    <w:uiPriority w:val="0"/>
    <w:rPr>
      <w:sz w:val="21"/>
    </w:rPr>
  </w:style>
  <w:style w:type="paragraph" w:customStyle="1" w:styleId="35">
    <w:name w:val="BlockQuote"/>
    <w:basedOn w:val="1"/>
    <w:autoRedefine/>
    <w:qFormat/>
    <w:uiPriority w:val="0"/>
    <w:pPr>
      <w:widowControl/>
      <w:spacing w:line="300" w:lineRule="exact"/>
      <w:ind w:left="-96" w:leftChars="-40" w:right="-16" w:firstLine="482" w:firstLineChars="200"/>
      <w:textAlignment w:val="baseline"/>
    </w:pPr>
    <w:rPr>
      <w:rFonts w:ascii="宋体" w:hAnsi="宋体" w:eastAsia="仿宋_GB2312"/>
      <w:sz w:val="28"/>
    </w:rPr>
  </w:style>
  <w:style w:type="character" w:customStyle="1" w:styleId="36">
    <w:name w:val="页脚 字符1"/>
    <w:link w:val="17"/>
    <w:autoRedefine/>
    <w:qFormat/>
    <w:locked/>
    <w:uiPriority w:val="99"/>
    <w:rPr>
      <w:sz w:val="18"/>
    </w:rPr>
  </w:style>
  <w:style w:type="character" w:customStyle="1" w:styleId="37">
    <w:name w:val="日期 字符1"/>
    <w:link w:val="14"/>
    <w:autoRedefine/>
    <w:qFormat/>
    <w:locked/>
    <w:uiPriority w:val="0"/>
    <w:rPr>
      <w:rFonts w:ascii="Times New Roman" w:hAnsi="Times New Roman" w:eastAsia="宋体"/>
      <w:sz w:val="24"/>
    </w:rPr>
  </w:style>
  <w:style w:type="character" w:customStyle="1" w:styleId="38">
    <w:name w:val="页脚 字符"/>
    <w:basedOn w:val="29"/>
    <w:autoRedefine/>
    <w:qFormat/>
    <w:uiPriority w:val="99"/>
  </w:style>
  <w:style w:type="character" w:customStyle="1" w:styleId="39">
    <w:name w:val="普通(网站) 字符"/>
    <w:link w:val="22"/>
    <w:autoRedefine/>
    <w:qFormat/>
    <w:locked/>
    <w:uiPriority w:val="0"/>
    <w:rPr>
      <w:rFonts w:ascii="宋体" w:hAnsi="宋体" w:eastAsia="宋体"/>
      <w:sz w:val="24"/>
    </w:rPr>
  </w:style>
  <w:style w:type="character" w:customStyle="1" w:styleId="40">
    <w:name w:val="正文文本 字符1"/>
    <w:autoRedefine/>
    <w:semiHidden/>
    <w:qFormat/>
    <w:uiPriority w:val="0"/>
    <w:rPr>
      <w:rFonts w:ascii="Times New Roman" w:hAnsi="Times New Roman" w:eastAsia="宋体"/>
      <w:sz w:val="24"/>
    </w:rPr>
  </w:style>
  <w:style w:type="character" w:customStyle="1" w:styleId="41">
    <w:name w:val="正文文本 字符"/>
    <w:link w:val="8"/>
    <w:autoRedefine/>
    <w:qFormat/>
    <w:locked/>
    <w:uiPriority w:val="0"/>
    <w:rPr>
      <w:sz w:val="18"/>
    </w:rPr>
  </w:style>
  <w:style w:type="character" w:customStyle="1" w:styleId="42">
    <w:name w:val="批注文字 字符"/>
    <w:link w:val="7"/>
    <w:autoRedefine/>
    <w:qFormat/>
    <w:locked/>
    <w:uiPriority w:val="0"/>
    <w:rPr>
      <w:rFonts w:ascii="Times New Roman" w:hAnsi="Times New Roman" w:eastAsia="宋体"/>
      <w:sz w:val="24"/>
    </w:rPr>
  </w:style>
  <w:style w:type="character" w:customStyle="1" w:styleId="43">
    <w:name w:val="表格 Char"/>
    <w:link w:val="44"/>
    <w:autoRedefine/>
    <w:qFormat/>
    <w:locked/>
    <w:uiPriority w:val="0"/>
    <w:rPr>
      <w:rFonts w:ascii="宋体"/>
      <w:sz w:val="21"/>
    </w:rPr>
  </w:style>
  <w:style w:type="paragraph" w:customStyle="1" w:styleId="44">
    <w:name w:val="表格"/>
    <w:basedOn w:val="45"/>
    <w:next w:val="1"/>
    <w:link w:val="43"/>
    <w:autoRedefine/>
    <w:qFormat/>
    <w:uiPriority w:val="0"/>
    <w:pPr>
      <w:adjustRightInd w:val="0"/>
      <w:snapToGrid w:val="0"/>
      <w:spacing w:beforeLines="10" w:afterLines="10" w:line="259" w:lineRule="auto"/>
      <w:jc w:val="center"/>
    </w:pPr>
    <w:rPr>
      <w:rFonts w:ascii="宋体"/>
      <w:kern w:val="0"/>
      <w:szCs w:val="20"/>
    </w:rPr>
  </w:style>
  <w:style w:type="paragraph" w:customStyle="1" w:styleId="45">
    <w:name w:val="表格文字"/>
    <w:basedOn w:val="1"/>
    <w:autoRedefine/>
    <w:qFormat/>
    <w:uiPriority w:val="0"/>
    <w:pPr>
      <w:adjustRightInd w:val="0"/>
      <w:snapToGrid w:val="0"/>
      <w:jc w:val="center"/>
    </w:pPr>
    <w:rPr>
      <w:rFonts w:ascii="仿宋_GB2312" w:hAnsi="Arial Black" w:eastAsia="仿宋_GB2312"/>
      <w:kern w:val="44"/>
      <w:sz w:val="24"/>
      <w:szCs w:val="20"/>
    </w:rPr>
  </w:style>
  <w:style w:type="character" w:customStyle="1" w:styleId="46">
    <w:name w:val="日期 字符"/>
    <w:autoRedefine/>
    <w:semiHidden/>
    <w:qFormat/>
    <w:uiPriority w:val="0"/>
    <w:rPr>
      <w:rFonts w:ascii="Times New Roman" w:hAnsi="Times New Roman" w:eastAsia="宋体"/>
      <w:sz w:val="24"/>
    </w:rPr>
  </w:style>
  <w:style w:type="character" w:customStyle="1" w:styleId="47">
    <w:name w:val="批注框文本 字符"/>
    <w:link w:val="16"/>
    <w:autoRedefine/>
    <w:semiHidden/>
    <w:qFormat/>
    <w:locked/>
    <w:uiPriority w:val="0"/>
    <w:rPr>
      <w:rFonts w:ascii="Times New Roman" w:hAnsi="Times New Roman" w:eastAsia="宋体"/>
      <w:sz w:val="18"/>
    </w:rPr>
  </w:style>
  <w:style w:type="character" w:customStyle="1" w:styleId="48">
    <w:name w:val="批注主题 字符"/>
    <w:link w:val="23"/>
    <w:autoRedefine/>
    <w:semiHidden/>
    <w:qFormat/>
    <w:locked/>
    <w:uiPriority w:val="0"/>
    <w:rPr>
      <w:rFonts w:ascii="Times New Roman" w:hAnsi="Times New Roman" w:eastAsia="宋体"/>
      <w:b/>
      <w:kern w:val="2"/>
      <w:sz w:val="24"/>
    </w:rPr>
  </w:style>
  <w:style w:type="character" w:customStyle="1" w:styleId="49">
    <w:name w:val="页眉 字符"/>
    <w:link w:val="18"/>
    <w:autoRedefine/>
    <w:qFormat/>
    <w:locked/>
    <w:uiPriority w:val="0"/>
    <w:rPr>
      <w:sz w:val="18"/>
    </w:rPr>
  </w:style>
  <w:style w:type="character" w:customStyle="1" w:styleId="50">
    <w:name w:val="批注文字 字符1"/>
    <w:autoRedefine/>
    <w:semiHidden/>
    <w:qFormat/>
    <w:uiPriority w:val="0"/>
    <w:rPr>
      <w:rFonts w:ascii="Times New Roman" w:hAnsi="Times New Roman" w:eastAsia="宋体"/>
      <w:sz w:val="24"/>
    </w:rPr>
  </w:style>
  <w:style w:type="character" w:customStyle="1" w:styleId="51">
    <w:name w:val="正文文本缩进 字符"/>
    <w:link w:val="10"/>
    <w:autoRedefine/>
    <w:semiHidden/>
    <w:qFormat/>
    <w:locked/>
    <w:uiPriority w:val="0"/>
    <w:rPr>
      <w:rFonts w:ascii="Times New Roman" w:hAnsi="Times New Roman" w:eastAsia="宋体"/>
      <w:sz w:val="24"/>
    </w:rPr>
  </w:style>
  <w:style w:type="paragraph" w:customStyle="1" w:styleId="5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4">
    <w:name w:val="表格内文字"/>
    <w:basedOn w:val="1"/>
    <w:autoRedefine/>
    <w:qFormat/>
    <w:uiPriority w:val="0"/>
    <w:pPr>
      <w:widowControl/>
      <w:tabs>
        <w:tab w:val="left" w:pos="0"/>
      </w:tabs>
      <w:snapToGrid w:val="0"/>
      <w:jc w:val="center"/>
    </w:pPr>
    <w:rPr>
      <w:rFonts w:ascii="仿宋_GB2312" w:hAnsi="宋体" w:eastAsia="仿宋_GB2312" w:cs="宋体"/>
      <w:w w:val="90"/>
      <w:kern w:val="18"/>
      <w:sz w:val="24"/>
    </w:rPr>
  </w:style>
  <w:style w:type="character" w:customStyle="1" w:styleId="55">
    <w:name w:val="正文文本 2 字符"/>
    <w:basedOn w:val="29"/>
    <w:link w:val="21"/>
    <w:autoRedefine/>
    <w:qFormat/>
    <w:uiPriority w:val="0"/>
    <w:rPr>
      <w:kern w:val="2"/>
      <w:sz w:val="21"/>
      <w:szCs w:val="24"/>
    </w:rPr>
  </w:style>
  <w:style w:type="character" w:customStyle="1" w:styleId="56">
    <w:name w:val="批注文字 Char"/>
    <w:basedOn w:val="29"/>
    <w:autoRedefine/>
    <w:qFormat/>
    <w:uiPriority w:val="0"/>
    <w:rPr>
      <w:rFonts w:ascii="Calibri" w:hAnsi="Calibri"/>
      <w:kern w:val="2"/>
      <w:sz w:val="21"/>
    </w:rPr>
  </w:style>
  <w:style w:type="paragraph" w:customStyle="1" w:styleId="57">
    <w:name w:val="Table Paragraph"/>
    <w:basedOn w:val="1"/>
    <w:autoRedefine/>
    <w:qFormat/>
    <w:uiPriority w:val="1"/>
    <w:pPr>
      <w:autoSpaceDE w:val="0"/>
      <w:autoSpaceDN w:val="0"/>
      <w:adjustRightInd w:val="0"/>
      <w:jc w:val="left"/>
    </w:pPr>
    <w:rPr>
      <w:rFonts w:ascii="Calibri" w:hAnsi="Calibri"/>
      <w:kern w:val="0"/>
      <w:sz w:val="24"/>
    </w:rPr>
  </w:style>
  <w:style w:type="paragraph" w:customStyle="1" w:styleId="58">
    <w:name w:val="图表文字"/>
    <w:basedOn w:val="1"/>
    <w:link w:val="61"/>
    <w:autoRedefine/>
    <w:qFormat/>
    <w:uiPriority w:val="0"/>
    <w:pPr>
      <w:spacing w:line="300" w:lineRule="exact"/>
      <w:jc w:val="center"/>
    </w:pPr>
    <w:rPr>
      <w:rFonts w:ascii="Calibri" w:hAnsi="Calibri"/>
      <w:bCs/>
      <w:szCs w:val="20"/>
    </w:rPr>
  </w:style>
  <w:style w:type="paragraph" w:customStyle="1" w:styleId="59">
    <w:name w:val="我的样式（正文）"/>
    <w:basedOn w:val="1"/>
    <w:autoRedefine/>
    <w:qFormat/>
    <w:uiPriority w:val="0"/>
    <w:pPr>
      <w:spacing w:line="440" w:lineRule="exact"/>
    </w:pPr>
    <w:rPr>
      <w:rFonts w:ascii="宋体" w:hAnsi="Calibri"/>
      <w:sz w:val="28"/>
    </w:rPr>
  </w:style>
  <w:style w:type="character" w:customStyle="1" w:styleId="60">
    <w:name w:val="正文缩进 字符"/>
    <w:basedOn w:val="29"/>
    <w:link w:val="6"/>
    <w:autoRedefine/>
    <w:qFormat/>
    <w:uiPriority w:val="0"/>
    <w:rPr>
      <w:rFonts w:ascii="Calibri" w:hAnsi="Calibri"/>
      <w:kern w:val="2"/>
      <w:sz w:val="21"/>
    </w:rPr>
  </w:style>
  <w:style w:type="character" w:customStyle="1" w:styleId="61">
    <w:name w:val="图表文字 Char"/>
    <w:link w:val="58"/>
    <w:autoRedefine/>
    <w:qFormat/>
    <w:uiPriority w:val="0"/>
    <w:rPr>
      <w:rFonts w:ascii="Calibri" w:hAnsi="Calibri"/>
      <w:bCs/>
      <w:kern w:val="2"/>
      <w:sz w:val="21"/>
    </w:rPr>
  </w:style>
  <w:style w:type="character" w:customStyle="1" w:styleId="62">
    <w:name w:val="标题 2 字符"/>
    <w:basedOn w:val="29"/>
    <w:link w:val="4"/>
    <w:autoRedefine/>
    <w:semiHidden/>
    <w:qFormat/>
    <w:uiPriority w:val="0"/>
    <w:rPr>
      <w:rFonts w:asciiTheme="majorHAnsi" w:hAnsiTheme="majorHAnsi" w:eastAsiaTheme="majorEastAsia" w:cstheme="majorBidi"/>
      <w:b/>
      <w:bCs/>
      <w:kern w:val="2"/>
      <w:sz w:val="32"/>
      <w:szCs w:val="32"/>
    </w:rPr>
  </w:style>
  <w:style w:type="character" w:customStyle="1" w:styleId="63">
    <w:name w:val="纯文本 字符"/>
    <w:basedOn w:val="29"/>
    <w:link w:val="12"/>
    <w:autoRedefine/>
    <w:qFormat/>
    <w:uiPriority w:val="0"/>
    <w:rPr>
      <w:rFonts w:ascii="宋体" w:hAnsi="Courier New"/>
      <w:kern w:val="2"/>
      <w:sz w:val="21"/>
    </w:rPr>
  </w:style>
  <w:style w:type="character" w:customStyle="1" w:styleId="64">
    <w:name w:val="正文文本缩进 2 字符"/>
    <w:basedOn w:val="29"/>
    <w:link w:val="15"/>
    <w:autoRedefine/>
    <w:qFormat/>
    <w:uiPriority w:val="0"/>
    <w:rPr>
      <w:rFonts w:ascii="宋体" w:hAnsi="Calibri"/>
      <w:bCs/>
      <w:kern w:val="2"/>
      <w:sz w:val="24"/>
    </w:rPr>
  </w:style>
  <w:style w:type="character" w:customStyle="1" w:styleId="65">
    <w:name w:val="正文文本缩进 3 字符"/>
    <w:basedOn w:val="29"/>
    <w:link w:val="20"/>
    <w:autoRedefine/>
    <w:qFormat/>
    <w:uiPriority w:val="0"/>
    <w:rPr>
      <w:rFonts w:ascii="宋体" w:hAnsi="宋体"/>
      <w:kern w:val="2"/>
      <w:sz w:val="24"/>
    </w:rPr>
  </w:style>
  <w:style w:type="character" w:customStyle="1" w:styleId="66">
    <w:name w:val="正文文本首行缩进 2 字符"/>
    <w:basedOn w:val="51"/>
    <w:link w:val="24"/>
    <w:autoRedefine/>
    <w:qFormat/>
    <w:uiPriority w:val="0"/>
    <w:rPr>
      <w:rFonts w:ascii="Calibri" w:hAnsi="Calibri" w:eastAsia="楷体_GB2312"/>
      <w:color w:val="000000"/>
      <w:kern w:val="2"/>
      <w:sz w:val="21"/>
    </w:rPr>
  </w:style>
  <w:style w:type="paragraph" w:customStyle="1" w:styleId="67">
    <w:name w:val="Body Text 21"/>
    <w:basedOn w:val="1"/>
    <w:autoRedefine/>
    <w:qFormat/>
    <w:uiPriority w:val="0"/>
    <w:pPr>
      <w:textAlignment w:val="baseline"/>
    </w:pPr>
    <w:rPr>
      <w:rFonts w:ascii="Calibri" w:hAnsi="Calibri"/>
      <w:color w:val="000000"/>
      <w:sz w:val="24"/>
      <w:szCs w:val="20"/>
    </w:rPr>
  </w:style>
  <w:style w:type="paragraph" w:customStyle="1" w:styleId="68">
    <w:name w:val="图文框"/>
    <w:basedOn w:val="1"/>
    <w:autoRedefine/>
    <w:qFormat/>
    <w:uiPriority w:val="0"/>
    <w:pPr>
      <w:adjustRightInd w:val="0"/>
      <w:snapToGrid w:val="0"/>
      <w:jc w:val="center"/>
    </w:pPr>
    <w:rPr>
      <w:rFonts w:ascii="宋体" w:hAnsi="宋体"/>
      <w:color w:val="000000"/>
      <w:sz w:val="18"/>
    </w:rPr>
  </w:style>
  <w:style w:type="paragraph" w:customStyle="1" w:styleId="69">
    <w:name w:val="表"/>
    <w:basedOn w:val="1"/>
    <w:autoRedefine/>
    <w:qFormat/>
    <w:uiPriority w:val="0"/>
    <w:pPr>
      <w:keepNext/>
      <w:keepLines/>
      <w:adjustRightInd w:val="0"/>
      <w:spacing w:before="60"/>
      <w:jc w:val="center"/>
    </w:pPr>
    <w:rPr>
      <w:rFonts w:ascii="Calibri" w:hAnsi="Calibri" w:eastAsia="仿宋_GB2312"/>
      <w:kern w:val="21"/>
      <w:sz w:val="24"/>
      <w:szCs w:val="20"/>
    </w:rPr>
  </w:style>
  <w:style w:type="paragraph" w:customStyle="1" w:styleId="70">
    <w:name w:val="p0"/>
    <w:basedOn w:val="1"/>
    <w:autoRedefine/>
    <w:qFormat/>
    <w:uiPriority w:val="0"/>
    <w:pPr>
      <w:widowControl/>
    </w:pPr>
    <w:rPr>
      <w:rFonts w:ascii="Calibri" w:hAnsi="Calibri"/>
      <w:kern w:val="0"/>
      <w:szCs w:val="21"/>
    </w:rPr>
  </w:style>
  <w:style w:type="paragraph" w:customStyle="1" w:styleId="71">
    <w:name w:val="表格标题"/>
    <w:basedOn w:val="1"/>
    <w:autoRedefine/>
    <w:qFormat/>
    <w:uiPriority w:val="0"/>
    <w:pPr>
      <w:adjustRightInd w:val="0"/>
      <w:spacing w:before="120" w:line="360" w:lineRule="auto"/>
      <w:jc w:val="center"/>
    </w:pPr>
    <w:rPr>
      <w:rFonts w:ascii="Calibri" w:hAnsi="Calibri" w:eastAsia="文鼎CS中宋"/>
      <w:kern w:val="0"/>
      <w:sz w:val="24"/>
      <w:szCs w:val="20"/>
    </w:rPr>
  </w:style>
  <w:style w:type="paragraph" w:customStyle="1" w:styleId="72">
    <w:name w:val="文本框样式"/>
    <w:basedOn w:val="1"/>
    <w:autoRedefine/>
    <w:qFormat/>
    <w:uiPriority w:val="0"/>
    <w:pPr>
      <w:jc w:val="center"/>
    </w:pPr>
    <w:rPr>
      <w:rFonts w:ascii="Calibri" w:hAnsi="Calibri"/>
      <w:szCs w:val="21"/>
    </w:rPr>
  </w:style>
  <w:style w:type="paragraph" w:customStyle="1" w:styleId="73">
    <w:name w:val="图标题"/>
    <w:basedOn w:val="1"/>
    <w:autoRedefine/>
    <w:qFormat/>
    <w:uiPriority w:val="0"/>
    <w:pPr>
      <w:spacing w:line="300" w:lineRule="exact"/>
    </w:pPr>
    <w:rPr>
      <w:rFonts w:ascii="仿宋_GB2312" w:hAnsi="Calibri" w:eastAsia="仿宋_GB2312"/>
      <w:b/>
      <w:bCs/>
      <w:sz w:val="24"/>
    </w:rPr>
  </w:style>
  <w:style w:type="character" w:customStyle="1" w:styleId="74">
    <w:name w:val="font11"/>
    <w:basedOn w:val="29"/>
    <w:autoRedefine/>
    <w:qFormat/>
    <w:uiPriority w:val="0"/>
    <w:rPr>
      <w:rFonts w:hint="eastAsia" w:ascii="宋体" w:hAnsi="宋体" w:eastAsia="宋体" w:cs="宋体"/>
      <w:color w:val="000000"/>
      <w:sz w:val="18"/>
      <w:szCs w:val="18"/>
      <w:u w:val="none"/>
    </w:rPr>
  </w:style>
  <w:style w:type="character" w:customStyle="1" w:styleId="75">
    <w:name w:val="font21"/>
    <w:basedOn w:val="29"/>
    <w:autoRedefine/>
    <w:qFormat/>
    <w:uiPriority w:val="0"/>
    <w:rPr>
      <w:rFonts w:hint="default" w:ascii="TimesNewRomanPSMT" w:hAnsi="TimesNewRomanPSMT" w:eastAsia="TimesNewRomanPSMT" w:cs="TimesNewRomanPSMT"/>
      <w:color w:val="000000"/>
      <w:sz w:val="18"/>
      <w:szCs w:val="18"/>
      <w:u w:val="none"/>
    </w:rPr>
  </w:style>
  <w:style w:type="paragraph" w:customStyle="1" w:styleId="76">
    <w:name w:val="xl2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24"/>
    </w:rPr>
  </w:style>
  <w:style w:type="paragraph" w:customStyle="1" w:styleId="77">
    <w:name w:val="Other|1"/>
    <w:basedOn w:val="1"/>
    <w:autoRedefine/>
    <w:qFormat/>
    <w:uiPriority w:val="0"/>
    <w:rPr>
      <w:rFonts w:ascii="MingLiU" w:hAnsi="MingLiU" w:eastAsia="MingLiU" w:cs="MingLiU"/>
      <w:sz w:val="19"/>
      <w:szCs w:val="19"/>
      <w:lang w:val="zh-TW" w:eastAsia="zh-TW" w:bidi="zh-TW"/>
    </w:rPr>
  </w:style>
  <w:style w:type="paragraph" w:customStyle="1" w:styleId="78">
    <w:name w:val="Body text|1"/>
    <w:basedOn w:val="1"/>
    <w:autoRedefine/>
    <w:qFormat/>
    <w:uiPriority w:val="0"/>
    <w:pPr>
      <w:spacing w:after="180" w:line="413" w:lineRule="auto"/>
    </w:pPr>
    <w:rPr>
      <w:rFonts w:ascii="宋体" w:hAnsi="宋体" w:cs="宋体"/>
      <w:szCs w:val="20"/>
      <w:lang w:val="zh-TW" w:eastAsia="zh-TW" w:bidi="zh-TW"/>
    </w:rPr>
  </w:style>
  <w:style w:type="paragraph" w:customStyle="1" w:styleId="79">
    <w:name w:val="Table caption|1"/>
    <w:basedOn w:val="1"/>
    <w:autoRedefine/>
    <w:qFormat/>
    <w:uiPriority w:val="0"/>
    <w:rPr>
      <w:rFonts w:ascii="MingLiU" w:hAnsi="MingLiU" w:eastAsia="MingLiU" w:cs="MingLiU"/>
      <w:sz w:val="19"/>
      <w:szCs w:val="19"/>
      <w:lang w:val="zh-TW" w:eastAsia="zh-TW" w:bidi="zh-TW"/>
    </w:rPr>
  </w:style>
  <w:style w:type="character" w:customStyle="1" w:styleId="80">
    <w:name w:val="批注框文本 Char"/>
    <w:basedOn w:val="29"/>
    <w:autoRedefine/>
    <w:qFormat/>
    <w:uiPriority w:val="0"/>
    <w:rPr>
      <w:rFonts w:ascii="Calibri" w:hAnsi="Calibri"/>
      <w:kern w:val="2"/>
      <w:sz w:val="18"/>
      <w:szCs w:val="18"/>
    </w:rPr>
  </w:style>
  <w:style w:type="character" w:styleId="81">
    <w:name w:val="Placeholder Text"/>
    <w:basedOn w:val="29"/>
    <w:autoRedefine/>
    <w:unhideWhenUsed/>
    <w:qFormat/>
    <w:uiPriority w:val="99"/>
    <w:rPr>
      <w:color w:val="808080"/>
    </w:rPr>
  </w:style>
  <w:style w:type="paragraph" w:styleId="82">
    <w:name w:val="List Paragraph"/>
    <w:basedOn w:val="1"/>
    <w:autoRedefine/>
    <w:unhideWhenUsed/>
    <w:qFormat/>
    <w:uiPriority w:val="99"/>
    <w:pPr>
      <w:ind w:firstLine="420" w:firstLineChars="200"/>
    </w:pPr>
    <w:rPr>
      <w:rFonts w:ascii="Calibri" w:hAnsi="Calibri"/>
      <w:szCs w:val="20"/>
    </w:rPr>
  </w:style>
  <w:style w:type="character" w:customStyle="1" w:styleId="83">
    <w:name w:val="批注主题 Char"/>
    <w:basedOn w:val="56"/>
    <w:autoRedefine/>
    <w:qFormat/>
    <w:uiPriority w:val="0"/>
    <w:rPr>
      <w:rFonts w:ascii="Calibri" w:hAnsi="Calibri"/>
      <w:kern w:val="2"/>
      <w:sz w:val="21"/>
    </w:rPr>
  </w:style>
  <w:style w:type="character" w:customStyle="1" w:styleId="84">
    <w:name w:val="页眉 Char"/>
    <w:basedOn w:val="29"/>
    <w:autoRedefine/>
    <w:qFormat/>
    <w:uiPriority w:val="0"/>
    <w:rPr>
      <w:rFonts w:ascii="Calibri" w:hAnsi="Calibri"/>
      <w:kern w:val="2"/>
      <w:sz w:val="18"/>
      <w:szCs w:val="24"/>
    </w:rPr>
  </w:style>
  <w:style w:type="paragraph" w:customStyle="1" w:styleId="85">
    <w:name w:val="样式 自动设置"/>
    <w:basedOn w:val="1"/>
    <w:autoRedefine/>
    <w:qFormat/>
    <w:uiPriority w:val="0"/>
    <w:pPr>
      <w:autoSpaceDE w:val="0"/>
      <w:autoSpaceDN w:val="0"/>
      <w:adjustRightInd w:val="0"/>
      <w:snapToGrid w:val="0"/>
      <w:spacing w:beforeLines="50" w:line="288" w:lineRule="auto"/>
      <w:ind w:firstLine="200" w:firstLineChars="200"/>
    </w:pPr>
    <w:rPr>
      <w:rFonts w:cs="宋体"/>
      <w:sz w:val="24"/>
      <w:szCs w:val="20"/>
    </w:rPr>
  </w:style>
  <w:style w:type="paragraph" w:customStyle="1" w:styleId="86">
    <w:name w:val="+正文"/>
    <w:basedOn w:val="1"/>
    <w:autoRedefine/>
    <w:qFormat/>
    <w:uiPriority w:val="0"/>
    <w:pPr>
      <w:spacing w:line="360" w:lineRule="auto"/>
      <w:ind w:firstLine="200" w:firstLineChars="200"/>
    </w:pPr>
    <w:rPr>
      <w:sz w:val="24"/>
      <w:szCs w:val="22"/>
    </w:rPr>
  </w:style>
  <w:style w:type="paragraph" w:customStyle="1" w:styleId="87">
    <w:name w:val="1  正文"/>
    <w:basedOn w:val="1"/>
    <w:autoRedefine/>
    <w:qFormat/>
    <w:uiPriority w:val="0"/>
    <w:pPr>
      <w:spacing w:line="360" w:lineRule="auto"/>
      <w:ind w:firstLine="480" w:firstLineChars="200"/>
    </w:pPr>
    <w:rPr>
      <w:sz w:val="24"/>
    </w:rPr>
  </w:style>
  <w:style w:type="paragraph" w:customStyle="1" w:styleId="88">
    <w:name w:val="列出段落1"/>
    <w:basedOn w:val="1"/>
    <w:autoRedefine/>
    <w:qFormat/>
    <w:uiPriority w:val="0"/>
    <w:pPr>
      <w:ind w:firstLine="420" w:firstLineChars="200"/>
    </w:pPr>
    <w:rPr>
      <w:szCs w:val="20"/>
    </w:rPr>
  </w:style>
  <w:style w:type="paragraph" w:customStyle="1" w:styleId="89">
    <w:name w:val="表内文字"/>
    <w:basedOn w:val="1"/>
    <w:autoRedefine/>
    <w:qFormat/>
    <w:uiPriority w:val="0"/>
    <w:pPr>
      <w:jc w:val="center"/>
    </w:pPr>
    <w:rPr>
      <w:sz w:val="24"/>
    </w:rPr>
  </w:style>
  <w:style w:type="paragraph" w:customStyle="1" w:styleId="90">
    <w:name w:val="报告表正文"/>
    <w:basedOn w:val="91"/>
    <w:autoRedefine/>
    <w:qFormat/>
    <w:uiPriority w:val="0"/>
    <w:pPr>
      <w:ind w:firstLine="200" w:firstLineChars="200"/>
      <w:jc w:val="left"/>
    </w:pPr>
    <w:rPr>
      <w:rFonts w:ascii="Times New Roman" w:hAnsi="Times New Roman"/>
      <w:szCs w:val="24"/>
    </w:rPr>
  </w:style>
  <w:style w:type="paragraph" w:customStyle="1" w:styleId="91">
    <w:name w:val="列表1"/>
    <w:basedOn w:val="1"/>
    <w:autoRedefine/>
    <w:qFormat/>
    <w:uiPriority w:val="0"/>
    <w:pPr>
      <w:spacing w:line="400" w:lineRule="exact"/>
      <w:jc w:val="center"/>
    </w:pPr>
    <w:rPr>
      <w:rFonts w:ascii="宋体" w:hAnsi="宋体" w:eastAsia="仿宋_GB2312"/>
      <w:sz w:val="24"/>
      <w:szCs w:val="20"/>
    </w:rPr>
  </w:style>
  <w:style w:type="character" w:customStyle="1" w:styleId="92">
    <w:name w:val="font31"/>
    <w:basedOn w:val="29"/>
    <w:autoRedefine/>
    <w:qFormat/>
    <w:uiPriority w:val="0"/>
    <w:rPr>
      <w:rFonts w:hint="eastAsia" w:ascii="宋体" w:hAnsi="宋体" w:eastAsia="宋体" w:cs="宋体"/>
      <w:color w:val="000000"/>
      <w:sz w:val="24"/>
      <w:szCs w:val="24"/>
      <w:u w:val="none"/>
    </w:rPr>
  </w:style>
  <w:style w:type="paragraph" w:customStyle="1" w:styleId="93">
    <w:name w:val="3表格正文"/>
    <w:basedOn w:val="1"/>
    <w:autoRedefine/>
    <w:qFormat/>
    <w:uiPriority w:val="0"/>
    <w:pPr>
      <w:widowControl w:val="0"/>
      <w:adjustRightInd w:val="0"/>
      <w:snapToGrid w:val="0"/>
      <w:jc w:val="center"/>
    </w:pPr>
    <w:rPr>
      <w:rFonts w:ascii="Times New Roman" w:hAnsi="Times New Roman" w:eastAsia="宋体" w:cs="Times New Roman"/>
      <w:bCs/>
      <w:color w:val="FF0000"/>
      <w:kern w:val="2"/>
      <w:sz w:val="21"/>
      <w:szCs w:val="21"/>
    </w:rPr>
  </w:style>
  <w:style w:type="paragraph" w:customStyle="1" w:styleId="94">
    <w:name w:val="正文11"/>
    <w:basedOn w:val="1"/>
    <w:autoRedefine/>
    <w:qFormat/>
    <w:uiPriority w:val="0"/>
    <w:pPr>
      <w:widowControl w:val="0"/>
      <w:autoSpaceDE w:val="0"/>
      <w:autoSpaceDN w:val="0"/>
      <w:snapToGrid w:val="0"/>
      <w:spacing w:before="240" w:line="520" w:lineRule="atLeast"/>
      <w:ind w:firstLine="510"/>
      <w:jc w:val="both"/>
    </w:pPr>
    <w:rPr>
      <w:rFonts w:cs="Times New Roman"/>
      <w:szCs w:val="20"/>
    </w:rPr>
  </w:style>
  <w:style w:type="paragraph" w:customStyle="1" w:styleId="95">
    <w:name w:val="Z表格标题"/>
    <w:basedOn w:val="1"/>
    <w:next w:val="1"/>
    <w:autoRedefine/>
    <w:qFormat/>
    <w:uiPriority w:val="0"/>
    <w:pPr>
      <w:spacing w:line="400" w:lineRule="exact"/>
      <w:jc w:val="center"/>
    </w:pPr>
    <w:rPr>
      <w:rFonts w:ascii="Times New Roman" w:hAnsi="Times New Roman" w:eastAsia="宋体"/>
      <w:b/>
    </w:rPr>
  </w:style>
  <w:style w:type="paragraph" w:customStyle="1" w:styleId="96">
    <w:name w:val="Z嵌套表格内容"/>
    <w:basedOn w:val="1"/>
    <w:autoRedefine/>
    <w:qFormat/>
    <w:uiPriority w:val="0"/>
    <w:pPr>
      <w:jc w:val="center"/>
    </w:pPr>
  </w:style>
  <w:style w:type="paragraph" w:customStyle="1" w:styleId="97">
    <w:name w:val="文本正文"/>
    <w:basedOn w:val="1"/>
    <w:autoRedefine/>
    <w:qFormat/>
    <w:uiPriority w:val="0"/>
    <w:pPr>
      <w:autoSpaceDE w:val="0"/>
      <w:autoSpaceDN w:val="0"/>
      <w:adjustRightInd w:val="0"/>
      <w:spacing w:line="360" w:lineRule="auto"/>
      <w:ind w:firstLine="200" w:firstLineChars="200"/>
      <w:textAlignment w:val="baseline"/>
    </w:pPr>
    <w:rPr>
      <w:rFonts w:ascii="宋体" w:hAnsi="宋体"/>
      <w:snapToGrid w:val="0"/>
      <w:color w:val="000000"/>
      <w:spacing w:val="4"/>
      <w:kern w:val="18"/>
      <w:sz w:val="24"/>
    </w:rPr>
  </w:style>
  <w:style w:type="paragraph" w:customStyle="1" w:styleId="98">
    <w:name w:val="表格的文字"/>
    <w:basedOn w:val="58"/>
    <w:autoRedefine/>
    <w:qFormat/>
    <w:uiPriority w:val="0"/>
    <w:rPr>
      <w:rFonts w:ascii="仿宋_GB2312" w:eastAsia="仿宋_GB2312"/>
    </w:rPr>
  </w:style>
  <w:style w:type="paragraph" w:customStyle="1" w:styleId="99">
    <w:name w:val="表题"/>
    <w:basedOn w:val="19"/>
    <w:autoRedefine/>
    <w:qFormat/>
    <w:uiPriority w:val="0"/>
    <w:pPr>
      <w:spacing w:beforeLines="50" w:line="480" w:lineRule="exact"/>
    </w:pPr>
    <w:rPr>
      <w:rFonts w:ascii="Times New Roman" w:eastAsia="黑体"/>
      <w:szCs w:val="24"/>
    </w:rPr>
  </w:style>
  <w:style w:type="paragraph" w:customStyle="1" w:styleId="100">
    <w:name w:val="陈表格标题"/>
    <w:basedOn w:val="1"/>
    <w:autoRedefine/>
    <w:qFormat/>
    <w:uiPriority w:val="0"/>
    <w:pPr>
      <w:adjustRightInd w:val="0"/>
      <w:snapToGrid w:val="0"/>
      <w:spacing w:line="240" w:lineRule="auto"/>
      <w:ind w:firstLine="720"/>
      <w:jc w:val="center"/>
    </w:pPr>
    <w:rPr>
      <w:b/>
      <w:kern w:val="0"/>
      <w:szCs w:val="20"/>
    </w:rPr>
  </w:style>
  <w:style w:type="paragraph" w:customStyle="1" w:styleId="101">
    <w:name w:val="陈表格"/>
    <w:basedOn w:val="1"/>
    <w:autoRedefine/>
    <w:qFormat/>
    <w:uiPriority w:val="0"/>
    <w:pPr>
      <w:adjustRightInd w:val="0"/>
      <w:snapToGrid w:val="0"/>
      <w:spacing w:line="240" w:lineRule="auto"/>
      <w:ind w:firstLine="0" w:firstLineChars="0"/>
      <w:jc w:val="center"/>
    </w:pPr>
    <w:rPr>
      <w:kern w:val="0"/>
      <w:szCs w:val="20"/>
    </w:rPr>
  </w:style>
  <w:style w:type="paragraph" w:customStyle="1" w:styleId="102">
    <w:name w:val="a表"/>
    <w:basedOn w:val="1"/>
    <w:autoRedefine/>
    <w:qFormat/>
    <w:uiPriority w:val="0"/>
    <w:pPr>
      <w:snapToGrid w:val="0"/>
      <w:spacing w:line="240" w:lineRule="auto"/>
      <w:ind w:firstLine="0" w:firstLineChars="0"/>
      <w:jc w:val="center"/>
    </w:pPr>
    <w:rPr>
      <w:spacing w:val="2"/>
      <w:szCs w:val="22"/>
    </w:rPr>
  </w:style>
  <w:style w:type="paragraph" w:customStyle="1" w:styleId="103">
    <w:name w:val="陈正文"/>
    <w:basedOn w:val="1"/>
    <w:next w:val="1"/>
    <w:autoRedefine/>
    <w:qFormat/>
    <w:uiPriority w:val="0"/>
    <w:pPr>
      <w:adjustRightInd w:val="0"/>
      <w:snapToGrid w:val="0"/>
      <w:spacing w:line="360" w:lineRule="auto"/>
      <w:ind w:firstLine="720" w:firstLineChars="200"/>
      <w:jc w:val="left"/>
    </w:pPr>
    <w:rPr>
      <w:rFonts w:ascii="Times New Roman" w:hAnsi="Times New Roman" w:eastAsia="宋体"/>
      <w:kern w:val="0"/>
      <w:sz w:val="24"/>
      <w:szCs w:val="20"/>
    </w:rPr>
  </w:style>
  <w:style w:type="paragraph" w:customStyle="1" w:styleId="104">
    <w:name w:val="Char Char Char Char"/>
    <w:basedOn w:val="1"/>
    <w:autoRedefine/>
    <w:qFormat/>
    <w:uiPriority w:val="0"/>
    <w:pPr>
      <w:adjustRightInd w:val="0"/>
      <w:snapToGrid w:val="0"/>
      <w:ind w:firstLine="420"/>
    </w:pPr>
  </w:style>
  <w:style w:type="paragraph" w:customStyle="1" w:styleId="105">
    <w:name w:val="1正文"/>
    <w:basedOn w:val="1"/>
    <w:autoRedefine/>
    <w:qFormat/>
    <w:uiPriority w:val="99"/>
    <w:pPr>
      <w:autoSpaceDE w:val="0"/>
      <w:autoSpaceDN w:val="0"/>
      <w:adjustRightInd w:val="0"/>
      <w:snapToGrid w:val="0"/>
      <w:spacing w:line="500" w:lineRule="exact"/>
      <w:ind w:firstLine="200" w:firstLineChars="200"/>
    </w:pPr>
    <w:rPr>
      <w:bCs/>
      <w:spacing w:val="5"/>
      <w:kern w:val="0"/>
      <w:sz w:val="24"/>
      <w:szCs w:val="21"/>
    </w:rPr>
  </w:style>
  <w:style w:type="paragraph" w:customStyle="1" w:styleId="106">
    <w:name w:val="正文缩进2"/>
    <w:basedOn w:val="1"/>
    <w:autoRedefine/>
    <w:qFormat/>
    <w:uiPriority w:val="0"/>
    <w:pPr>
      <w:spacing w:line="500" w:lineRule="exact"/>
    </w:pPr>
  </w:style>
  <w:style w:type="paragraph" w:customStyle="1" w:styleId="107">
    <w:name w:val="样式 列表"/>
    <w:basedOn w:val="19"/>
    <w:qFormat/>
    <w:uiPriority w:val="0"/>
    <w:pPr>
      <w:spacing w:line="280" w:lineRule="exact"/>
    </w:pPr>
    <w:rPr>
      <w:rFonts w:ascii="Times New Roman" w:eastAsia="方正仿宋_GBK" w:cs="宋体"/>
      <w:sz w:val="21"/>
    </w:rPr>
  </w:style>
  <w:style w:type="paragraph" w:customStyle="1" w:styleId="108">
    <w:name w:val="第一、五章 表格正文"/>
    <w:basedOn w:val="7"/>
    <w:qFormat/>
    <w:uiPriority w:val="0"/>
    <w:pPr>
      <w:jc w:val="center"/>
    </w:pPr>
    <w:rPr>
      <w:rFonts w:eastAsia="仿宋_GB2312"/>
    </w:rPr>
  </w:style>
  <w:style w:type="paragraph" w:customStyle="1" w:styleId="109">
    <w:name w:val="表1"/>
    <w:basedOn w:val="1"/>
    <w:qFormat/>
    <w:uiPriority w:val="0"/>
    <w:pPr>
      <w:spacing w:line="240" w:lineRule="atLeast"/>
      <w:jc w:val="center"/>
    </w:pPr>
    <w:rPr>
      <w:color w:val="000000"/>
      <w:szCs w:val="21"/>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header" Target="header2.xml"/><Relationship Id="rId6" Type="http://schemas.openxmlformats.org/officeDocument/2006/relationships/header" Target="header1.xml"/><Relationship Id="rId5" Type="http://schemas.openxmlformats.org/officeDocument/2006/relationships/footer" Target="footer3.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0.wmf"/><Relationship Id="rId31" Type="http://schemas.openxmlformats.org/officeDocument/2006/relationships/oleObject" Target="embeddings/oleObject1.bin"/><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87</Pages>
  <Words>13582</Words>
  <Characters>14491</Characters>
  <Lines>393</Lines>
  <Paragraphs>110</Paragraphs>
  <TotalTime>0</TotalTime>
  <ScaleCrop>false</ScaleCrop>
  <LinksUpToDate>false</LinksUpToDate>
  <CharactersWithSpaces>14540</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2021-04-26T02:29:00Z</dcterms:created>
  <dc:creator>lhj</dc:creator>
  <cp:lastModifiedBy>刘书华</cp:lastModifiedBy>
  <cp:lastPrinted>2023-11-28T08:15:00Z</cp:lastPrinted>
  <dcterms:modified xsi:type="dcterms:W3CDTF">2025-03-25T08:19:26Z</dcterms:modified>
  <dc:title>附件2</dc:title>
  <cp:revision>958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332F789F30C74CA1A1B89A739404623D_13</vt:lpwstr>
  </property>
  <property fmtid="{D5CDD505-2E9C-101B-9397-08002B2CF9AE}" pid="4" name="KSOTemplateDocerSaveRecord">
    <vt:lpwstr>eyJoZGlkIjoiYTM1YmIwNDc0YTU1M2NmYWNmNjNkYjdhMTFmZjNlNTIiLCJ1c2VySWQiOiIzNzY3ODM4MzkifQ==</vt:lpwstr>
  </property>
</Properties>
</file>